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potraz-innovation-fund-proposal"/>
    <w:p>
      <w:pPr>
        <w:pStyle w:val="Heading1"/>
      </w:pPr>
      <w:r>
        <w:t xml:space="preserve">POTRAZ INNOVATION FUND PROPOSAL</w:t>
      </w:r>
    </w:p>
    <w:bookmarkStart w:id="20" w:name="project-title"/>
    <w:p>
      <w:pPr>
        <w:pStyle w:val="Heading2"/>
      </w:pPr>
      <w:r>
        <w:t xml:space="preserve">Project Title</w:t>
      </w:r>
    </w:p>
    <w:p>
      <w:pPr>
        <w:pStyle w:val="FirstParagraph"/>
      </w:pPr>
      <w:r>
        <w:rPr>
          <w:b/>
          <w:bCs/>
        </w:rPr>
        <w:t xml:space="preserve">Development of National AI Infrastructure for Data Readiness, Digital Skills, and Financial Intelligence in Zimbabwe</w:t>
      </w:r>
    </w:p>
    <w:bookmarkEnd w:id="20"/>
    <w:bookmarkStart w:id="21" w:name="submitted-by"/>
    <w:p>
      <w:pPr>
        <w:pStyle w:val="Heading2"/>
      </w:pPr>
      <w:r>
        <w:t xml:space="preserve">Submitted By</w:t>
      </w:r>
    </w:p>
    <w:p>
      <w:pPr>
        <w:pStyle w:val="FirstParagraph"/>
      </w:pPr>
      <w:r>
        <w:rPr>
          <w:b/>
          <w:bCs/>
        </w:rPr>
        <w:t xml:space="preserve">AI Institute Africa (AIIA)</w:t>
      </w:r>
    </w:p>
    <w:p>
      <w:r>
        <w:pict>
          <v:rect style="width:0;height:1.5pt" o:hralign="center" o:hrstd="t" o:hr="t"/>
        </w:pict>
      </w:r>
    </w:p>
    <w:bookmarkEnd w:id="21"/>
    <w:bookmarkEnd w:id="22"/>
    <w:bookmarkStart w:id="23" w:name="executive-summary"/>
    <w:p>
      <w:pPr>
        <w:pStyle w:val="Heading1"/>
      </w:pPr>
      <w:r>
        <w:t xml:space="preserve">1. Executive Summary</w:t>
      </w:r>
    </w:p>
    <w:p>
      <w:pPr>
        <w:pStyle w:val="FirstParagraph"/>
      </w:pPr>
      <w:r>
        <w:t xml:space="preserve">AI Institute Africa (AIIA) submits this proposal to the Postal and Telecommunications Regulatory Authority of Zimbabwe (POTRAZ) for funding under the Innovation Fund to design, develop, and deploy three integrated national AI systems:</w:t>
      </w:r>
    </w:p>
    <w:p>
      <w:pPr>
        <w:pStyle w:val="Compact"/>
        <w:numPr>
          <w:ilvl w:val="0"/>
          <w:numId w:val="1001"/>
        </w:numPr>
      </w:pPr>
      <w:r>
        <w:t xml:space="preserve">AI Data Readiness System (ADRS)</w:t>
      </w:r>
    </w:p>
    <w:p>
      <w:pPr>
        <w:pStyle w:val="Compact"/>
        <w:numPr>
          <w:ilvl w:val="0"/>
          <w:numId w:val="1001"/>
        </w:numPr>
      </w:pPr>
      <w:r>
        <w:t xml:space="preserve">Cognify – AI Capacity &amp; Learning Platform</w:t>
      </w:r>
    </w:p>
    <w:p>
      <w:pPr>
        <w:pStyle w:val="Compact"/>
        <w:numPr>
          <w:ilvl w:val="0"/>
          <w:numId w:val="1001"/>
        </w:numPr>
      </w:pPr>
      <w:r>
        <w:t xml:space="preserve">AI Financial Intelligence Platform (Fintech System)</w:t>
      </w:r>
    </w:p>
    <w:p>
      <w:pPr>
        <w:pStyle w:val="FirstParagraph"/>
      </w:pPr>
      <w:r>
        <w:t xml:space="preserve">These systems form a cohesive national AI infrastructure layer designed to accelerate Zimbabwe’s transition into a data-driven, AI-enabled economy, directly supporting Vision 2030 and the Smart Zimbabwe 2030 Master Plan.</w:t>
      </w:r>
    </w:p>
    <w:p>
      <w:pPr>
        <w:pStyle w:val="BodyText"/>
      </w:pPr>
      <w:r>
        <w:t xml:space="preserve">The initiative addresses three critical national gaps:</w:t>
      </w:r>
      <w:r>
        <w:t xml:space="preserve"> </w:t>
      </w:r>
      <w:r>
        <w:t xml:space="preserve">- Lack of structured, usable datasets</w:t>
      </w:r>
      <w:r>
        <w:t xml:space="preserve"> </w:t>
      </w:r>
      <w:r>
        <w:t xml:space="preserve">- Limited AI and digital skills capacity</w:t>
      </w:r>
      <w:r>
        <w:t xml:space="preserve"> </w:t>
      </w:r>
      <w:r>
        <w:t xml:space="preserve">- Low transparency in financial and digital service ecosystems</w:t>
      </w:r>
    </w:p>
    <w:p>
      <w:pPr>
        <w:pStyle w:val="BodyText"/>
      </w:pPr>
      <w:r>
        <w:t xml:space="preserve">This project positions POTRAZ as a strategic enabler of national ICT innovation and digital transformation.</w:t>
      </w:r>
    </w:p>
    <w:p>
      <w:r>
        <w:pict>
          <v:rect style="width:0;height:1.5pt" o:hralign="center" o:hrstd="t" o:hr="t"/>
        </w:pict>
      </w:r>
    </w:p>
    <w:bookmarkEnd w:id="23"/>
    <w:bookmarkStart w:id="27" w:name="problem-statement"/>
    <w:p>
      <w:pPr>
        <w:pStyle w:val="Heading1"/>
      </w:pPr>
      <w:r>
        <w:t xml:space="preserve">2. Problem Statement</w:t>
      </w:r>
    </w:p>
    <w:p>
      <w:pPr>
        <w:pStyle w:val="FirstParagraph"/>
      </w:pPr>
      <w:r>
        <w:t xml:space="preserve">Zimbabwe faces three major systemic ICT challenges:</w:t>
      </w:r>
    </w:p>
    <w:bookmarkStart w:id="24" w:name="data-deficiency"/>
    <w:p>
      <w:pPr>
        <w:pStyle w:val="Heading2"/>
      </w:pPr>
      <w:r>
        <w:t xml:space="preserve">2.1 Data Deficiency</w:t>
      </w:r>
    </w:p>
    <w:p>
      <w:pPr>
        <w:pStyle w:val="Compact"/>
        <w:numPr>
          <w:ilvl w:val="0"/>
          <w:numId w:val="1002"/>
        </w:numPr>
      </w:pPr>
      <w:r>
        <w:t xml:space="preserve">Fragmented and paper-based records</w:t>
      </w:r>
    </w:p>
    <w:p>
      <w:pPr>
        <w:pStyle w:val="Compact"/>
        <w:numPr>
          <w:ilvl w:val="0"/>
          <w:numId w:val="1002"/>
        </w:numPr>
      </w:pPr>
      <w:r>
        <w:t xml:space="preserve">Limited AI-ready datasets</w:t>
      </w:r>
    </w:p>
    <w:p>
      <w:pPr>
        <w:pStyle w:val="Compact"/>
        <w:numPr>
          <w:ilvl w:val="0"/>
          <w:numId w:val="1002"/>
        </w:numPr>
      </w:pPr>
      <w:r>
        <w:t xml:space="preserve">Poor interoperability across systems</w:t>
      </w:r>
    </w:p>
    <w:bookmarkEnd w:id="24"/>
    <w:bookmarkStart w:id="25" w:name="skills-gap"/>
    <w:p>
      <w:pPr>
        <w:pStyle w:val="Heading2"/>
      </w:pPr>
      <w:r>
        <w:t xml:space="preserve">2.2 Skills Gap</w:t>
      </w:r>
    </w:p>
    <w:p>
      <w:pPr>
        <w:pStyle w:val="Compact"/>
        <w:numPr>
          <w:ilvl w:val="0"/>
          <w:numId w:val="1003"/>
        </w:numPr>
      </w:pPr>
      <w:r>
        <w:t xml:space="preserve">Low AI literacy levels</w:t>
      </w:r>
    </w:p>
    <w:p>
      <w:pPr>
        <w:pStyle w:val="Compact"/>
        <w:numPr>
          <w:ilvl w:val="0"/>
          <w:numId w:val="1003"/>
        </w:numPr>
      </w:pPr>
      <w:r>
        <w:t xml:space="preserve">Limited access to advanced digital training</w:t>
      </w:r>
    </w:p>
    <w:p>
      <w:pPr>
        <w:pStyle w:val="Compact"/>
        <w:numPr>
          <w:ilvl w:val="0"/>
          <w:numId w:val="1003"/>
        </w:numPr>
      </w:pPr>
      <w:r>
        <w:t xml:space="preserve">Weak pipeline for AI talent development</w:t>
      </w:r>
    </w:p>
    <w:bookmarkEnd w:id="25"/>
    <w:bookmarkStart w:id="26" w:name="financial-opacity"/>
    <w:p>
      <w:pPr>
        <w:pStyle w:val="Heading2"/>
      </w:pPr>
      <w:r>
        <w:t xml:space="preserve">2.3 Financial Opacity</w:t>
      </w:r>
    </w:p>
    <w:p>
      <w:pPr>
        <w:pStyle w:val="Compact"/>
        <w:numPr>
          <w:ilvl w:val="0"/>
          <w:numId w:val="1004"/>
        </w:numPr>
      </w:pPr>
      <w:r>
        <w:t xml:space="preserve">Hidden costs in banking and telecom services</w:t>
      </w:r>
    </w:p>
    <w:p>
      <w:pPr>
        <w:pStyle w:val="Compact"/>
        <w:numPr>
          <w:ilvl w:val="0"/>
          <w:numId w:val="1004"/>
        </w:numPr>
      </w:pPr>
      <w:r>
        <w:t xml:space="preserve">Lack of centralized comparison tools</w:t>
      </w:r>
    </w:p>
    <w:p>
      <w:pPr>
        <w:pStyle w:val="Compact"/>
        <w:numPr>
          <w:ilvl w:val="0"/>
          <w:numId w:val="1004"/>
        </w:numPr>
      </w:pPr>
      <w:r>
        <w:t xml:space="preserve">Limited consumer decision-making intelligence</w:t>
      </w:r>
    </w:p>
    <w:p>
      <w:pPr>
        <w:pStyle w:val="FirstParagraph"/>
      </w:pPr>
      <w:r>
        <w:t xml:space="preserve">These challenges hinder innovation, reduce economic efficiency, and limit the effectiveness of digital transformation initiatives.</w:t>
      </w:r>
    </w:p>
    <w:p>
      <w:r>
        <w:pict>
          <v:rect style="width:0;height:1.5pt" o:hralign="center" o:hrstd="t" o:hr="t"/>
        </w:pict>
      </w:r>
    </w:p>
    <w:bookmarkEnd w:id="26"/>
    <w:bookmarkEnd w:id="27"/>
    <w:bookmarkStart w:id="30" w:name="project-objectives"/>
    <w:p>
      <w:pPr>
        <w:pStyle w:val="Heading1"/>
      </w:pPr>
      <w:r>
        <w:t xml:space="preserve">3. Project Objectives</w:t>
      </w:r>
    </w:p>
    <w:bookmarkStart w:id="28" w:name="primary-objective"/>
    <w:p>
      <w:pPr>
        <w:pStyle w:val="Heading2"/>
      </w:pPr>
      <w:r>
        <w:t xml:space="preserve">Primary Objective</w:t>
      </w:r>
    </w:p>
    <w:p>
      <w:pPr>
        <w:pStyle w:val="FirstParagraph"/>
      </w:pPr>
      <w:r>
        <w:t xml:space="preserve">To build a national AI-enabled digital infrastructure that strengthens data systems, human capacity, and financial intelligence.</w:t>
      </w:r>
    </w:p>
    <w:bookmarkEnd w:id="28"/>
    <w:bookmarkStart w:id="29" w:name="specific-objectives"/>
    <w:p>
      <w:pPr>
        <w:pStyle w:val="Heading2"/>
      </w:pPr>
      <w:r>
        <w:t xml:space="preserve">Specific Objectives</w:t>
      </w:r>
    </w:p>
    <w:p>
      <w:pPr>
        <w:pStyle w:val="Compact"/>
        <w:numPr>
          <w:ilvl w:val="0"/>
          <w:numId w:val="1005"/>
        </w:numPr>
      </w:pPr>
      <w:r>
        <w:t xml:space="preserve">Develop AI-ready datasets through ADRS</w:t>
      </w:r>
    </w:p>
    <w:p>
      <w:pPr>
        <w:pStyle w:val="Compact"/>
        <w:numPr>
          <w:ilvl w:val="0"/>
          <w:numId w:val="1005"/>
        </w:numPr>
      </w:pPr>
      <w:r>
        <w:t xml:space="preserve">Build AI skills capacity through Cognify</w:t>
      </w:r>
    </w:p>
    <w:p>
      <w:pPr>
        <w:pStyle w:val="Compact"/>
        <w:numPr>
          <w:ilvl w:val="0"/>
          <w:numId w:val="1005"/>
        </w:numPr>
      </w:pPr>
      <w:r>
        <w:t xml:space="preserve">Improve financial transparency through AI-driven platforms</w:t>
      </w:r>
    </w:p>
    <w:p>
      <w:pPr>
        <w:pStyle w:val="Compact"/>
        <w:numPr>
          <w:ilvl w:val="0"/>
          <w:numId w:val="1005"/>
        </w:numPr>
      </w:pPr>
      <w:r>
        <w:t xml:space="preserve">Enable innovation through open data and APIs</w:t>
      </w:r>
    </w:p>
    <w:p>
      <w:pPr>
        <w:pStyle w:val="Compact"/>
        <w:numPr>
          <w:ilvl w:val="0"/>
          <w:numId w:val="1005"/>
        </w:numPr>
      </w:pPr>
      <w:r>
        <w:t xml:space="preserve">Support regulatory intelligence and ICT sector growth</w:t>
      </w:r>
    </w:p>
    <w:p>
      <w:r>
        <w:pict>
          <v:rect style="width:0;height:1.5pt" o:hralign="center" o:hrstd="t" o:hr="t"/>
        </w:pict>
      </w:r>
    </w:p>
    <w:bookmarkEnd w:id="29"/>
    <w:bookmarkEnd w:id="30"/>
    <w:bookmarkStart w:id="43" w:name="proposed-solution"/>
    <w:p>
      <w:pPr>
        <w:pStyle w:val="Heading1"/>
      </w:pPr>
      <w:r>
        <w:t xml:space="preserve">4. Proposed Solution</w:t>
      </w:r>
    </w:p>
    <w:bookmarkStart w:id="34" w:name="adrs-ai-data-readiness-system"/>
    <w:p>
      <w:pPr>
        <w:pStyle w:val="Heading2"/>
      </w:pPr>
      <w:r>
        <w:t xml:space="preserve">4.1 ADRS – AI Data Readiness System</w:t>
      </w:r>
    </w:p>
    <w:bookmarkStart w:id="31" w:name="overview"/>
    <w:p>
      <w:pPr>
        <w:pStyle w:val="Heading3"/>
      </w:pPr>
      <w:r>
        <w:t xml:space="preserve">Overview</w:t>
      </w:r>
    </w:p>
    <w:p>
      <w:pPr>
        <w:pStyle w:val="FirstParagraph"/>
      </w:pPr>
      <w:r>
        <w:t xml:space="preserve">ADRS converts fragmented data into structured, validated, AI-ready datasets.</w:t>
      </w:r>
    </w:p>
    <w:bookmarkEnd w:id="31"/>
    <w:bookmarkStart w:id="32" w:name="key-capabilities"/>
    <w:p>
      <w:pPr>
        <w:pStyle w:val="Heading3"/>
      </w:pPr>
      <w:r>
        <w:t xml:space="preserve">Key Capabilities</w:t>
      </w:r>
    </w:p>
    <w:p>
      <w:pPr>
        <w:pStyle w:val="Compact"/>
        <w:numPr>
          <w:ilvl w:val="0"/>
          <w:numId w:val="1006"/>
        </w:numPr>
      </w:pPr>
      <w:r>
        <w:t xml:space="preserve">Digitization and data extraction</w:t>
      </w:r>
    </w:p>
    <w:p>
      <w:pPr>
        <w:pStyle w:val="Compact"/>
        <w:numPr>
          <w:ilvl w:val="0"/>
          <w:numId w:val="1006"/>
        </w:numPr>
      </w:pPr>
      <w:r>
        <w:t xml:space="preserve">Data validation and normalization</w:t>
      </w:r>
    </w:p>
    <w:p>
      <w:pPr>
        <w:pStyle w:val="Compact"/>
        <w:numPr>
          <w:ilvl w:val="0"/>
          <w:numId w:val="1006"/>
        </w:numPr>
      </w:pPr>
      <w:r>
        <w:t xml:space="preserve">Knowledge graph creation</w:t>
      </w:r>
    </w:p>
    <w:p>
      <w:pPr>
        <w:pStyle w:val="Compact"/>
        <w:numPr>
          <w:ilvl w:val="0"/>
          <w:numId w:val="1006"/>
        </w:numPr>
      </w:pPr>
      <w:r>
        <w:t xml:space="preserve">API-based data access</w:t>
      </w:r>
    </w:p>
    <w:bookmarkEnd w:id="32"/>
    <w:bookmarkStart w:id="33" w:name="impact"/>
    <w:p>
      <w:pPr>
        <w:pStyle w:val="Heading3"/>
      </w:pPr>
      <w:r>
        <w:t xml:space="preserve">Impact</w:t>
      </w:r>
    </w:p>
    <w:p>
      <w:pPr>
        <w:pStyle w:val="Compact"/>
        <w:numPr>
          <w:ilvl w:val="0"/>
          <w:numId w:val="1007"/>
        </w:numPr>
      </w:pPr>
      <w:r>
        <w:t xml:space="preserve">Enables e-government services</w:t>
      </w:r>
    </w:p>
    <w:p>
      <w:pPr>
        <w:pStyle w:val="Compact"/>
        <w:numPr>
          <w:ilvl w:val="0"/>
          <w:numId w:val="1007"/>
        </w:numPr>
      </w:pPr>
      <w:r>
        <w:t xml:space="preserve">Supports AI innovation ecosystems</w:t>
      </w:r>
    </w:p>
    <w:p>
      <w:pPr>
        <w:pStyle w:val="Compact"/>
        <w:numPr>
          <w:ilvl w:val="0"/>
          <w:numId w:val="1007"/>
        </w:numPr>
      </w:pPr>
      <w:r>
        <w:t xml:space="preserve">Improves national data governance</w:t>
      </w:r>
    </w:p>
    <w:p>
      <w:r>
        <w:pict>
          <v:rect style="width:0;height:1.5pt" o:hralign="center" o:hrstd="t" o:hr="t"/>
        </w:pict>
      </w:r>
    </w:p>
    <w:bookmarkEnd w:id="33"/>
    <w:bookmarkEnd w:id="34"/>
    <w:bookmarkStart w:id="38" w:name="cognify-ai-capacity-learning-platform"/>
    <w:p>
      <w:pPr>
        <w:pStyle w:val="Heading2"/>
      </w:pPr>
      <w:r>
        <w:t xml:space="preserve">4.2 Cognify – AI Capacity &amp; Learning Platform</w:t>
      </w:r>
    </w:p>
    <w:bookmarkStart w:id="35" w:name="overview-1"/>
    <w:p>
      <w:pPr>
        <w:pStyle w:val="Heading3"/>
      </w:pPr>
      <w:r>
        <w:t xml:space="preserve">Overview</w:t>
      </w:r>
    </w:p>
    <w:p>
      <w:pPr>
        <w:pStyle w:val="FirstParagraph"/>
      </w:pPr>
      <w:r>
        <w:t xml:space="preserve">A scalable AI training platform designed for government, enterprises, and citizens.</w:t>
      </w:r>
    </w:p>
    <w:bookmarkEnd w:id="35"/>
    <w:bookmarkStart w:id="36" w:name="key-features"/>
    <w:p>
      <w:pPr>
        <w:pStyle w:val="Heading3"/>
      </w:pPr>
      <w:r>
        <w:t xml:space="preserve">Key Features</w:t>
      </w:r>
    </w:p>
    <w:p>
      <w:pPr>
        <w:pStyle w:val="Compact"/>
        <w:numPr>
          <w:ilvl w:val="0"/>
          <w:numId w:val="1008"/>
        </w:numPr>
      </w:pPr>
      <w:r>
        <w:t xml:space="preserve">AI certification programs</w:t>
      </w:r>
    </w:p>
    <w:p>
      <w:pPr>
        <w:pStyle w:val="Compact"/>
        <w:numPr>
          <w:ilvl w:val="0"/>
          <w:numId w:val="1008"/>
        </w:numPr>
      </w:pPr>
      <w:r>
        <w:t xml:space="preserve">Government and regulatory training</w:t>
      </w:r>
    </w:p>
    <w:p>
      <w:pPr>
        <w:pStyle w:val="Compact"/>
        <w:numPr>
          <w:ilvl w:val="0"/>
          <w:numId w:val="1008"/>
        </w:numPr>
      </w:pPr>
      <w:r>
        <w:t xml:space="preserve">Youth AI fellowship programs</w:t>
      </w:r>
    </w:p>
    <w:p>
      <w:pPr>
        <w:pStyle w:val="Compact"/>
        <w:numPr>
          <w:ilvl w:val="0"/>
          <w:numId w:val="1008"/>
        </w:numPr>
      </w:pPr>
      <w:r>
        <w:t xml:space="preserve">Integration with ICT centres</w:t>
      </w:r>
    </w:p>
    <w:bookmarkEnd w:id="36"/>
    <w:bookmarkStart w:id="37" w:name="impact-1"/>
    <w:p>
      <w:pPr>
        <w:pStyle w:val="Heading3"/>
      </w:pPr>
      <w:r>
        <w:t xml:space="preserve">Impact</w:t>
      </w:r>
    </w:p>
    <w:p>
      <w:pPr>
        <w:pStyle w:val="Compact"/>
        <w:numPr>
          <w:ilvl w:val="0"/>
          <w:numId w:val="1009"/>
        </w:numPr>
      </w:pPr>
      <w:r>
        <w:t xml:space="preserve">Builds a future-ready workforce</w:t>
      </w:r>
    </w:p>
    <w:p>
      <w:pPr>
        <w:pStyle w:val="Compact"/>
        <w:numPr>
          <w:ilvl w:val="0"/>
          <w:numId w:val="1009"/>
        </w:numPr>
      </w:pPr>
      <w:r>
        <w:t xml:space="preserve">Enhances digital inclusion</w:t>
      </w:r>
    </w:p>
    <w:p>
      <w:pPr>
        <w:pStyle w:val="Compact"/>
        <w:numPr>
          <w:ilvl w:val="0"/>
          <w:numId w:val="1009"/>
        </w:numPr>
      </w:pPr>
      <w:r>
        <w:t xml:space="preserve">Drives employment and innovation</w:t>
      </w:r>
    </w:p>
    <w:p>
      <w:r>
        <w:pict>
          <v:rect style="width:0;height:1.5pt" o:hralign="center" o:hrstd="t" o:hr="t"/>
        </w:pict>
      </w:r>
    </w:p>
    <w:bookmarkEnd w:id="37"/>
    <w:bookmarkEnd w:id="38"/>
    <w:bookmarkStart w:id="42" w:name="Xe8a2322fc86a10b9edd33de522f00104de45426"/>
    <w:p>
      <w:pPr>
        <w:pStyle w:val="Heading2"/>
      </w:pPr>
      <w:r>
        <w:t xml:space="preserve">4.3 AI Financial Intelligence Platform (Fintech)</w:t>
      </w:r>
    </w:p>
    <w:bookmarkStart w:id="39" w:name="overview-2"/>
    <w:p>
      <w:pPr>
        <w:pStyle w:val="Heading3"/>
      </w:pPr>
      <w:r>
        <w:t xml:space="preserve">Overview</w:t>
      </w:r>
    </w:p>
    <w:p>
      <w:pPr>
        <w:pStyle w:val="FirstParagraph"/>
      </w:pPr>
      <w:r>
        <w:t xml:space="preserve">An AI-powered platform providing transparent comparisons and insights across financial and essential services.</w:t>
      </w:r>
    </w:p>
    <w:bookmarkEnd w:id="39"/>
    <w:bookmarkStart w:id="40" w:name="key-features-1"/>
    <w:p>
      <w:pPr>
        <w:pStyle w:val="Heading3"/>
      </w:pPr>
      <w:r>
        <w:t xml:space="preserve">Key Features</w:t>
      </w:r>
    </w:p>
    <w:p>
      <w:pPr>
        <w:pStyle w:val="Compact"/>
        <w:numPr>
          <w:ilvl w:val="0"/>
          <w:numId w:val="1010"/>
        </w:numPr>
      </w:pPr>
      <w:r>
        <w:t xml:space="preserve">Multi-sector comparison engine</w:t>
      </w:r>
    </w:p>
    <w:p>
      <w:pPr>
        <w:pStyle w:val="Compact"/>
        <w:numPr>
          <w:ilvl w:val="0"/>
          <w:numId w:val="1010"/>
        </w:numPr>
      </w:pPr>
      <w:r>
        <w:t xml:space="preserve">Predictive financial analytics</w:t>
      </w:r>
    </w:p>
    <w:p>
      <w:pPr>
        <w:pStyle w:val="Compact"/>
        <w:numPr>
          <w:ilvl w:val="0"/>
          <w:numId w:val="1010"/>
        </w:numPr>
      </w:pPr>
      <w:r>
        <w:t xml:space="preserve">Personalized recommendations</w:t>
      </w:r>
    </w:p>
    <w:p>
      <w:pPr>
        <w:pStyle w:val="Compact"/>
        <w:numPr>
          <w:ilvl w:val="0"/>
          <w:numId w:val="1010"/>
        </w:numPr>
      </w:pPr>
      <w:r>
        <w:t xml:space="preserve">Explainable AI outputs</w:t>
      </w:r>
    </w:p>
    <w:bookmarkEnd w:id="40"/>
    <w:bookmarkStart w:id="41" w:name="impact-2"/>
    <w:p>
      <w:pPr>
        <w:pStyle w:val="Heading3"/>
      </w:pPr>
      <w:r>
        <w:t xml:space="preserve">Impact</w:t>
      </w:r>
    </w:p>
    <w:p>
      <w:pPr>
        <w:pStyle w:val="Compact"/>
        <w:numPr>
          <w:ilvl w:val="0"/>
          <w:numId w:val="1011"/>
        </w:numPr>
      </w:pPr>
      <w:r>
        <w:t xml:space="preserve">Improves financial literacy</w:t>
      </w:r>
    </w:p>
    <w:p>
      <w:pPr>
        <w:pStyle w:val="Compact"/>
        <w:numPr>
          <w:ilvl w:val="0"/>
          <w:numId w:val="1011"/>
        </w:numPr>
      </w:pPr>
      <w:r>
        <w:t xml:space="preserve">Enhances consumer protection</w:t>
      </w:r>
    </w:p>
    <w:p>
      <w:pPr>
        <w:pStyle w:val="Compact"/>
        <w:numPr>
          <w:ilvl w:val="0"/>
          <w:numId w:val="1011"/>
        </w:numPr>
      </w:pPr>
      <w:r>
        <w:t xml:space="preserve">Drives market transparency and competition</w:t>
      </w:r>
    </w:p>
    <w:p>
      <w:r>
        <w:pict>
          <v:rect style="width:0;height:1.5pt" o:hralign="center" o:hrstd="t" o:hr="t"/>
        </w:pict>
      </w:r>
    </w:p>
    <w:bookmarkEnd w:id="41"/>
    <w:bookmarkEnd w:id="42"/>
    <w:bookmarkEnd w:id="43"/>
    <w:bookmarkStart w:id="47" w:name="alignment-with-national-priorities"/>
    <w:p>
      <w:pPr>
        <w:pStyle w:val="Heading1"/>
      </w:pPr>
      <w:r>
        <w:t xml:space="preserve">5. Alignment with National Priorities</w:t>
      </w:r>
    </w:p>
    <w:bookmarkStart w:id="44" w:name="vision-2030"/>
    <w:p>
      <w:pPr>
        <w:pStyle w:val="Heading2"/>
      </w:pPr>
      <w:r>
        <w:t xml:space="preserve">5.1 Vision 2030</w:t>
      </w:r>
    </w:p>
    <w:p>
      <w:pPr>
        <w:pStyle w:val="FirstParagraph"/>
      </w:pPr>
      <w:r>
        <w:t xml:space="preserve">The project contributes to:</w:t>
      </w:r>
      <w:r>
        <w:t xml:space="preserve"> </w:t>
      </w:r>
      <w:r>
        <w:t xml:space="preserve">- Digital economy transformation</w:t>
      </w:r>
      <w:r>
        <w:t xml:space="preserve"> </w:t>
      </w:r>
      <w:r>
        <w:t xml:space="preserve">- Innovation-driven growth</w:t>
      </w:r>
      <w:r>
        <w:t xml:space="preserve"> </w:t>
      </w:r>
      <w:r>
        <w:t xml:space="preserve">- Knowledge-based society development</w:t>
      </w:r>
      <w:r>
        <w:t xml:space="preserve"> </w:t>
      </w:r>
      <w:r>
        <w:t xml:space="preserve">- Efficient public service delivery</w:t>
      </w:r>
    </w:p>
    <w:bookmarkEnd w:id="44"/>
    <w:bookmarkStart w:id="45" w:name="alignment-with-potraz-mandate"/>
    <w:p>
      <w:pPr>
        <w:pStyle w:val="Heading2"/>
      </w:pPr>
      <w:r>
        <w:t xml:space="preserve">5.2 Alignment with POTRAZ Mandate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POTRAZ Mandate</w:t>
            </w:r>
          </w:p>
        </w:tc>
        <w:tc>
          <w:tcPr/>
          <w:p>
            <w:pPr>
              <w:pStyle w:val="Compact"/>
            </w:pPr>
            <w:r>
              <w:t xml:space="preserve">Contribution</w:t>
            </w:r>
          </w:p>
        </w:tc>
      </w:tr>
      <w:tr>
        <w:tc>
          <w:tcPr/>
          <w:p>
            <w:pPr>
              <w:pStyle w:val="Compact"/>
            </w:pPr>
            <w:r>
              <w:t xml:space="preserve">ICT innovation</w:t>
            </w:r>
          </w:p>
        </w:tc>
        <w:tc>
          <w:tcPr/>
          <w:p>
            <w:pPr>
              <w:pStyle w:val="Compact"/>
            </w:pPr>
            <w:r>
              <w:t xml:space="preserve">Development of AI systems</w:t>
            </w:r>
          </w:p>
        </w:tc>
      </w:tr>
      <w:tr>
        <w:tc>
          <w:tcPr/>
          <w:p>
            <w:pPr>
              <w:pStyle w:val="Compact"/>
            </w:pPr>
            <w:r>
              <w:t xml:space="preserve">Digital inclusion</w:t>
            </w:r>
          </w:p>
        </w:tc>
        <w:tc>
          <w:tcPr/>
          <w:p>
            <w:pPr>
              <w:pStyle w:val="Compact"/>
            </w:pPr>
            <w:r>
              <w:t xml:space="preserve">National AI training programs</w:t>
            </w:r>
          </w:p>
        </w:tc>
      </w:tr>
      <w:tr>
        <w:tc>
          <w:tcPr/>
          <w:p>
            <w:pPr>
              <w:pStyle w:val="Compact"/>
            </w:pPr>
            <w:r>
              <w:t xml:space="preserve">Research &amp; development</w:t>
            </w:r>
          </w:p>
        </w:tc>
        <w:tc>
          <w:tcPr/>
          <w:p>
            <w:pPr>
              <w:pStyle w:val="Compact"/>
            </w:pPr>
            <w:r>
              <w:t xml:space="preserve">Data infrastructure (ADRS)</w:t>
            </w:r>
          </w:p>
        </w:tc>
      </w:tr>
      <w:tr>
        <w:tc>
          <w:tcPr/>
          <w:p>
            <w:pPr>
              <w:pStyle w:val="Compact"/>
            </w:pPr>
            <w:r>
              <w:t xml:space="preserve">Consumer protection</w:t>
            </w:r>
          </w:p>
        </w:tc>
        <w:tc>
          <w:tcPr/>
          <w:p>
            <w:pPr>
              <w:pStyle w:val="Compact"/>
            </w:pPr>
            <w:r>
              <w:t xml:space="preserve">Financial transparency platform</w:t>
            </w:r>
          </w:p>
        </w:tc>
      </w:tr>
      <w:tr>
        <w:tc>
          <w:tcPr/>
          <w:p>
            <w:pPr>
              <w:pStyle w:val="Compact"/>
            </w:pPr>
            <w:r>
              <w:t xml:space="preserve">Sector growth</w:t>
            </w:r>
          </w:p>
        </w:tc>
        <w:tc>
          <w:tcPr/>
          <w:p>
            <w:pPr>
              <w:pStyle w:val="Compact"/>
            </w:pPr>
            <w:r>
              <w:t xml:space="preserve">API-driven innovation ecosystem</w:t>
            </w:r>
          </w:p>
        </w:tc>
      </w:tr>
    </w:tbl>
    <w:bookmarkEnd w:id="45"/>
    <w:bookmarkStart w:id="46" w:name="alignment-with-aiia-goals"/>
    <w:p>
      <w:pPr>
        <w:pStyle w:val="Heading2"/>
      </w:pPr>
      <w:r>
        <w:t xml:space="preserve">5.3 Alignment with AIIA Goals</w:t>
      </w:r>
    </w:p>
    <w:p>
      <w:pPr>
        <w:pStyle w:val="Compact"/>
        <w:numPr>
          <w:ilvl w:val="0"/>
          <w:numId w:val="1012"/>
        </w:numPr>
      </w:pPr>
      <w:r>
        <w:t xml:space="preserve">Build national AI infrastructure</w:t>
      </w:r>
    </w:p>
    <w:p>
      <w:pPr>
        <w:pStyle w:val="Compact"/>
        <w:numPr>
          <w:ilvl w:val="0"/>
          <w:numId w:val="1012"/>
        </w:numPr>
      </w:pPr>
      <w:r>
        <w:t xml:space="preserve">Develop datasets and algorithms</w:t>
      </w:r>
    </w:p>
    <w:p>
      <w:pPr>
        <w:pStyle w:val="Compact"/>
        <w:numPr>
          <w:ilvl w:val="0"/>
          <w:numId w:val="1012"/>
        </w:numPr>
      </w:pPr>
      <w:r>
        <w:t xml:space="preserve">Deliver training and capacity development</w:t>
      </w:r>
    </w:p>
    <w:p>
      <w:pPr>
        <w:pStyle w:val="Compact"/>
        <w:numPr>
          <w:ilvl w:val="0"/>
          <w:numId w:val="1012"/>
        </w:numPr>
      </w:pPr>
      <w:r>
        <w:t xml:space="preserve">Promote ethical and responsible AI</w:t>
      </w:r>
    </w:p>
    <w:p>
      <w:r>
        <w:pict>
          <v:rect style="width:0;height:1.5pt" o:hralign="center" o:hrstd="t" o:hr="t"/>
        </w:pict>
      </w:r>
    </w:p>
    <w:bookmarkEnd w:id="46"/>
    <w:bookmarkEnd w:id="47"/>
    <w:bookmarkStart w:id="48" w:name="implementation-plan"/>
    <w:p>
      <w:pPr>
        <w:pStyle w:val="Heading1"/>
      </w:pPr>
      <w:r>
        <w:t xml:space="preserve">6. Implementation Plan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Duration</w:t>
            </w:r>
          </w:p>
        </w:tc>
        <w:tc>
          <w:tcPr/>
          <w:p>
            <w:pPr>
              <w:pStyle w:val="Compact"/>
            </w:pPr>
            <w:r>
              <w:t xml:space="preserve">Activities</w:t>
            </w:r>
          </w:p>
        </w:tc>
      </w:tr>
      <w:tr>
        <w:tc>
          <w:tcPr/>
          <w:p>
            <w:pPr>
              <w:pStyle w:val="Compact"/>
            </w:pPr>
            <w:r>
              <w:t xml:space="preserve">Phase 1</w:t>
            </w:r>
          </w:p>
        </w:tc>
        <w:tc>
          <w:tcPr/>
          <w:p>
            <w:pPr>
              <w:pStyle w:val="Compact"/>
            </w:pPr>
            <w:r>
              <w:t xml:space="preserve">0–6 months</w:t>
            </w:r>
          </w:p>
        </w:tc>
        <w:tc>
          <w:tcPr/>
          <w:p>
            <w:pPr>
              <w:pStyle w:val="Compact"/>
            </w:pPr>
            <w:r>
              <w:t xml:space="preserve">System design and MVP development</w:t>
            </w:r>
          </w:p>
        </w:tc>
      </w:tr>
      <w:tr>
        <w:tc>
          <w:tcPr/>
          <w:p>
            <w:pPr>
              <w:pStyle w:val="Compact"/>
            </w:pPr>
            <w:r>
              <w:t xml:space="preserve">Phase 2</w:t>
            </w:r>
          </w:p>
        </w:tc>
        <w:tc>
          <w:tcPr/>
          <w:p>
            <w:pPr>
              <w:pStyle w:val="Compact"/>
            </w:pPr>
            <w:r>
              <w:t xml:space="preserve">6–12 months</w:t>
            </w:r>
          </w:p>
        </w:tc>
        <w:tc>
          <w:tcPr/>
          <w:p>
            <w:pPr>
              <w:pStyle w:val="Compact"/>
            </w:pPr>
            <w:r>
              <w:t xml:space="preserve">Pilot deployment</w:t>
            </w:r>
          </w:p>
        </w:tc>
      </w:tr>
      <w:tr>
        <w:tc>
          <w:tcPr/>
          <w:p>
            <w:pPr>
              <w:pStyle w:val="Compact"/>
            </w:pPr>
            <w:r>
              <w:t xml:space="preserve">Phase 3</w:t>
            </w:r>
          </w:p>
        </w:tc>
        <w:tc>
          <w:tcPr/>
          <w:p>
            <w:pPr>
              <w:pStyle w:val="Compact"/>
            </w:pPr>
            <w:r>
              <w:t xml:space="preserve">12–24 months</w:t>
            </w:r>
          </w:p>
        </w:tc>
        <w:tc>
          <w:tcPr/>
          <w:p>
            <w:pPr>
              <w:pStyle w:val="Compact"/>
            </w:pPr>
            <w:r>
              <w:t xml:space="preserve">National rollout</w:t>
            </w:r>
          </w:p>
        </w:tc>
      </w:tr>
    </w:tbl>
    <w:p>
      <w:r>
        <w:pict>
          <v:rect style="width:0;height:1.5pt" o:hralign="center" o:hrstd="t" o:hr="t"/>
        </w:pict>
      </w:r>
    </w:p>
    <w:bookmarkEnd w:id="48"/>
    <w:bookmarkStart w:id="59" w:name="budget-financial-model"/>
    <w:p>
      <w:pPr>
        <w:pStyle w:val="Heading1"/>
      </w:pPr>
      <w:r>
        <w:t xml:space="preserve">7. Budget &amp; Financial Model</w:t>
      </w:r>
    </w:p>
    <w:bookmarkStart w:id="49" w:name="total-project-budget"/>
    <w:p>
      <w:pPr>
        <w:pStyle w:val="Heading2"/>
      </w:pPr>
      <w:r>
        <w:t xml:space="preserve">7.1 Total Project Budget</w:t>
      </w:r>
    </w:p>
    <w:p>
      <w:pPr>
        <w:pStyle w:val="FirstParagraph"/>
      </w:pPr>
      <w:r>
        <w:rPr>
          <w:b/>
          <w:bCs/>
        </w:rPr>
        <w:t xml:space="preserve">Total Required: $2,395,000</w:t>
      </w:r>
    </w:p>
    <w:p>
      <w:r>
        <w:pict>
          <v:rect style="width:0;height:1.5pt" o:hralign="center" o:hrstd="t" o:hr="t"/>
        </w:pict>
      </w:r>
    </w:p>
    <w:bookmarkEnd w:id="49"/>
    <w:bookmarkStart w:id="54" w:name="budget-breakdown"/>
    <w:p>
      <w:pPr>
        <w:pStyle w:val="Heading2"/>
      </w:pPr>
      <w:r>
        <w:t xml:space="preserve">7.2 Budget Breakdown</w:t>
      </w:r>
    </w:p>
    <w:bookmarkStart w:id="50" w:name="adrs-400000"/>
    <w:p>
      <w:pPr>
        <w:pStyle w:val="Heading3"/>
      </w:pPr>
      <w:r>
        <w:t xml:space="preserve">ADRS – $400,000</w:t>
      </w:r>
    </w:p>
    <w:p>
      <w:pPr>
        <w:pStyle w:val="Compact"/>
        <w:numPr>
          <w:ilvl w:val="0"/>
          <w:numId w:val="1013"/>
        </w:numPr>
      </w:pPr>
      <w:r>
        <w:t xml:space="preserve">Data digitization: $120,000</w:t>
      </w:r>
    </w:p>
    <w:p>
      <w:pPr>
        <w:pStyle w:val="Compact"/>
        <w:numPr>
          <w:ilvl w:val="0"/>
          <w:numId w:val="1013"/>
        </w:numPr>
      </w:pPr>
      <w:r>
        <w:t xml:space="preserve">AI models: $100,000</w:t>
      </w:r>
    </w:p>
    <w:p>
      <w:pPr>
        <w:pStyle w:val="Compact"/>
        <w:numPr>
          <w:ilvl w:val="0"/>
          <w:numId w:val="1013"/>
        </w:numPr>
      </w:pPr>
      <w:r>
        <w:t xml:space="preserve">Knowledge graph: $80,000</w:t>
      </w:r>
    </w:p>
    <w:p>
      <w:pPr>
        <w:pStyle w:val="Compact"/>
        <w:numPr>
          <w:ilvl w:val="0"/>
          <w:numId w:val="1013"/>
        </w:numPr>
      </w:pPr>
      <w:r>
        <w:t xml:space="preserve">Deployment: $60,000</w:t>
      </w:r>
    </w:p>
    <w:p>
      <w:pPr>
        <w:pStyle w:val="Compact"/>
        <w:numPr>
          <w:ilvl w:val="0"/>
          <w:numId w:val="1013"/>
        </w:numPr>
      </w:pPr>
      <w:r>
        <w:t xml:space="preserve">Governance: $40,000</w:t>
      </w:r>
    </w:p>
    <w:bookmarkEnd w:id="50"/>
    <w:bookmarkStart w:id="51" w:name="cognify-250000"/>
    <w:p>
      <w:pPr>
        <w:pStyle w:val="Heading3"/>
      </w:pPr>
      <w:r>
        <w:t xml:space="preserve">Cognify – $250,000</w:t>
      </w:r>
    </w:p>
    <w:p>
      <w:pPr>
        <w:pStyle w:val="Compact"/>
        <w:numPr>
          <w:ilvl w:val="0"/>
          <w:numId w:val="1014"/>
        </w:numPr>
      </w:pPr>
      <w:r>
        <w:t xml:space="preserve">Platform development: $90,000</w:t>
      </w:r>
    </w:p>
    <w:p>
      <w:pPr>
        <w:pStyle w:val="Compact"/>
        <w:numPr>
          <w:ilvl w:val="0"/>
          <w:numId w:val="1014"/>
        </w:numPr>
      </w:pPr>
      <w:r>
        <w:t xml:space="preserve">Content: $60,000</w:t>
      </w:r>
    </w:p>
    <w:p>
      <w:pPr>
        <w:pStyle w:val="Compact"/>
        <w:numPr>
          <w:ilvl w:val="0"/>
          <w:numId w:val="1014"/>
        </w:numPr>
      </w:pPr>
      <w:r>
        <w:t xml:space="preserve">Training rollout: $50,000</w:t>
      </w:r>
    </w:p>
    <w:p>
      <w:pPr>
        <w:pStyle w:val="Compact"/>
        <w:numPr>
          <w:ilvl w:val="0"/>
          <w:numId w:val="1014"/>
        </w:numPr>
      </w:pPr>
      <w:r>
        <w:t xml:space="preserve">ICT centres: $30,000</w:t>
      </w:r>
    </w:p>
    <w:p>
      <w:pPr>
        <w:pStyle w:val="Compact"/>
        <w:numPr>
          <w:ilvl w:val="0"/>
          <w:numId w:val="1014"/>
        </w:numPr>
      </w:pPr>
      <w:r>
        <w:t xml:space="preserve">Certification: $20,000</w:t>
      </w:r>
    </w:p>
    <w:bookmarkEnd w:id="51"/>
    <w:bookmarkStart w:id="52" w:name="fintech-platform-350000"/>
    <w:p>
      <w:pPr>
        <w:pStyle w:val="Heading3"/>
      </w:pPr>
      <w:r>
        <w:t xml:space="preserve">Fintech Platform – $350,000</w:t>
      </w:r>
    </w:p>
    <w:p>
      <w:pPr>
        <w:pStyle w:val="Compact"/>
        <w:numPr>
          <w:ilvl w:val="0"/>
          <w:numId w:val="1015"/>
        </w:numPr>
      </w:pPr>
      <w:r>
        <w:t xml:space="preserve">AI engine: $100,000</w:t>
      </w:r>
    </w:p>
    <w:p>
      <w:pPr>
        <w:pStyle w:val="Compact"/>
        <w:numPr>
          <w:ilvl w:val="0"/>
          <w:numId w:val="1015"/>
        </w:numPr>
      </w:pPr>
      <w:r>
        <w:t xml:space="preserve">Data systems: $80,000</w:t>
      </w:r>
    </w:p>
    <w:p>
      <w:pPr>
        <w:pStyle w:val="Compact"/>
        <w:numPr>
          <w:ilvl w:val="0"/>
          <w:numId w:val="1015"/>
        </w:numPr>
      </w:pPr>
      <w:r>
        <w:t xml:space="preserve">Platform development: $70,000</w:t>
      </w:r>
    </w:p>
    <w:p>
      <w:pPr>
        <w:pStyle w:val="Compact"/>
        <w:numPr>
          <w:ilvl w:val="0"/>
          <w:numId w:val="1015"/>
        </w:numPr>
      </w:pPr>
      <w:r>
        <w:t xml:space="preserve">Predictive models: $50,000</w:t>
      </w:r>
    </w:p>
    <w:p>
      <w:pPr>
        <w:pStyle w:val="Compact"/>
        <w:numPr>
          <w:ilvl w:val="0"/>
          <w:numId w:val="1015"/>
        </w:numPr>
      </w:pPr>
      <w:r>
        <w:t xml:space="preserve">Security: $50,000</w:t>
      </w:r>
    </w:p>
    <w:bookmarkEnd w:id="52"/>
    <w:bookmarkStart w:id="53" w:name="cross-cutting-costs-1395000"/>
    <w:p>
      <w:pPr>
        <w:pStyle w:val="Heading3"/>
      </w:pPr>
      <w:r>
        <w:t xml:space="preserve">Cross-Cutting Costs – $1,395,000</w:t>
      </w:r>
    </w:p>
    <w:p>
      <w:pPr>
        <w:pStyle w:val="Compact"/>
        <w:numPr>
          <w:ilvl w:val="0"/>
          <w:numId w:val="1016"/>
        </w:numPr>
      </w:pPr>
      <w:r>
        <w:t xml:space="preserve">Cloud infrastructure: $300,000</w:t>
      </w:r>
    </w:p>
    <w:p>
      <w:pPr>
        <w:pStyle w:val="Compact"/>
        <w:numPr>
          <w:ilvl w:val="0"/>
          <w:numId w:val="1016"/>
        </w:numPr>
      </w:pPr>
      <w:r>
        <w:t xml:space="preserve">Personnel: $670,000</w:t>
      </w:r>
    </w:p>
    <w:p>
      <w:pPr>
        <w:pStyle w:val="Compact"/>
        <w:numPr>
          <w:ilvl w:val="0"/>
          <w:numId w:val="1016"/>
        </w:numPr>
      </w:pPr>
      <w:r>
        <w:t xml:space="preserve">Research &amp; compliance: $150,000</w:t>
      </w:r>
    </w:p>
    <w:p>
      <w:pPr>
        <w:pStyle w:val="Compact"/>
        <w:numPr>
          <w:ilvl w:val="0"/>
          <w:numId w:val="1016"/>
        </w:numPr>
      </w:pPr>
      <w:r>
        <w:t xml:space="preserve">Outreach: $200,000</w:t>
      </w:r>
    </w:p>
    <w:p>
      <w:pPr>
        <w:pStyle w:val="Compact"/>
        <w:numPr>
          <w:ilvl w:val="0"/>
          <w:numId w:val="1016"/>
        </w:numPr>
      </w:pPr>
      <w:r>
        <w:t xml:space="preserve">Monitoring &amp; evaluation: $75,000</w:t>
      </w:r>
    </w:p>
    <w:p>
      <w:r>
        <w:pict>
          <v:rect style="width:0;height:1.5pt" o:hralign="center" o:hrstd="t" o:hr="t"/>
        </w:pict>
      </w:r>
    </w:p>
    <w:bookmarkEnd w:id="53"/>
    <w:bookmarkEnd w:id="54"/>
    <w:bookmarkStart w:id="55" w:name="funding-structure"/>
    <w:p>
      <w:pPr>
        <w:pStyle w:val="Heading2"/>
      </w:pPr>
      <w:r>
        <w:t xml:space="preserve">7.3 Funding Structure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r>
              <w:t xml:space="preserve">Amount</w:t>
            </w:r>
          </w:p>
        </w:tc>
      </w:tr>
      <w:tr>
        <w:tc>
          <w:tcPr/>
          <w:p>
            <w:pPr>
              <w:pStyle w:val="Compact"/>
            </w:pPr>
            <w:r>
              <w:t xml:space="preserve">POTRAZ Innovation Fund</w:t>
            </w:r>
          </w:p>
        </w:tc>
        <w:tc>
          <w:tcPr/>
          <w:p>
            <w:pPr>
              <w:pStyle w:val="Compact"/>
            </w:pPr>
            <w:r>
              <w:t xml:space="preserve">$1,500,000</w:t>
            </w:r>
          </w:p>
        </w:tc>
      </w:tr>
      <w:tr>
        <w:tc>
          <w:tcPr/>
          <w:p>
            <w:pPr>
              <w:pStyle w:val="Compact"/>
            </w:pPr>
            <w:r>
              <w:t xml:space="preserve">AIIA Contribution</w:t>
            </w:r>
          </w:p>
        </w:tc>
        <w:tc>
          <w:tcPr/>
          <w:p>
            <w:pPr>
              <w:pStyle w:val="Compact"/>
            </w:pPr>
            <w:r>
              <w:t xml:space="preserve">$500,000</w:t>
            </w:r>
          </w:p>
        </w:tc>
      </w:tr>
      <w:tr>
        <w:tc>
          <w:tcPr/>
          <w:p>
            <w:pPr>
              <w:pStyle w:val="Compact"/>
            </w:pPr>
            <w:r>
              <w:t xml:space="preserve">Strategic Partners</w:t>
            </w:r>
          </w:p>
        </w:tc>
        <w:tc>
          <w:tcPr/>
          <w:p>
            <w:pPr>
              <w:pStyle w:val="Compact"/>
            </w:pPr>
            <w:r>
              <w:t xml:space="preserve">$395,000</w:t>
            </w:r>
          </w:p>
        </w:tc>
      </w:tr>
    </w:tbl>
    <w:p>
      <w:r>
        <w:pict>
          <v:rect style="width:0;height:1.5pt" o:hralign="center" o:hrstd="t" o:hr="t"/>
        </w:pict>
      </w:r>
    </w:p>
    <w:bookmarkEnd w:id="55"/>
    <w:bookmarkStart w:id="57" w:name="revenue-model"/>
    <w:p>
      <w:pPr>
        <w:pStyle w:val="Heading2"/>
      </w:pPr>
      <w:r>
        <w:t xml:space="preserve">7.4 Revenue Model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Revenue Stream</w:t>
            </w:r>
          </w:p>
        </w:tc>
        <w:tc>
          <w:tcPr/>
          <w:p>
            <w:pPr>
              <w:pStyle w:val="Compact"/>
            </w:pPr>
            <w:r>
              <w:t xml:space="preserve">Year 2</w:t>
            </w:r>
          </w:p>
        </w:tc>
        <w:tc>
          <w:tcPr/>
          <w:p>
            <w:pPr>
              <w:pStyle w:val="Compact"/>
            </w:pPr>
            <w:r>
              <w:t xml:space="preserve">Year 3</w:t>
            </w:r>
          </w:p>
        </w:tc>
        <w:tc>
          <w:tcPr/>
          <w:p>
            <w:pPr>
              <w:pStyle w:val="Compact"/>
            </w:pPr>
            <w:r>
              <w:t xml:space="preserve">Year 4</w:t>
            </w:r>
          </w:p>
        </w:tc>
      </w:tr>
      <w:tr>
        <w:tc>
          <w:tcPr/>
          <w:p>
            <w:pPr>
              <w:pStyle w:val="Compact"/>
            </w:pPr>
            <w:r>
              <w:t xml:space="preserve">ADRS Licensing</w:t>
            </w:r>
          </w:p>
        </w:tc>
        <w:tc>
          <w:tcPr/>
          <w:p>
            <w:pPr>
              <w:pStyle w:val="Compact"/>
            </w:pPr>
            <w:r>
              <w:t xml:space="preserve">150,000</w:t>
            </w:r>
          </w:p>
        </w:tc>
        <w:tc>
          <w:tcPr/>
          <w:p>
            <w:pPr>
              <w:pStyle w:val="Compact"/>
            </w:pPr>
            <w:r>
              <w:t xml:space="preserve">300,000</w:t>
            </w:r>
          </w:p>
        </w:tc>
        <w:tc>
          <w:tcPr/>
          <w:p>
            <w:pPr>
              <w:pStyle w:val="Compact"/>
            </w:pPr>
            <w:r>
              <w:t xml:space="preserve">500,000</w:t>
            </w:r>
          </w:p>
        </w:tc>
      </w:tr>
      <w:tr>
        <w:tc>
          <w:tcPr/>
          <w:p>
            <w:pPr>
              <w:pStyle w:val="Compact"/>
            </w:pPr>
            <w:r>
              <w:t xml:space="preserve">Data APIs</w:t>
            </w:r>
          </w:p>
        </w:tc>
        <w:tc>
          <w:tcPr/>
          <w:p>
            <w:pPr>
              <w:pStyle w:val="Compact"/>
            </w:pPr>
            <w:r>
              <w:t xml:space="preserve">50,000</w:t>
            </w:r>
          </w:p>
        </w:tc>
        <w:tc>
          <w:tcPr/>
          <w:p>
            <w:pPr>
              <w:pStyle w:val="Compact"/>
            </w:pPr>
            <w:r>
              <w:t xml:space="preserve">120,000</w:t>
            </w:r>
          </w:p>
        </w:tc>
        <w:tc>
          <w:tcPr/>
          <w:p>
            <w:pPr>
              <w:pStyle w:val="Compact"/>
            </w:pPr>
            <w:r>
              <w:t xml:space="preserve">250,000</w:t>
            </w:r>
          </w:p>
        </w:tc>
      </w:tr>
      <w:tr>
        <w:tc>
          <w:tcPr/>
          <w:p>
            <w:pPr>
              <w:pStyle w:val="Compact"/>
            </w:pPr>
            <w:r>
              <w:t xml:space="preserve">Cognify Licensing</w:t>
            </w:r>
          </w:p>
        </w:tc>
        <w:tc>
          <w:tcPr/>
          <w:p>
            <w:pPr>
              <w:pStyle w:val="Compact"/>
            </w:pPr>
            <w:r>
              <w:t xml:space="preserve">100,000</w:t>
            </w:r>
          </w:p>
        </w:tc>
        <w:tc>
          <w:tcPr/>
          <w:p>
            <w:pPr>
              <w:pStyle w:val="Compact"/>
            </w:pPr>
            <w:r>
              <w:t xml:space="preserve">200,000</w:t>
            </w:r>
          </w:p>
        </w:tc>
        <w:tc>
          <w:tcPr/>
          <w:p>
            <w:pPr>
              <w:pStyle w:val="Compact"/>
            </w:pPr>
            <w:r>
              <w:t xml:space="preserve">350,000</w:t>
            </w:r>
          </w:p>
        </w:tc>
      </w:tr>
      <w:tr>
        <w:tc>
          <w:tcPr/>
          <w:p>
            <w:pPr>
              <w:pStyle w:val="Compact"/>
            </w:pPr>
            <w:r>
              <w:t xml:space="preserve">Training</w:t>
            </w:r>
          </w:p>
        </w:tc>
        <w:tc>
          <w:tcPr/>
          <w:p>
            <w:pPr>
              <w:pStyle w:val="Compact"/>
            </w:pPr>
            <w:r>
              <w:t xml:space="preserve">80,000</w:t>
            </w:r>
          </w:p>
        </w:tc>
        <w:tc>
          <w:tcPr/>
          <w:p>
            <w:pPr>
              <w:pStyle w:val="Compact"/>
            </w:pPr>
            <w:r>
              <w:t xml:space="preserve">150,000</w:t>
            </w:r>
          </w:p>
        </w:tc>
        <w:tc>
          <w:tcPr/>
          <w:p>
            <w:pPr>
              <w:pStyle w:val="Compact"/>
            </w:pPr>
            <w:r>
              <w:t xml:space="preserve">250,000</w:t>
            </w:r>
          </w:p>
        </w:tc>
      </w:tr>
      <w:tr>
        <w:tc>
          <w:tcPr/>
          <w:p>
            <w:pPr>
              <w:pStyle w:val="Compact"/>
            </w:pPr>
            <w:r>
              <w:t xml:space="preserve">Fintech APIs</w:t>
            </w:r>
          </w:p>
        </w:tc>
        <w:tc>
          <w:tcPr/>
          <w:p>
            <w:pPr>
              <w:pStyle w:val="Compact"/>
            </w:pPr>
            <w:r>
              <w:t xml:space="preserve">120,000</w:t>
            </w:r>
          </w:p>
        </w:tc>
        <w:tc>
          <w:tcPr/>
          <w:p>
            <w:pPr>
              <w:pStyle w:val="Compact"/>
            </w:pPr>
            <w:r>
              <w:t xml:space="preserve">250,000</w:t>
            </w:r>
          </w:p>
        </w:tc>
        <w:tc>
          <w:tcPr/>
          <w:p>
            <w:pPr>
              <w:pStyle w:val="Compact"/>
            </w:pPr>
            <w:r>
              <w:t xml:space="preserve">400,000</w:t>
            </w:r>
          </w:p>
        </w:tc>
      </w:tr>
      <w:tr>
        <w:tc>
          <w:tcPr/>
          <w:p>
            <w:pPr>
              <w:pStyle w:val="Compact"/>
            </w:pPr>
            <w:r>
              <w:t xml:space="preserve">Subscriptions</w:t>
            </w:r>
          </w:p>
        </w:tc>
        <w:tc>
          <w:tcPr/>
          <w:p>
            <w:pPr>
              <w:pStyle w:val="Compact"/>
            </w:pPr>
            <w:r>
              <w:t xml:space="preserve">30,000</w:t>
            </w:r>
          </w:p>
        </w:tc>
        <w:tc>
          <w:tcPr/>
          <w:p>
            <w:pPr>
              <w:pStyle w:val="Compact"/>
            </w:pPr>
            <w:r>
              <w:t xml:space="preserve">100,000</w:t>
            </w:r>
          </w:p>
        </w:tc>
        <w:tc>
          <w:tcPr/>
          <w:p>
            <w:pPr>
              <w:pStyle w:val="Compact"/>
            </w:pPr>
            <w:r>
              <w:t xml:space="preserve">200,000</w:t>
            </w:r>
          </w:p>
        </w:tc>
      </w:tr>
    </w:tbl>
    <w:bookmarkStart w:id="56" w:name="projected-annual-revenue-year-4"/>
    <w:p>
      <w:pPr>
        <w:pStyle w:val="Heading3"/>
      </w:pPr>
      <w:r>
        <w:t xml:space="preserve">Projected Annual Revenue (Year 4):</w:t>
      </w:r>
    </w:p>
    <w:p>
      <w:pPr>
        <w:pStyle w:val="FirstParagraph"/>
      </w:pPr>
      <w:r>
        <w:rPr>
          <w:b/>
          <w:bCs/>
        </w:rPr>
        <w:t xml:space="preserve">$1.9M+</w:t>
      </w:r>
    </w:p>
    <w:p>
      <w:r>
        <w:pict>
          <v:rect style="width:0;height:1.5pt" o:hralign="center" o:hrstd="t" o:hr="t"/>
        </w:pict>
      </w:r>
    </w:p>
    <w:bookmarkEnd w:id="56"/>
    <w:bookmarkEnd w:id="57"/>
    <w:bookmarkStart w:id="58" w:name="sustainability-strategy"/>
    <w:p>
      <w:pPr>
        <w:pStyle w:val="Heading2"/>
      </w:pPr>
      <w:r>
        <w:t xml:space="preserve">7.5 Sustainability Strategy</w:t>
      </w:r>
    </w:p>
    <w:p>
      <w:pPr>
        <w:pStyle w:val="Compact"/>
        <w:numPr>
          <w:ilvl w:val="0"/>
          <w:numId w:val="1017"/>
        </w:numPr>
      </w:pPr>
      <w:r>
        <w:t xml:space="preserve">Government licensing</w:t>
      </w:r>
    </w:p>
    <w:p>
      <w:pPr>
        <w:pStyle w:val="Compact"/>
        <w:numPr>
          <w:ilvl w:val="0"/>
          <w:numId w:val="1017"/>
        </w:numPr>
      </w:pPr>
      <w:r>
        <w:t xml:space="preserve">API monetization</w:t>
      </w:r>
    </w:p>
    <w:p>
      <w:pPr>
        <w:pStyle w:val="Compact"/>
        <w:numPr>
          <w:ilvl w:val="0"/>
          <w:numId w:val="1017"/>
        </w:numPr>
      </w:pPr>
      <w:r>
        <w:t xml:space="preserve">Institutional partnerships</w:t>
      </w:r>
    </w:p>
    <w:p>
      <w:pPr>
        <w:pStyle w:val="Compact"/>
        <w:numPr>
          <w:ilvl w:val="0"/>
          <w:numId w:val="1017"/>
        </w:numPr>
      </w:pPr>
      <w:r>
        <w:t xml:space="preserve">Training revenue</w:t>
      </w:r>
    </w:p>
    <w:p>
      <w:r>
        <w:pict>
          <v:rect style="width:0;height:1.5pt" o:hralign="center" o:hrstd="t" o:hr="t"/>
        </w:pict>
      </w:r>
    </w:p>
    <w:bookmarkEnd w:id="58"/>
    <w:bookmarkEnd w:id="59"/>
    <w:bookmarkStart w:id="60" w:name="expected-impact"/>
    <w:p>
      <w:pPr>
        <w:pStyle w:val="Heading1"/>
      </w:pPr>
      <w:r>
        <w:t xml:space="preserve">8. Expected Impact</w:t>
      </w:r>
    </w:p>
    <w:p>
      <w:pPr>
        <w:pStyle w:val="Compact"/>
        <w:numPr>
          <w:ilvl w:val="0"/>
          <w:numId w:val="1018"/>
        </w:numPr>
      </w:pPr>
      <w:r>
        <w:t xml:space="preserve">5,000+ individuals trained in AI</w:t>
      </w:r>
    </w:p>
    <w:p>
      <w:pPr>
        <w:pStyle w:val="Compact"/>
        <w:numPr>
          <w:ilvl w:val="0"/>
          <w:numId w:val="1018"/>
        </w:numPr>
      </w:pPr>
      <w:r>
        <w:t xml:space="preserve">National datasets available for innovation</w:t>
      </w:r>
    </w:p>
    <w:p>
      <w:pPr>
        <w:pStyle w:val="Compact"/>
        <w:numPr>
          <w:ilvl w:val="0"/>
          <w:numId w:val="1018"/>
        </w:numPr>
      </w:pPr>
      <w:r>
        <w:t xml:space="preserve">Increased financial transparency</w:t>
      </w:r>
    </w:p>
    <w:p>
      <w:pPr>
        <w:pStyle w:val="Compact"/>
        <w:numPr>
          <w:ilvl w:val="0"/>
          <w:numId w:val="1018"/>
        </w:numPr>
      </w:pPr>
      <w:r>
        <w:t xml:space="preserve">Strengthened ICT sector growth</w:t>
      </w:r>
    </w:p>
    <w:p>
      <w:pPr>
        <w:pStyle w:val="Compact"/>
        <w:numPr>
          <w:ilvl w:val="0"/>
          <w:numId w:val="1018"/>
        </w:numPr>
      </w:pPr>
      <w:r>
        <w:t xml:space="preserve">Enhanced regulatory intelligence</w:t>
      </w:r>
    </w:p>
    <w:p>
      <w:r>
        <w:pict>
          <v:rect style="width:0;height:1.5pt" o:hralign="center" o:hrstd="t" o:hr="t"/>
        </w:pict>
      </w:r>
    </w:p>
    <w:bookmarkEnd w:id="60"/>
    <w:bookmarkStart w:id="61" w:name="risk-mitigation"/>
    <w:p>
      <w:pPr>
        <w:pStyle w:val="Heading1"/>
      </w:pPr>
      <w:r>
        <w:t xml:space="preserve">9. Risk &amp; Mitigation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Mitigation</w:t>
            </w:r>
          </w:p>
        </w:tc>
      </w:tr>
      <w:tr>
        <w:tc>
          <w:tcPr/>
          <w:p>
            <w:pPr>
              <w:pStyle w:val="Compact"/>
            </w:pPr>
            <w:r>
              <w:t xml:space="preserve">Low adoption</w:t>
            </w:r>
          </w:p>
        </w:tc>
        <w:tc>
          <w:tcPr/>
          <w:p>
            <w:pPr>
              <w:pStyle w:val="Compact"/>
            </w:pPr>
            <w:r>
              <w:t xml:space="preserve">Strategic partnerships</w:t>
            </w:r>
          </w:p>
        </w:tc>
      </w:tr>
      <w:tr>
        <w:tc>
          <w:tcPr/>
          <w:p>
            <w:pPr>
              <w:pStyle w:val="Compact"/>
            </w:pPr>
            <w:r>
              <w:t xml:space="preserve">Data privacy concerns</w:t>
            </w:r>
          </w:p>
        </w:tc>
        <w:tc>
          <w:tcPr/>
          <w:p>
            <w:pPr>
              <w:pStyle w:val="Compact"/>
            </w:pPr>
            <w:r>
              <w:t xml:space="preserve">Strong governance frameworks</w:t>
            </w:r>
          </w:p>
        </w:tc>
      </w:tr>
      <w:tr>
        <w:tc>
          <w:tcPr/>
          <w:p>
            <w:pPr>
              <w:pStyle w:val="Compact"/>
            </w:pPr>
            <w:r>
              <w:t xml:space="preserve">Technical complexity</w:t>
            </w:r>
          </w:p>
        </w:tc>
        <w:tc>
          <w:tcPr/>
          <w:p>
            <w:pPr>
              <w:pStyle w:val="Compact"/>
            </w:pPr>
            <w:r>
              <w:t xml:space="preserve">Phased implementation</w:t>
            </w:r>
          </w:p>
        </w:tc>
      </w:tr>
      <w:tr>
        <w:tc>
          <w:tcPr/>
          <w:p>
            <w:pPr>
              <w:pStyle w:val="Compact"/>
            </w:pPr>
            <w:r>
              <w:t xml:space="preserve">Funding gaps</w:t>
            </w:r>
          </w:p>
        </w:tc>
        <w:tc>
          <w:tcPr/>
          <w:p>
            <w:pPr>
              <w:pStyle w:val="Compact"/>
            </w:pPr>
            <w:r>
              <w:t xml:space="preserve">Hybrid revenue model</w:t>
            </w:r>
          </w:p>
        </w:tc>
      </w:tr>
    </w:tbl>
    <w:p>
      <w:r>
        <w:pict>
          <v:rect style="width:0;height:1.5pt" o:hralign="center" o:hrstd="t" o:hr="t"/>
        </w:pict>
      </w:r>
    </w:p>
    <w:bookmarkEnd w:id="61"/>
    <w:bookmarkStart w:id="62" w:name="conclusion"/>
    <w:p>
      <w:pPr>
        <w:pStyle w:val="Heading1"/>
      </w:pPr>
      <w:r>
        <w:t xml:space="preserve">10. Conclusion</w:t>
      </w:r>
    </w:p>
    <w:p>
      <w:pPr>
        <w:pStyle w:val="FirstParagraph"/>
      </w:pPr>
      <w:r>
        <w:t xml:space="preserve">This proposal presents a high-impact national ICT initiative aligned with Vision 2030 and POTRAZ’s mandate.</w:t>
      </w:r>
    </w:p>
    <w:p>
      <w:pPr>
        <w:pStyle w:val="BodyText"/>
      </w:pPr>
      <w:r>
        <w:t xml:space="preserve">It positions POTRAZ as a driver of national AI infrastructure and digital innovation, enabling Zimbabwe’s transition into a competitive, knowledge-based economy.</w:t>
      </w:r>
    </w:p>
    <w:p>
      <w:r>
        <w:pict>
          <v:rect style="width:0;height:1.5pt" o:hralign="center" o:hrstd="t" o:hr="t"/>
        </w:pict>
      </w:r>
    </w:p>
    <w:p>
      <w:pPr>
        <w:pStyle w:val="FirstParagraph"/>
      </w:pPr>
      <w:r>
        <w:rPr>
          <w:b/>
          <w:bCs/>
        </w:rPr>
        <w:t xml:space="preserve">End of Proposal</w:t>
      </w:r>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2026-04-10T09:25:21Z</dcterms:created>
  <dcterms:modified xsi:type="dcterms:W3CDTF">2026-04-10T09:25:21Z</dcterms:modified>
</cp:coreProperties>
</file>

<file path=docProps/custom.xml><?xml version="1.0" encoding="utf-8"?>
<Properties xmlns="http://schemas.openxmlformats.org/officeDocument/2006/custom-properties" xmlns:vt="http://schemas.openxmlformats.org/officeDocument/2006/docPropsVTypes"/>
</file>