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r>
        <w:t xml:space="preserve"/>
      </w:r>
    </w:p>
    <w:p>
      <w:pPr>
        <w:spacing w:after="80" w:before="0"/>
        <w:jc w:val="center"/>
      </w:pPr>
      <w:r>
        <w:rPr>
          <w:rFonts w:ascii="Arial" w:cs="Arial" w:eastAsia="Arial" w:hAnsi="Arial"/>
          <w:b/>
          <w:bCs/>
          <w:color w:val="0D2137"/>
          <w:sz w:val="32"/>
          <w:szCs w:val="32"/>
        </w:rPr>
        <w:t xml:space="preserve">Track 3: Development — System Checklist</w:t>
      </w:r>
    </w:p>
    <w:p>
      <w:pPr>
        <w:spacing w:after="60" w:before="0"/>
        <w:jc w:val="center"/>
      </w:pPr>
      <w:r>
        <w:rPr>
          <w:rFonts w:ascii="Arial" w:cs="Arial" w:eastAsia="Arial" w:hAnsi="Arial"/>
          <w:i/>
          <w:iCs/>
          <w:color w:val="1D6FA4"/>
          <w:sz w:val="22"/>
          <w:szCs w:val="22"/>
        </w:rPr>
        <w:t xml:space="preserve">Building Functional AI-Powered Applications and Minimum Viable Products</w:t>
      </w:r>
    </w:p>
    <w:p>
      <w:pPr>
        <w:pBdr>
          <w:bottom w:val="single" w:color="1D6FA4" w:sz="6" w:space="1"/>
        </w:pBdr>
        <w:spacing w:after="160" w:before="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A3F5C"/>
                <w:sz w:val="20"/>
                <w:szCs w:val="20"/>
              </w:rPr>
              <w:t xml:space="preserve">Track Focus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Building a technically credible, AI-powered product, prototype, or MVP that responds to a defined user, institutional, market, or public-interest need.</w:t>
            </w:r>
          </w:p>
        </w:tc>
      </w:tr>
      <w:tr>
        <w:tc>
          <w:tcPr>
            <w:tcW w:type="dxa" w:w="3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A3F5C"/>
                <w:sz w:val="20"/>
                <w:szCs w:val="20"/>
              </w:rPr>
              <w:t xml:space="preserve">Core Question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Does it work, does it use AI appropriately, is the data position clear, and is there a real pathway to use?</w:t>
            </w:r>
          </w:p>
        </w:tc>
      </w:tr>
      <w:tr>
        <w:tc>
          <w:tcPr>
            <w:tcW w:type="dxa" w:w="3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A3F5C"/>
                <w:sz w:val="20"/>
                <w:szCs w:val="20"/>
              </w:rPr>
              <w:t xml:space="preserve">Primary Output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Working prototype or technically credible MVP with architecture note, dataset statement, user interaction plan, risk note, and business model.</w:t>
            </w:r>
          </w:p>
        </w:tc>
      </w:tr>
      <w:tr>
        <w:tc>
          <w:tcPr>
            <w:tcW w:type="dxa" w:w="3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A3F5C"/>
                <w:sz w:val="20"/>
                <w:szCs w:val="20"/>
              </w:rPr>
              <w:t xml:space="preserve">Core Principle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 product must use AI where it genuinely adds value — not as a label. A rule-based system or database query that could do the job equally well is a critical failure.</w:t>
            </w:r>
          </w:p>
        </w:tc>
      </w:tr>
      <w:tr>
        <w:tc>
          <w:tcPr>
            <w:tcW w:type="dxa" w:w="3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tcPr>
          <w:p>
            <w:r>
              <w:rPr>
                <w:rFonts w:ascii="Arial" w:cs="Arial" w:eastAsia="Arial" w:hAnsi="Arial"/>
                <w:b/>
                <w:bCs/>
                <w:color w:val="1A3F5C"/>
                <w:sz w:val="20"/>
                <w:szCs w:val="20"/>
              </w:rPr>
              <w:t xml:space="preserve">Scoring</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100 points total: C1 Technical (30) + C2 AI Justification (30) + C3 Dataset (20) + C4 Business Model (20)</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1. Product Concept and Problem Definition</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has a clear name.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is described in one or two plain-English sentences.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target problem is clearly defined.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intended user or beneficiary is clearly named.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explains why the problem matters.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problem is a genuine public, industry, community, regulatory, or market need — not an invented scenario.</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is framed as an AI-powered solution to the problem, not as a data collection exercise or a design-only output.</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submission is not primarily about collecting data (that belongs in Track 1).</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submission is not primarily a visual interface without a substantive AI product component (that belongs in Track 2).</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submission is not primarily a governance, compliance, or audit framework (that belongs in Track 4).</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D6E9F8" w:val="clear"/>
            <w:tcMar>
              <w:top w:type="dxa" w:w="120"/>
              <w:left w:type="dxa" w:w="200"/>
              <w:bottom w:type="dxa" w:w="120"/>
              <w:right w:type="dxa" w:w="200"/>
            </w:tcMar>
          </w:tcPr>
          <w:p>
            <w:r>
              <w:rPr>
                <w:rFonts w:ascii="Arial" w:cs="Arial" w:eastAsia="Arial" w:hAnsi="Arial"/>
                <w:b/>
                <w:bCs/>
                <w:color w:val="0D2137"/>
                <w:sz w:val="22"/>
                <w:szCs w:val="22"/>
              </w:rPr>
              <w:t xml:space="preserve">What adjudicators want to see</w:t>
            </w:r>
          </w:p>
          <w:p>
            <w:pPr>
              <w:spacing w:before="60"/>
            </w:pPr>
            <w:r>
              <w:rPr>
                <w:rFonts w:ascii="Arial" w:cs="Arial" w:eastAsia="Arial" w:hAnsi="Arial"/>
                <w:color w:val="111111"/>
                <w:sz w:val="21"/>
                <w:szCs w:val="21"/>
              </w:rPr>
              <w:t xml:space="preserve">A product name, a one-sentence problem statement, a named user or organisation type, and a clear statement of what the product does for that user. If you cannot describe the product and its user in two sentences, the problem definition is not yet clear enough.</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2. Strategic Alignment — Zimbabwe and National Priorities</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responds to a defined need in Zimbabwe or the SADC region.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target user or beneficiary is a Zimbabwean or Southern African person, organisation, or institution.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aligns with at least one National AI Strategy priority (public sector efficiency, MSME inclusion, sovereign AI infrastructure, AI skills development, or national data assets).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aligns with at least one NDS2 pillar (economic growth, social development, governance and institutions, infrastructure, environment and climate).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Vision 2030 or Heritage-Based Education 5.0 connection is stated where relevant.</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alignment is specific — naming the initiative or pillar — not a generic claim.</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addresses a sector from the priority list: fisheries, future skills, finance, tourism, agriculture, health, energy, public services, education, informal economy, or another clearly justified priority sector.</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0D2137"/>
                <w:sz w:val="22"/>
                <w:szCs w:val="22"/>
              </w:rPr>
              <w:t xml:space="preserve">NOTE</w:t>
            </w:r>
          </w:p>
          <w:p>
            <w:pPr>
              <w:spacing w:before="60"/>
            </w:pPr>
            <w:r>
              <w:rPr>
                <w:rFonts w:ascii="Arial" w:cs="Arial" w:eastAsia="Arial" w:hAnsi="Arial"/>
                <w:color w:val="111111"/>
                <w:sz w:val="21"/>
                <w:szCs w:val="21"/>
              </w:rPr>
              <w:t xml:space="preserve">Alignment must be specific and demonstrable. Stating 'this product supports Zimbabwe's development' is not sufficient. Name the strategy, name the pillar, and explain how the product's function directly contributes.</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3. AI Justification — Why AI, Why This Model</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explains what role AI plays in the solution.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explains why AI is necessary rather than optional, cosmetic, or replaceable by a simpler approach.</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 baseline comparison is provided: what the non-AI alternative would look like and why it is insufficient for this use case.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AI model or method used is named (e.g. llama-3.3-70b, CLIP, Whisper, LangGraph multi-agent, RAG over Qdrant, fine-tuned BERT, MobileNet, custom transformer).</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rationale for choosing this model or method is explained — why it is appropriate to the task, data, and operating environment.</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trade-offs between performance, cost, speed, explainability, and maintainability are acknowledged.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AI does something that a standard database query, lookup table, or rule-based system cannot do adequately.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submission does not 'force' AI where simpler logic would suffice.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Model limitations are acknowledged honestly — hallucination risk, data dependency, latency, cost.</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b/>
                <w:bCs/>
                <w:color w:val="0D2137"/>
                <w:sz w:val="22"/>
                <w:szCs w:val="22"/>
              </w:rPr>
              <w:t xml:space="preserve">CRITICAL RULE</w:t>
            </w:r>
          </w:p>
          <w:p>
            <w:pPr>
              <w:spacing w:before="60"/>
            </w:pPr>
            <w:r>
              <w:rPr>
                <w:rFonts w:ascii="Arial" w:cs="Arial" w:eastAsia="Arial" w:hAnsi="Arial"/>
                <w:color w:val="111111"/>
                <w:sz w:val="21"/>
                <w:szCs w:val="21"/>
              </w:rPr>
              <w:t xml:space="preserve">CRITICAL RULE: Applications must demonstrate a clear and technically justified need for AI. Solutions that force the use of AI where simpler database queries or standard rule-based logic would suffice will be heavily penalised. This is the single most common reason for a low C2 score.</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4. Technical Architecture</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 system architecture overview is provided (diagram, description, or structured list of components).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main components of the solution are identified: model or AI service, application layer, storage method, integrations, hosting or device assumptions.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programming language and key frameworks or libraries are stated.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model or AI service is identified — whether a hosted API (OpenAI, Groq, Claude, OpenRouter), a locally-run open-weight model (Ollama, llama.cpp), a fine-tuned model, or a custom-trained model.</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hosting or deployment environment is described — local, cloud, on-premise, device, or hybrid.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Database or storage method is described — type, schema, versioning, portability.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External integrations or APIs used are listed with their purpose.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Security assumptions are noted — how credentials are stored, how access is controlled.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Known constraints and dependencies are disclosed honestly.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architecture is coherent and internally consistent — components connect logically.</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D6E9F8" w:val="clear"/>
            <w:tcMar>
              <w:top w:type="dxa" w:w="120"/>
              <w:left w:type="dxa" w:w="200"/>
              <w:bottom w:type="dxa" w:w="120"/>
              <w:right w:type="dxa" w:w="200"/>
            </w:tcMar>
          </w:tcPr>
          <w:p>
            <w:r>
              <w:rPr>
                <w:rFonts w:ascii="Arial" w:cs="Arial" w:eastAsia="Arial" w:hAnsi="Arial"/>
                <w:b/>
                <w:bCs/>
                <w:color w:val="0D2137"/>
                <w:sz w:val="22"/>
                <w:szCs w:val="22"/>
              </w:rPr>
              <w:t xml:space="preserve">CCE Environment Note (ZCHPC)</w:t>
            </w:r>
          </w:p>
          <w:p>
            <w:pPr>
              <w:spacing w:before="60"/>
            </w:pPr>
            <w:r>
              <w:rPr>
                <w:rFonts w:ascii="Arial" w:cs="Arial" w:eastAsia="Arial" w:hAnsi="Arial"/>
                <w:color w:val="111111"/>
                <w:sz w:val="21"/>
                <w:szCs w:val="21"/>
              </w:rPr>
              <w:t xml:space="preserve">Where the ZCHPC Controlled Compute Environment is used, provide: your compute and storage quota requirements, the software environment (Docker image, conda env, or package list), your GPU requirements if any, and how your submission can be reproduced in the CCE. Teams using local or cloud inference should state this explicitly and explain why CCE is not required or used as a secondary environment.</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5. Prototype or Implementation Readiness</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 working prototype, functional demo, or MVP exists — or a technically credible implementation plan is provided.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prototype can be demonstrated, tested, or defended through a credible technical plan.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 demo URL, Git repository link, or live demonstration is available.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Git repository shows meaningful commit history — not a single-upload dump.</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code is readable and modular — not a single monolithic file.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 README or documentation file explains what the product does, how to run it, and what dependencies are required.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Dependencies are declared in a lockfile or manifest (package-lock.json, yarn.lock, requirements.txt, pyproject.toml, or equivalent).</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At least basic unit tests or functional tests are present and pass.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submission explains what has been built, what is still planned, and what would be required to complete and validate the product.</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prototype demonstrates the core AI functionality — not only the user interface.</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D6E9F8" w:val="clear"/>
            <w:tcMar>
              <w:top w:type="dxa" w:w="120"/>
              <w:left w:type="dxa" w:w="200"/>
              <w:bottom w:type="dxa" w:w="120"/>
              <w:right w:type="dxa" w:w="200"/>
            </w:tcMar>
          </w:tcPr>
          <w:p>
            <w:r>
              <w:rPr>
                <w:rFonts w:ascii="Arial" w:cs="Arial" w:eastAsia="Arial" w:hAnsi="Arial"/>
                <w:b/>
                <w:bCs/>
                <w:color w:val="0D2137"/>
                <w:sz w:val="22"/>
                <w:szCs w:val="22"/>
              </w:rPr>
              <w:t xml:space="preserve">What counts as a working prototype</w:t>
            </w:r>
          </w:p>
          <w:p>
            <w:pPr>
              <w:spacing w:before="60"/>
            </w:pPr>
            <w:r>
              <w:rPr>
                <w:rFonts w:ascii="Arial" w:cs="Arial" w:eastAsia="Arial" w:hAnsi="Arial"/>
                <w:color w:val="111111"/>
                <w:sz w:val="21"/>
                <w:szCs w:val="21"/>
              </w:rPr>
              <w:t xml:space="preserve">A prototype does not have to be production-ready. It does have to demonstrate that the AI component works. A demo that shows an agent completing a real task, a model producing a real output from real input, or an API that returns a real AI-generated result is sufficient. A set of screenshots of a planned UI without any working backend is not sufficient.</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6. Dataset Statement</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All data used in the product is clearly identified.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source of each dataset is stated.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lawful basis for using each dataset is explained (API terms, operator consent, open licence, own data).</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data dictionary or field list is provided where applicable.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Any simulated or synthetic data is clearly disclosed.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Where synthetic data is used, the generation method, assumptions, and limitations are explained.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Any AI-generated content used as training or evaluation data is disclosed as AI-generated.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Data that is still required but not yet obtained is listed with a plan for how it will be acquired.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Known data quality limitations are stated honestly.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Licensing and rights for all datasets are declared.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Personally identifiable information (PII) or sensitive data is identified and its handling is explained.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Data storage method is described — where it lives, how it is versioned, how it can be exported.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Data provenance is traceable — adjudicators could verify the source.</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0D2137"/>
                <w:sz w:val="22"/>
                <w:szCs w:val="22"/>
              </w:rPr>
              <w:t xml:space="preserve">NOTE</w:t>
            </w:r>
          </w:p>
          <w:p>
            <w:pPr>
              <w:spacing w:before="60"/>
            </w:pPr>
            <w:r>
              <w:rPr>
                <w:rFonts w:ascii="Arial" w:cs="Arial" w:eastAsia="Arial" w:hAnsi="Arial"/>
                <w:color w:val="111111"/>
                <w:sz w:val="21"/>
                <w:szCs w:val="21"/>
              </w:rPr>
              <w:t xml:space="preserve">Unsafe data sources — scraped data without permission, unverified personal data, or data used without a lawful basis — are grounds for disqualification from this track. If in doubt, use open-licensed data, synthetic data, or your own organisational data and document it clearly.</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7. User Interaction Plan</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has a defined user interaction method — web interface, mobile app, API, chatbot, workflow integration, CLI, or device.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user journey is described: how a user enters the product, uses it, and receives value from it.</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interface or API is demonstrated in the prototype or described in sufficient detail for adjudicators to evaluate.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is usable by the intended user — not only by developers or technical specialists.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Local language accessibility is considered where relevant (Shona, Ndebele, or other local languages for Zimbabwean target users).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Mobile or low-bandwidth considerations are addressed where the target user is mobile-first or in a low-connectivity environment.</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interaction model is appropriate to the product — a chatbot where conversation adds value, an API where integration adds value, an interface where visual interaction adds value.</w:t>
      </w:r>
    </w:p>
    <w:p>
      <w:pPr>
        <w:spacing w:after="50" w:before="50"/>
      </w:pPr>
      <w:r>
        <w:t xml:space="preserve"/>
      </w:r>
    </w:p>
    <w:p>
      <w:pPr>
        <w:pStyle w:val="Heading1"/>
        <w:spacing w:after="160" w:before="320"/>
      </w:pPr>
      <w:r>
        <w:rPr>
          <w:rFonts w:ascii="Arial" w:cs="Arial" w:eastAsia="Arial" w:hAnsi="Arial"/>
          <w:b/>
          <w:bCs/>
          <w:color w:val="0D2137"/>
          <w:sz w:val="28"/>
          <w:szCs w:val="28"/>
        </w:rPr>
        <w:t xml:space="preserve">8. Risk Note</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Material technical risks are identified (e.g. model hallucination, API dependency failure, data quality degradation, latency).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Ethical risks are identified (e.g. bias in model outputs, cultural inappropriateness, misinformation, over-reliance on AI).</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Data risks are identified (e.g. privacy exposure, provenance gaps, consent issues, data loss).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Security risks are identified (e.g. credential exposure, prompt injection, unauthorised access, unsafe code execution).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Adoption risks are identified (e.g. low digital literacy among target users, institutional resistance, cost of inference at scale).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Each identified risk has a mitigation or a frank acknowledgement that the mitigation is still to be designed.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risk note is candid — it does not claim there are no significant risks.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Where the product uses human-in-the-loop oversight, this is documented as a risk control.</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Data Protection Act (Chapter 12:07) obligations are addressed where personal data is processed.</w:t>
      </w:r>
    </w:p>
    <w:p>
      <w:pPr>
        <w:spacing w:after="50" w:before="50"/>
      </w:pPr>
      <w:r>
        <w:t xml:space="preserve"/>
      </w:r>
    </w:p>
    <w:p>
      <w:pPr>
        <w:pStyle w:val="Heading1"/>
        <w:spacing w:after="160" w:before="320"/>
      </w:pPr>
      <w:r>
        <w:rPr>
          <w:rFonts w:ascii="Arial" w:cs="Arial" w:eastAsia="Arial" w:hAnsi="Arial"/>
          <w:b/>
          <w:bCs/>
          <w:color w:val="0D2137"/>
          <w:sz w:val="28"/>
          <w:szCs w:val="28"/>
        </w:rPr>
        <w:t xml:space="preserve">9. Business Model and Sustainability</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intended users of the product are named.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customers — those who would pay or commission the product — are identified, even if different from the end users.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 revenue model or sustainability model is described: subscription, usage-based billing, institutional licence, grant-funded, public good, or another clear model.</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Operating costs are estimated — AI inference costs, hosting, storage, support, and maintenance.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can continue beyond the Grand Challenge without requiring ongoing grant funding to operate.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 pilot or validation pathway is described: who the first real users would be, how the product would be tested with them, and what success would look like.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Licensing and IP ownership is stated clearly.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product has a realistic route to continued use — through users, customers, institutional uptake, or a public-good deployment model.</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D6E9F8" w:val="clear"/>
            <w:tcMar>
              <w:top w:type="dxa" w:w="120"/>
              <w:left w:type="dxa" w:w="200"/>
              <w:bottom w:type="dxa" w:w="120"/>
              <w:right w:type="dxa" w:w="200"/>
            </w:tcMar>
          </w:tcPr>
          <w:p>
            <w:r>
              <w:rPr>
                <w:rFonts w:ascii="Arial" w:cs="Arial" w:eastAsia="Arial" w:hAnsi="Arial"/>
                <w:b/>
                <w:bCs/>
                <w:color w:val="0D2137"/>
                <w:sz w:val="22"/>
                <w:szCs w:val="22"/>
              </w:rPr>
              <w:t xml:space="preserve">Pricing and operating costs</w:t>
            </w:r>
          </w:p>
          <w:p>
            <w:pPr>
              <w:spacing w:before="60"/>
            </w:pPr>
            <w:r>
              <w:rPr>
                <w:rFonts w:ascii="Arial" w:cs="Arial" w:eastAsia="Arial" w:hAnsi="Arial"/>
                <w:color w:val="111111"/>
                <w:sz w:val="21"/>
                <w:szCs w:val="21"/>
              </w:rPr>
              <w:t xml:space="preserve">For AI products using cloud inference (OpenAI, Groq, Claude, etc.), estimate your per-user or per-mission inference cost. Adjudicators are aware that AI inference costs can make a product unviable at scale. Show you have thought about this — whether through local model deployment (Ollama), cost-tiered routing, or a pricing model that covers COGS. Products with no cost analysis score in the lower bands of C4.</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10. Edge and Embedded AI (Complete if Applicable)</w:t>
      </w:r>
    </w:p>
    <w:p>
      <w:pPr>
        <w:spacing w:after="50" w:before="50"/>
      </w:pPr>
      <w:r>
        <w:t xml:space="preserve"/>
      </w:r>
    </w:p>
    <w:p>
      <w:pPr>
        <w:spacing w:after="60" w:before="60"/>
      </w:pPr>
      <w:r>
        <w:rPr>
          <w:rFonts w:ascii="Arial" w:cs="Arial" w:eastAsia="Arial" w:hAnsi="Arial"/>
          <w:i/>
          <w:iCs/>
          <w:color w:val="666666"/>
          <w:sz w:val="22"/>
          <w:szCs w:val="22"/>
        </w:rPr>
        <w:t xml:space="preserve">Complete this section only if your product uses AI running on a device, sensor, drone, camera, microcontroller, single-board computer, or embedded system rather than on a cloud or local server.</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target device or hardware environment is named and specified.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model size and format are stated (e.g. GGUF quantised 4-bit, TensorFlow Lite, ONNX, Core ML).</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Memory requirements are stated and shown to fit within the device's available RAM (target: under 256MB for embedded systems).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Inference latency is estimated and shown to be appropriate for the use case (target: under 100ms per run for real-time applications).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Offline capability is described — how the device operates when connectivity is unavailable.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Power constraints are addressed — battery life, solar, grid, or low-power operation.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How outputs are transmitted or synchronised is explained (SMS, API push, Bluetooth, LoRa, Wi-Fi, local display).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Safe fallback is described — what happens when the model fails or the device loses power.</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The device has been tested or a hardware-in-the-loop validation plan is described.</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0D2137"/>
                <w:sz w:val="22"/>
                <w:szCs w:val="22"/>
              </w:rPr>
              <w:t xml:space="preserve">NOTE</w:t>
            </w:r>
          </w:p>
          <w:p>
            <w:pPr>
              <w:spacing w:before="60"/>
            </w:pPr>
            <w:r>
              <w:rPr>
                <w:rFonts w:ascii="Arial" w:cs="Arial" w:eastAsia="Arial" w:hAnsi="Arial"/>
                <w:color w:val="111111"/>
                <w:sz w:val="21"/>
                <w:szCs w:val="21"/>
              </w:rPr>
              <w:t xml:space="preserve">Cloud or local server products should state explicitly: 'This product does not use edge or embedded AI. It runs on [local server / cloud / ZCHPC CCE].' This confirms the edge section is not applicable rather than overlooked.</w:t>
            </w:r>
          </w:p>
        </w:tc>
      </w:tr>
    </w:tbl>
    <w:p>
      <w:pPr>
        <w:spacing w:after="50" w:before="50"/>
      </w:pPr>
      <w:r>
        <w:t xml:space="preserve"/>
      </w:r>
    </w:p>
    <w:p>
      <w:pPr>
        <w:pStyle w:val="Heading1"/>
        <w:spacing w:after="160" w:before="320"/>
      </w:pPr>
      <w:r>
        <w:rPr>
          <w:rFonts w:ascii="Arial" w:cs="Arial" w:eastAsia="Arial" w:hAnsi="Arial"/>
          <w:b/>
          <w:bCs/>
          <w:color w:val="0D2137"/>
          <w:sz w:val="28"/>
          <w:szCs w:val="28"/>
        </w:rPr>
        <w:t xml:space="preserve">11. Asset and Licence Register</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Ownership of all original code is disclosed (author or organisation).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All third-party libraries and frameworks are listed with their licences (MIT, Apache 2.0, BSD, GPL, proprietary, etc.).</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All AI models used are listed — whether accessed via API, downloaded as open weights, or fine-tuned — with their licence or terms of service.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All datasets used are listed with their licence, source, and access method.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All external APIs used are listed with their terms of service position.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Any design assets, icons, fonts, images, or templates used in the UI are listed with their licence.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Background IP (created before the Grand Challenge) is identified and its ownership confirmed.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Foreground IP (created during or for the Grand Challenge) is identified and a proposed licence or ownership position is stated.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POTRAZ's right to evaluate, demonstrate, and pilot the submission for public-interest purposes is acknowledged.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Commercial use, procurement, or institutional adoption beyond the Grand Challenge would require a separate agreement — this is stated.</w:t>
      </w:r>
    </w:p>
    <w:p>
      <w:pPr>
        <w:spacing w:after="50" w:before="50"/>
      </w:pPr>
      <w:r>
        <w:t xml:space="preserve"/>
      </w:r>
    </w:p>
    <w:p>
      <w:pPr>
        <w:pStyle w:val="Heading1"/>
        <w:spacing w:after="160" w:before="320"/>
      </w:pPr>
      <w:r>
        <w:rPr>
          <w:rFonts w:ascii="Arial" w:cs="Arial" w:eastAsia="Arial" w:hAnsi="Arial"/>
          <w:b/>
          <w:bCs/>
          <w:color w:val="0D2137"/>
          <w:sz w:val="28"/>
          <w:szCs w:val="28"/>
        </w:rPr>
        <w:t xml:space="preserve">12. Proposal Format Compliance</w:t>
      </w:r>
    </w:p>
    <w:p>
      <w:pPr>
        <w:spacing w:after="50" w:before="50"/>
      </w:pPr>
      <w:r>
        <w:t xml:space="preserve"/>
      </w:r>
    </w:p>
    <w:p>
      <w:pPr>
        <w:spacing w:after="60" w:before="60"/>
      </w:pPr>
      <w:r>
        <w:rPr>
          <w:rFonts w:ascii="Arial" w:cs="Arial" w:eastAsia="Arial" w:hAnsi="Arial"/>
          <w:b/>
          <w:bCs/>
          <w:color w:val="111111"/>
          <w:sz w:val="22"/>
          <w:szCs w:val="22"/>
        </w:rPr>
        <w:t xml:space="preserve">The written proposal must comply exactly with the following formatting requirements. Non-compliant submissions will be penalised or disqualified.</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Maximum 10 pages (excluding cover page and technical appendices).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PDF format only — Word (.docx) and other formats will be disqualified.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Font: Avenir or Arial, 11pt, 1.15 line spacing, 1-inch margins on all sides.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File name: [ProjectID]_AI4I_Proposal_Development.pdf</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Cover page included (not counted in page limit): Project Title, Track Name, Team Name, Lead Innovator Name, Date.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Section 1: Problem Definition &amp; Strategic Alignment (1–2 pages) — local problem, target user, National AI Strategy and NDS2 alignment.</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Section 2: Technical Design &amp; Product Logic (2–3 pages) — architecture diagram, models used, API integrations, database schemas, CCE compute requirements.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Section 3: Deliverables &amp; CCE Implementation Roadmap (2 pages) — timeline, milestones, compute requirements, dependency manifests, CCE deployment plan.</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Section 4: Compliance &amp; Risk Mitigation (1–2 pages) — ethical safeguards, DPA Chapter 12:07 compliance, consent mechanisms, model testing, cybersecurity.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Section 5: Sustainability &amp; Future Adoption (1 page) — cost projections, operating model, licensing, scaling pathway.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Online portal questionnaire completed.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Git repository link provided.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Demo URL provided (or live demo confirmed for Grand Challenge day).</w:t>
      </w:r>
    </w:p>
    <w:p>
      <w:pPr>
        <w:spacing w:after="50" w:before="50"/>
      </w:pPr>
      <w:r>
        <w:t xml:space="preserve"/>
      </w:r>
    </w:p>
    <w:p>
      <w:pPr>
        <w:pBdr>
          <w:bottom w:val="single" w:color="1D6FA4" w:sz="6" w:space="1"/>
        </w:pBdr>
        <w:spacing w:after="160" w:before="160"/>
      </w:pPr>
      <w:r>
        <w:t xml:space="preserve"/>
      </w:r>
    </w:p>
    <w:p>
      <w:pPr>
        <w:pStyle w:val="Heading1"/>
        <w:spacing w:after="160" w:before="320"/>
      </w:pPr>
      <w:r>
        <w:rPr>
          <w:rFonts w:ascii="Arial" w:cs="Arial" w:eastAsia="Arial" w:hAnsi="Arial"/>
          <w:b/>
          <w:bCs/>
          <w:color w:val="0D2137"/>
          <w:sz w:val="28"/>
          <w:szCs w:val="28"/>
        </w:rPr>
        <w:t xml:space="preserve">Scoring Rubric — 100 Points Total</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800"/>
      </w:tblGrid>
      <w:tr>
        <w:tc>
          <w:tcPr>
            <w:tcW w:type="dxa" w:w="4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C1: Technical Feasibility &amp; Code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6FA4"/>
                <w:sz w:val="19"/>
                <w:szCs w:val="19"/>
              </w:rPr>
              <w:t xml:space="preserve">30 pts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Architecture, code quality, tests, CCE readiness, documentation</w:t>
            </w:r>
          </w:p>
        </w:tc>
      </w:tr>
      <w:tr>
        <w:tc>
          <w:tcPr>
            <w:tcW w:type="dxa" w:w="40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19"/>
                <w:szCs w:val="19"/>
              </w:rPr>
              <w:t xml:space="preserve">C2: AI Justification &amp; Fit-for-Purpose</w:t>
            </w:r>
          </w:p>
        </w:tc>
        <w:tc>
          <w:tcPr>
            <w:tcW w:type="dxa" w:w="1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D6FA4"/>
                <w:sz w:val="19"/>
                <w:szCs w:val="19"/>
              </w:rPr>
              <w:t xml:space="preserve">30 pts</w:t>
            </w:r>
          </w:p>
        </w:tc>
        <w:tc>
          <w:tcPr>
            <w:tcW w:type="dxa" w:w="48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color w:val="111111"/>
                <w:sz w:val="19"/>
                <w:szCs w:val="19"/>
              </w:rPr>
              <w:t xml:space="preserve">Why AI, model rationale, no forced AI, baseline comparison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9"/>
                <w:szCs w:val="19"/>
              </w:rPr>
              <w:t xml:space="preserve">C3: Dataset Provenance &amp; Synthetic 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6FA4"/>
                <w:sz w:val="19"/>
                <w:szCs w:val="19"/>
              </w:rPr>
              <w:t xml:space="preserve">20 pts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Data sources, provenance, synthetic disclosure, limitations</w:t>
            </w:r>
          </w:p>
        </w:tc>
      </w:tr>
      <w:tr>
        <w:tc>
          <w:tcPr>
            <w:tcW w:type="dxa" w:w="40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19"/>
                <w:szCs w:val="19"/>
              </w:rPr>
              <w:t xml:space="preserve">C4: Business Model &amp; Edge Feasibility</w:t>
            </w:r>
          </w:p>
        </w:tc>
        <w:tc>
          <w:tcPr>
            <w:tcW w:type="dxa" w:w="1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D6FA4"/>
                <w:sz w:val="19"/>
                <w:szCs w:val="19"/>
              </w:rPr>
              <w:t xml:space="preserve">20 pts</w:t>
            </w:r>
          </w:p>
        </w:tc>
        <w:tc>
          <w:tcPr>
            <w:tcW w:type="dxa" w:w="48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color w:val="111111"/>
                <w:sz w:val="19"/>
                <w:szCs w:val="19"/>
              </w:rPr>
              <w:t xml:space="preserve">Operating costs, users, sustainability, edge specs if applicable</w:t>
            </w:r>
          </w:p>
        </w:tc>
      </w:tr>
    </w:tbl>
    <w:p>
      <w:pPr>
        <w:spacing w:after="100" w:before="100"/>
      </w:pPr>
      <w:r>
        <w:t xml:space="preserve"/>
      </w:r>
    </w:p>
    <w:p>
      <w:pPr>
        <w:pStyle w:val="Heading2"/>
        <w:spacing w:after="100" w:before="240"/>
      </w:pPr>
      <w:r>
        <w:rPr>
          <w:rFonts w:ascii="Arial" w:cs="Arial" w:eastAsia="Arial" w:hAnsi="Arial"/>
          <w:b/>
          <w:bCs/>
          <w:color w:val="1D6FA4"/>
          <w:sz w:val="24"/>
          <w:szCs w:val="24"/>
        </w:rPr>
        <w:t xml:space="preserve">C1: Technical Feasibility and Code Quality — 30 Points</w:t>
      </w:r>
    </w:p>
    <w:p>
      <w:pPr>
        <w:spacing w:after="60" w:before="60"/>
      </w:pPr>
      <w:r>
        <w:rPr>
          <w:rFonts w:ascii="Arial" w:cs="Arial" w:eastAsia="Arial" w:hAnsi="Arial"/>
          <w:color w:val="111111"/>
          <w:sz w:val="22"/>
          <w:szCs w:val="22"/>
        </w:rPr>
        <w:t xml:space="preserve">Architecture design, dependency stability, CCE environment readiness, code quality, and documentation.</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5200"/>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Score %</w:t>
            </w:r>
          </w:p>
        </w:tc>
        <w:tc>
          <w:tcPr>
            <w:tcW w:type="dxa" w:w="5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What adjudicators look for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11111"/>
                <w:sz w:val="20"/>
                <w:szCs w:val="20"/>
              </w:rPr>
              <w:t xml:space="preserve">Exemplary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11111"/>
                <w:sz w:val="20"/>
                <w:szCs w:val="20"/>
              </w:rPr>
              <w:t xml:space="preserve">27–30 pts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11111"/>
                <w:sz w:val="20"/>
                <w:szCs w:val="20"/>
              </w:rPr>
              <w:t xml:space="preserve">90–100%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Source code is highly modular, well-documented, and free of security warnings. Lockfiles and clean dependency manifests present. Unit tests present and passing. Git history shows structured, meaningful commits. README explains setup, run steps, and dependencies clearly. Architecture is coherent and components connect logically.</w:t>
            </w:r>
          </w:p>
        </w:tc>
      </w:tr>
      <w:tr>
        <w:tc>
          <w:tcPr>
            <w:tcW w:type="dxa" w:w="2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20"/>
                <w:szCs w:val="20"/>
              </w:rPr>
              <w:t xml:space="preserve">Proficient</w:t>
            </w:r>
          </w:p>
        </w:tc>
        <w:tc>
          <w:tcPr>
            <w:tcW w:type="dxa" w:w="14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20"/>
                <w:szCs w:val="20"/>
              </w:rPr>
              <w:t xml:space="preserve">18–26 pts</w:t>
            </w:r>
          </w:p>
        </w:tc>
        <w:tc>
          <w:tcPr>
            <w:tcW w:type="dxa" w:w="1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color w:val="111111"/>
                <w:sz w:val="20"/>
                <w:szCs w:val="20"/>
              </w:rPr>
              <w:t xml:space="preserve">60–80%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Solid codebase but lacks comprehensive documentation or docstrings. Dependency manifest present but unlocked. Unit tests cover primary logic only. Git commits are large and irregular. README present but incomplete. Architecture is described but some gaps remain.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11111"/>
                <w:sz w:val="20"/>
                <w:szCs w:val="20"/>
              </w:rPr>
              <w:t xml:space="preserve">Basic</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11111"/>
                <w:sz w:val="20"/>
                <w:szCs w:val="20"/>
              </w:rPr>
              <w:t xml:space="preserve">9–17 pts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111111"/>
                <w:sz w:val="20"/>
                <w:szCs w:val="20"/>
              </w:rPr>
              <w:t xml:space="preserve">30–50%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Code is monolithic and difficult to read. Dependency manifest missing. Testing unconfigured. Git history contains single-commit uploads. README absent or minimal. Architecture description is vague.</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11111"/>
                <w:sz w:val="20"/>
                <w:szCs w:val="20"/>
              </w:rPr>
              <w:t xml:space="preserve">Unsatisfactory</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11111"/>
                <w:sz w:val="20"/>
                <w:szCs w:val="20"/>
              </w:rPr>
              <w:t xml:space="preserve">0–8 pts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111111"/>
                <w:sz w:val="20"/>
                <w:szCs w:val="20"/>
              </w:rPr>
              <w:t xml:space="preserve">0–20%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Non-functional application. Code poorly written, unsafe, or copy-pasted. Fails compilation. No documentation. No test evidence. Git shows no meaningful development history.</w:t>
            </w:r>
          </w:p>
        </w:tc>
      </w:tr>
    </w:tbl>
    <w:p>
      <w:pPr>
        <w:spacing w:after="100" w:before="100"/>
      </w:pPr>
      <w:r>
        <w:t xml:space="preserve"/>
      </w:r>
    </w:p>
    <w:p>
      <w:pPr>
        <w:pStyle w:val="Heading2"/>
        <w:spacing w:after="100" w:before="240"/>
      </w:pPr>
      <w:r>
        <w:rPr>
          <w:rFonts w:ascii="Arial" w:cs="Arial" w:eastAsia="Arial" w:hAnsi="Arial"/>
          <w:b/>
          <w:bCs/>
          <w:color w:val="1D6FA4"/>
          <w:sz w:val="24"/>
          <w:szCs w:val="24"/>
        </w:rPr>
        <w:t xml:space="preserve">C2: AI Justification and Fit-for-Purpose — 30 Points</w:t>
      </w:r>
    </w:p>
    <w:p>
      <w:pPr>
        <w:spacing w:after="60" w:before="60"/>
      </w:pPr>
      <w:r>
        <w:rPr>
          <w:rFonts w:ascii="Arial" w:cs="Arial" w:eastAsia="Arial" w:hAnsi="Arial"/>
          <w:color w:val="111111"/>
          <w:sz w:val="22"/>
          <w:szCs w:val="22"/>
        </w:rPr>
        <w:t xml:space="preserve">Necessity and appropriateness of the AI model, baseline comparison, no forced AI, trade-off acknowledgement.</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5200"/>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Score %</w:t>
            </w:r>
          </w:p>
        </w:tc>
        <w:tc>
          <w:tcPr>
            <w:tcW w:type="dxa" w:w="5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What adjudicators look for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11111"/>
                <w:sz w:val="20"/>
                <w:szCs w:val="20"/>
              </w:rPr>
              <w:t xml:space="preserve">Exemplary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11111"/>
                <w:sz w:val="20"/>
                <w:szCs w:val="20"/>
              </w:rPr>
              <w:t xml:space="preserve">27–30 pts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11111"/>
                <w:sz w:val="20"/>
                <w:szCs w:val="20"/>
              </w:rPr>
              <w:t xml:space="preserve">90–100%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Complete justification of AI integration. Team proves why a baseline algorithm or rule-based system is insufficient. Model architecture is clearly appropriate for the use case. Trade-offs between performance, cost, explainability, and maintainability are acknowledged. No forced AI or over-engineering evident.</w:t>
            </w:r>
          </w:p>
        </w:tc>
      </w:tr>
      <w:tr>
        <w:tc>
          <w:tcPr>
            <w:tcW w:type="dxa" w:w="2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20"/>
                <w:szCs w:val="20"/>
              </w:rPr>
              <w:t xml:space="preserve">Proficient</w:t>
            </w:r>
          </w:p>
        </w:tc>
        <w:tc>
          <w:tcPr>
            <w:tcW w:type="dxa" w:w="14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20"/>
                <w:szCs w:val="20"/>
              </w:rPr>
              <w:t xml:space="preserve">18–26 pts</w:t>
            </w:r>
          </w:p>
        </w:tc>
        <w:tc>
          <w:tcPr>
            <w:tcW w:type="dxa" w:w="1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color w:val="111111"/>
                <w:sz w:val="20"/>
                <w:szCs w:val="20"/>
              </w:rPr>
              <w:t xml:space="preserve">60–80%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Solid AI integration, but trade-off rationales have minor gaps. Baseline comparison is present but basic. Model is slightly over-specified for the task but not egregiously so. Limitations are partially acknowledged.</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11111"/>
                <w:sz w:val="20"/>
                <w:szCs w:val="20"/>
              </w:rPr>
              <w:t xml:space="preserve">Basic</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11111"/>
                <w:sz w:val="20"/>
                <w:szCs w:val="20"/>
              </w:rPr>
              <w:t xml:space="preserve">9–17 pts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111111"/>
                <w:sz w:val="20"/>
                <w:szCs w:val="20"/>
              </w:rPr>
              <w:t xml:space="preserve">30–50%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Weak AI justification. A rule-based baseline or SQL query could solve the problem faster and more cheaply. Forced use of AI is evident. Model selection is unexplained or arbitrary.</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11111"/>
                <w:sz w:val="20"/>
                <w:szCs w:val="20"/>
              </w:rPr>
              <w:t xml:space="preserve">Unsatisfactory</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11111"/>
                <w:sz w:val="20"/>
                <w:szCs w:val="20"/>
              </w:rPr>
              <w:t xml:space="preserve">0–8 pts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111111"/>
                <w:sz w:val="20"/>
                <w:szCs w:val="20"/>
              </w:rPr>
              <w:t xml:space="preserve">0–20%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Fails the justification audit. Sledgehammer-to-crack-a-nut case. AI model used as a marketing label without actual utility. No explanation of why AI is needed at all.</w:t>
            </w:r>
          </w:p>
        </w:tc>
      </w:tr>
    </w:tbl>
    <w:p>
      <w:pPr>
        <w:spacing w:after="100" w:before="100"/>
      </w:pPr>
      <w:r>
        <w:t xml:space="preserve"/>
      </w:r>
    </w:p>
    <w:p>
      <w:pPr>
        <w:pStyle w:val="Heading2"/>
        <w:spacing w:after="100" w:before="240"/>
      </w:pPr>
      <w:r>
        <w:rPr>
          <w:rFonts w:ascii="Arial" w:cs="Arial" w:eastAsia="Arial" w:hAnsi="Arial"/>
          <w:b/>
          <w:bCs/>
          <w:color w:val="1D6FA4"/>
          <w:sz w:val="24"/>
          <w:szCs w:val="24"/>
        </w:rPr>
        <w:t xml:space="preserve">C3: Dataset Provenance and Synthetic Validation — 20 Points</w:t>
      </w:r>
    </w:p>
    <w:p>
      <w:pPr>
        <w:spacing w:after="60" w:before="60"/>
      </w:pPr>
      <w:r>
        <w:rPr>
          <w:rFonts w:ascii="Arial" w:cs="Arial" w:eastAsia="Arial" w:hAnsi="Arial"/>
          <w:color w:val="111111"/>
          <w:sz w:val="22"/>
          <w:szCs w:val="22"/>
        </w:rPr>
        <w:t xml:space="preserve">Data handling safety, data sourcing clarity, synthetic data validation, licensing, and limitation disclosure.</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5200"/>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Score %</w:t>
            </w:r>
          </w:p>
        </w:tc>
        <w:tc>
          <w:tcPr>
            <w:tcW w:type="dxa" w:w="5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What adjudicators look for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11111"/>
                <w:sz w:val="20"/>
                <w:szCs w:val="20"/>
              </w:rPr>
              <w:t xml:space="preserve">Exemplary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11111"/>
                <w:sz w:val="20"/>
                <w:szCs w:val="20"/>
              </w:rPr>
              <w:t xml:space="preserve">18–20 pts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11111"/>
                <w:sz w:val="20"/>
                <w:szCs w:val="20"/>
              </w:rPr>
              <w:t xml:space="preserve">90–100%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Clear dataset statement documenting all data sources, processing steps, field definitions, and licensing. Synthetic data generation method fully disclosed and validated (statistical correlation test or equivalent). Limitations and gaps stated honestly. PII handling explained. Data provenance is traceable.</w:t>
            </w:r>
          </w:p>
        </w:tc>
      </w:tr>
      <w:tr>
        <w:tc>
          <w:tcPr>
            <w:tcW w:type="dxa" w:w="2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20"/>
                <w:szCs w:val="20"/>
              </w:rPr>
              <w:t xml:space="preserve">Proficient</w:t>
            </w:r>
          </w:p>
        </w:tc>
        <w:tc>
          <w:tcPr>
            <w:tcW w:type="dxa" w:w="14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20"/>
                <w:szCs w:val="20"/>
              </w:rPr>
              <w:t xml:space="preserve">12–17 pts</w:t>
            </w:r>
          </w:p>
        </w:tc>
        <w:tc>
          <w:tcPr>
            <w:tcW w:type="dxa" w:w="1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color w:val="111111"/>
                <w:sz w:val="20"/>
                <w:szCs w:val="20"/>
              </w:rPr>
              <w:t xml:space="preserve">60–80%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Dataset statement present but lacks labelling details or full field definitions. Synthetic data generation disclosed but lacking validation methodology. Most limitations acknowledged but some gaps remain.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11111"/>
                <w:sz w:val="20"/>
                <w:szCs w:val="20"/>
              </w:rPr>
              <w:t xml:space="preserve">Basic</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11111"/>
                <w:sz w:val="20"/>
                <w:szCs w:val="20"/>
              </w:rPr>
              <w:t xml:space="preserve">6–11 pts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111111"/>
                <w:sz w:val="20"/>
                <w:szCs w:val="20"/>
              </w:rPr>
              <w:t xml:space="preserve">30–50%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Weak dataset documentation. Sourcing is unclear. Synthetic data used without generation details. Licensing position absent or assumed. Known limitations not addressed.</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11111"/>
                <w:sz w:val="20"/>
                <w:szCs w:val="20"/>
              </w:rPr>
              <w:t xml:space="preserve">Unsatisfactory</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11111"/>
                <w:sz w:val="20"/>
                <w:szCs w:val="20"/>
              </w:rPr>
              <w:t xml:space="preserve">0–5 pts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111111"/>
                <w:sz w:val="20"/>
                <w:szCs w:val="20"/>
              </w:rPr>
              <w:t xml:space="preserve">0–20%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Unsafe data sources used. Provenance unverified. Synthetic data used without any disclosure. PII handling not addressed. Data used without lawful basis.</w:t>
            </w:r>
          </w:p>
        </w:tc>
      </w:tr>
    </w:tbl>
    <w:p>
      <w:pPr>
        <w:spacing w:after="100" w:before="100"/>
      </w:pPr>
      <w:r>
        <w:t xml:space="preserve"/>
      </w:r>
    </w:p>
    <w:p>
      <w:pPr>
        <w:pStyle w:val="Heading2"/>
        <w:spacing w:after="100" w:before="240"/>
      </w:pPr>
      <w:r>
        <w:rPr>
          <w:rFonts w:ascii="Arial" w:cs="Arial" w:eastAsia="Arial" w:hAnsi="Arial"/>
          <w:b/>
          <w:bCs/>
          <w:color w:val="1D6FA4"/>
          <w:sz w:val="24"/>
          <w:szCs w:val="24"/>
        </w:rPr>
        <w:t xml:space="preserve">C4: Business Model and Edge Feasibility — 20 Points</w:t>
      </w:r>
    </w:p>
    <w:p>
      <w:pPr>
        <w:spacing w:after="60" w:before="60"/>
      </w:pPr>
      <w:r>
        <w:rPr>
          <w:rFonts w:ascii="Arial" w:cs="Arial" w:eastAsia="Arial" w:hAnsi="Arial"/>
          <w:color w:val="111111"/>
          <w:sz w:val="22"/>
          <w:szCs w:val="22"/>
        </w:rPr>
        <w:t xml:space="preserve">Operating cost viability, user pathways, sustainability, and edge/embedded constraints where applicable.</w:t>
      </w:r>
    </w:p>
    <w:p>
      <w:pPr>
        <w:spacing w:after="50" w:before="5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5200"/>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Score %</w:t>
            </w:r>
          </w:p>
        </w:tc>
        <w:tc>
          <w:tcPr>
            <w:tcW w:type="dxa" w:w="5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What adjudicators look for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11111"/>
                <w:sz w:val="20"/>
                <w:szCs w:val="20"/>
              </w:rPr>
              <w:t xml:space="preserve">Exemplary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11111"/>
                <w:sz w:val="20"/>
                <w:szCs w:val="20"/>
              </w:rPr>
              <w:t xml:space="preserve">18–20 pts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11111"/>
                <w:sz w:val="20"/>
                <w:szCs w:val="20"/>
              </w:rPr>
              <w:t xml:space="preserve">90–100%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Viable business model detailing operating costs (including AI inference costs), hosting, users, customers, and revenue or sustainability model. Pilot plan identifies first real users and success criteria. Licensing and IP position clear. For edge products: quantised models fit within device RAM (under 256MB) and latency verified (under 100ms per run).</w:t>
            </w:r>
          </w:p>
        </w:tc>
      </w:tr>
      <w:tr>
        <w:tc>
          <w:tcPr>
            <w:tcW w:type="dxa" w:w="2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20"/>
                <w:szCs w:val="20"/>
              </w:rPr>
              <w:t xml:space="preserve">Proficient</w:t>
            </w:r>
          </w:p>
        </w:tc>
        <w:tc>
          <w:tcPr>
            <w:tcW w:type="dxa" w:w="14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b/>
                <w:bCs/>
                <w:color w:val="111111"/>
                <w:sz w:val="20"/>
                <w:szCs w:val="20"/>
              </w:rPr>
              <w:t xml:space="preserve">12–17 pts</w:t>
            </w:r>
          </w:p>
        </w:tc>
        <w:tc>
          <w:tcPr>
            <w:tcW w:type="dxa" w:w="1200"/>
            <w:tcBorders>
              <w:top w:val="single" w:color="CCCCCC" w:sz="1"/>
              <w:left w:val="single" w:color="CCCCCC" w:sz="1"/>
              <w:bottom w:val="single" w:color="CCCCCC" w:sz="1"/>
              <w:right w:val="single" w:color="CCCCCC" w:sz="1"/>
            </w:tcBorders>
            <w:shd w:fill="EEF6FC" w:val="clear"/>
            <w:tcMar>
              <w:top w:type="dxa" w:w="80"/>
              <w:left w:type="dxa" w:w="120"/>
              <w:bottom w:type="dxa" w:w="80"/>
              <w:right w:type="dxa" w:w="120"/>
            </w:tcMar>
          </w:tcPr>
          <w:p>
            <w:r>
              <w:rPr>
                <w:rFonts w:ascii="Arial" w:cs="Arial" w:eastAsia="Arial" w:hAnsi="Arial"/>
                <w:color w:val="111111"/>
                <w:sz w:val="20"/>
                <w:szCs w:val="20"/>
              </w:rPr>
              <w:t xml:space="preserve">60–80%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Solid business model but costing trade-offs are vague. Inference costs not estimated. Pilot plan identified but without clear success criteria. For edge products: specs are reasonable but lack hardware-in-the-loop validation.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11111"/>
                <w:sz w:val="20"/>
                <w:szCs w:val="20"/>
              </w:rPr>
              <w:t xml:space="preserve">Basic</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11111"/>
                <w:sz w:val="20"/>
                <w:szCs w:val="20"/>
              </w:rPr>
              <w:t xml:space="preserve">6–11 pts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111111"/>
                <w:sz w:val="20"/>
                <w:szCs w:val="20"/>
              </w:rPr>
              <w:t xml:space="preserve">30–50%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Vague business model with unrealistic or absent cost estimates. No pilot plan. Sustainability is assumed rather than argued. For edge products: hardware specs unconfigured or ignored.</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11111"/>
                <w:sz w:val="20"/>
                <w:szCs w:val="20"/>
              </w:rPr>
              <w:t xml:space="preserve">Unsatisfactory</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11111"/>
                <w:sz w:val="20"/>
                <w:szCs w:val="20"/>
              </w:rPr>
              <w:t xml:space="preserve">0–5 pts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111111"/>
                <w:sz w:val="20"/>
                <w:szCs w:val="20"/>
              </w:rPr>
              <w:t xml:space="preserve">0–20%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Infeasible business model. No cost analysis. No sustainability pathway. For edge products: hardware requirements ignored, resulting in system failure on target device.</w:t>
            </w:r>
          </w:p>
        </w:tc>
      </w:tr>
    </w:tbl>
    <w:p>
      <w:pPr>
        <w:spacing w:after="100" w:before="100"/>
      </w:pPr>
      <w:r>
        <w:t xml:space="preserve"/>
      </w:r>
    </w:p>
    <w:p>
      <w:pPr>
        <w:pBdr>
          <w:bottom w:val="single" w:color="1D6FA4" w:sz="6" w:space="1"/>
        </w:pBdr>
        <w:spacing w:after="160" w:before="160"/>
      </w:pPr>
      <w:r>
        <w:t xml:space="preserve"/>
      </w:r>
    </w:p>
    <w:p>
      <w:pPr>
        <w:pStyle w:val="Heading1"/>
        <w:spacing w:after="160" w:before="320"/>
      </w:pPr>
      <w:r>
        <w:rPr>
          <w:rFonts w:ascii="Arial" w:cs="Arial" w:eastAsia="Arial" w:hAnsi="Arial"/>
          <w:b/>
          <w:bCs/>
          <w:color w:val="0D2137"/>
          <w:sz w:val="28"/>
          <w:szCs w:val="28"/>
        </w:rPr>
        <w:t xml:space="preserve">Final Submission Checklist</w:t>
      </w:r>
    </w:p>
    <w:p>
      <w:pPr>
        <w:spacing w:after="50" w:before="50"/>
      </w:pPr>
      <w:r>
        <w:t xml:space="preserve"/>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Working prototype or technically credible MVP is ready.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Technical architecture note is complete.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Dataset statement is complete — all data sources, synthetic data, and limitations documented.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User interaction plan is described — interface, API, chatbot, or device.</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Risk note covers technical, ethical, data, security, and adoption risks.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Business model covers users, customers, operating costs, and sustainability.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Asset and licence register is complete — all code, models, datasets, and APIs declared.</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Proposal is in PDF format, Arial or Avenir 11pt, 1.15 line spacing, max 10 pages.</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File named: [ProjectID]_AI4I_Proposal_Development.pdf</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Git repository link is available and repository has meaningful commit history.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Demo URL is available or live demo is confirmed for Grand Challenge day.</w:t>
      </w:r>
    </w:p>
    <w:p>
      <w:pPr>
        <w:spacing w:after="30" w:before="30"/>
      </w:pPr>
      <w:r>
        <w:rPr>
          <w:rFonts w:ascii="Arial" w:cs="Arial" w:eastAsia="Arial" w:hAnsi="Arial"/>
          <w:color w:val="111111"/>
          <w:sz w:val="22"/>
          <w:szCs w:val="22"/>
        </w:rPr>
        <w:t xml:space="preserve">☐ </w:t>
      </w:r>
      <w:r>
        <w:rPr>
          <w:rFonts w:ascii="Arial" w:cs="Arial" w:eastAsia="Arial" w:hAnsi="Arial"/>
          <w:color w:val="111111"/>
          <w:sz w:val="22"/>
          <w:szCs w:val="22"/>
        </w:rPr>
        <w:t xml:space="preserve">Online portal questionnaire is completed.</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none" w:color="FFFFFF" w:sz="0"/>
              <w:right w:val="none" w:color="FFFFFF" w:sz="0"/>
            </w:tcBorders>
            <w:shd w:fill="0D2137"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Suggested Scoring Checklist</w:t>
            </w:r>
          </w:p>
          <w:p>
            <w:pPr>
              <w:spacing w:after="50" w:before="50"/>
            </w:pPr>
            <w:r>
              <w:t xml:space="preserve"/>
            </w:r>
          </w:p>
          <w:p>
            <w:pPr>
              <w:spacing w:after="60" w:before="60"/>
            </w:pPr>
            <w:r>
              <w:rPr>
                <w:rFonts w:ascii="Arial" w:cs="Arial" w:eastAsia="Arial" w:hAnsi="Arial"/>
                <w:color w:val="FFFFFF"/>
                <w:sz w:val="22"/>
                <w:szCs w:val="22"/>
              </w:rPr>
              <w:t xml:space="preserve">☐  C1 — Technical Feasibility &amp; Code Quality (30 pts)</w:t>
            </w:r>
          </w:p>
          <w:p>
            <w:pPr>
              <w:spacing w:after="60" w:before="60"/>
            </w:pPr>
            <w:r>
              <w:rPr>
                <w:rFonts w:ascii="Arial" w:cs="Arial" w:eastAsia="Arial" w:hAnsi="Arial"/>
                <w:color w:val="FFFFFF"/>
                <w:sz w:val="22"/>
                <w:szCs w:val="22"/>
              </w:rPr>
              <w:t xml:space="preserve">☐  C2 — AI Justification &amp; Fit-for-Purpose (30 pts)</w:t>
            </w:r>
          </w:p>
          <w:p>
            <w:pPr>
              <w:spacing w:after="60" w:before="60"/>
            </w:pPr>
            <w:r>
              <w:rPr>
                <w:rFonts w:ascii="Arial" w:cs="Arial" w:eastAsia="Arial" w:hAnsi="Arial"/>
                <w:color w:val="FFFFFF"/>
                <w:sz w:val="22"/>
                <w:szCs w:val="22"/>
              </w:rPr>
              <w:t xml:space="preserve">☐  C3 — Dataset Provenance &amp; Synthetic Validation (20 pts)</w:t>
            </w:r>
          </w:p>
          <w:p>
            <w:pPr>
              <w:spacing w:after="60" w:before="60"/>
            </w:pPr>
            <w:r>
              <w:rPr>
                <w:rFonts w:ascii="Arial" w:cs="Arial" w:eastAsia="Arial" w:hAnsi="Arial"/>
                <w:color w:val="FFFFFF"/>
                <w:sz w:val="22"/>
                <w:szCs w:val="22"/>
              </w:rPr>
              <w:t xml:space="preserve">☐  C4 — Business Model &amp; Edge Feasibility (20 pts)</w:t>
            </w:r>
          </w:p>
          <w:p>
            <w:pPr>
              <w:spacing w:after="50" w:before="50"/>
            </w:pPr>
            <w:r>
              <w:t xml:space="preserve"/>
            </w:r>
          </w:p>
          <w:p>
            <w:pPr>
              <w:jc w:val="center"/>
            </w:pPr>
            <w:r>
              <w:rPr>
                <w:rFonts w:ascii="Arial" w:cs="Arial" w:eastAsia="Arial" w:hAnsi="Arial"/>
                <w:b/>
                <w:bCs/>
                <w:i/>
                <w:iCs/>
                <w:color w:val="D6E9F8"/>
                <w:sz w:val="21"/>
                <w:szCs w:val="21"/>
              </w:rPr>
              <w:t xml:space="preserve">Final quality test: the product must do something real that AI makes possible — not something a spreadsheet formula could do.</w:t>
            </w:r>
          </w:p>
        </w:tc>
      </w:tr>
    </w:tbl>
    <w:p>
      <w:pPr>
        <w:spacing w:after="50" w:before="5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2026-07-11T09:28:07.372Z</dcterms:created>
  <dcterms:modified xsi:type="dcterms:W3CDTF">2026-07-11T09:28:07.383Z</dcterms:modified>
</cp:coreProperties>
</file>

<file path=docProps/custom.xml><?xml version="1.0" encoding="utf-8"?>
<Properties xmlns="http://schemas.openxmlformats.org/officeDocument/2006/custom-properties" xmlns:vt="http://schemas.openxmlformats.org/officeDocument/2006/docPropsVTypes"/>
</file>