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rFonts w:ascii="宋体" w:hAnsi="宋体" w:eastAsia="宋体"/>
          <w:sz w:val="40"/>
        </w:rPr>
        <w:t>幻象标注</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192(0)</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role of RhoA in bladder cancer?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RhoA is a small GTPase that plays a critical role in regulating cell migration, invasion, and metastasis in various types of cancer, including bladder cancer. In bladder cancer cells, RhoA has been shown to promote cell migration, invasion, and epithelial-to-mesenchymal transition (EMT), which are critical steps in the progression of bladder cancer.</w:t>
              <w:br/>
              <w:t>RhoA activation has been linked to the overexpression of oncogenic proteins, such as EGFR and HER2, in bladder cancer cells. RhoA also interacts with and activates downstream signaling pathways, including the PI3K/Akt and MAPK/ERK pathways, which promote cell proliferation, survival, and angiogenesis in bladder cancer.</w:t>
              <w:br/>
              <w:t>In addition, RhoA has been shown to regulate the expression of genes involved in cell adhesion and the extracellular matrix, leading to the breakdown of tumor-associated adhesion and the acquisition of a more mesenchymal phenotype in bladder cancer cells.</w:t>
              <w:br/>
              <w:t>Overall, the role of RhoA in bladder cancer is complex and multifaceted, and further research is needed to fully understand its mechanisms of action and potential as a therapeutic target in bladder cancer treatment.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RhoA is a small GTPase.</w:t>
              <w:br/>
              <w:t>2. RhoA plays a critical role in regulating cell migration, invasion, and metastasis in various types of cancer, including bladder cancer.</w:t>
              <w:br/>
              <w:t>3. RhoA promotes cell migration, invasion, and epithelial-to-mesenchymal transition (EMT) in bladder cancer cells.</w:t>
              <w:br/>
              <w:t>4. RhoA activation is linked to the overexpression of oncogenic proteins, such as EGFR and HER2, in bladder cancer cells.</w:t>
              <w:br/>
              <w:t>5. RhoA interacts with and activates downstream signaling pathways, including the PI3K/Akt and MAPK/ERK pathways, in bladder cancer cells.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193(1)</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List human proteins that are subject to a dimer-to-tetramer transition.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are many human proteins that are known to undergo a dimer-to-tetramer transition, which is a common structural transition in proteins. Here are some examples of human proteins that have been reported to undergo this transition:</w:t>
              <w:br/>
              <w:t>1. Hemoglobin: Hemoglobin is a tetrameric protein that contains four subunits, each of which is a dimer. The dimer-to-tetramer transition is an important step in the folding and function of hemoglobin.</w:t>
              <w:br/>
              <w:t>2. Myoglobin: Myoglobin is another tetrameric protein that undergoes a dimer-to-tetramer transition. The transition is thought to be important for the proper functioning of myoglobin as an oxygen carrier in muscle cells.</w:t>
              <w:br/>
              <w:t>3. Cyclin-dependent kinase 5 (Cdk5): Cdk5 is a protein that regulates the activity of other proteins by transferring phosphate groups to them. It is a dimer that undergoes a dimer-to-tetramer transition, which is thought to be important for its function.</w:t>
              <w:br/>
              <w:t>4. P53: P53 is a tumor suppressor protein that regulates the cell cycle and prevents the formation of tumors. It is a tetramer that undergoes a dimer-to-tetramer transition, which is thought to be important for its function.</w:t>
              <w:br/>
              <w:t>5. G-protein coupled receptors (GPCRs): Many GPCRs are tetrameric proteins that undergo a dimer-to-tetramer transition. The transition is thought to be important for the proper functioning of GPCRs, which are involved in a wide range of physiological processes.</w:t>
              <w:br/>
              <w:t>6. Nuclear factor kappa B (NF-κB): NF-κB is a transcription factor that regulates the expression of genes involved in inflammation and immune responses. It is a dimer that undergoes a dimer-to-tetramer transition, which is thought to be important for its function.</w:t>
              <w:br/>
              <w:t>7. Signal transducer and activator of transcription 3 (Stat3): Stat3 is a transcription factor that regulates the expression of genes involved in inflammation and imm</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Hemoglobin is a tetrameric protein that contains four subunits, each of which is a dimer.</w:t>
              <w:br/>
              <w:t>2. Myoglobin is a tetrameric protein that undergoes a dimer-to-tetramer transition.</w:t>
              <w:br/>
              <w:t>3. Cyclin-dependent kinase 5 (Cdk5) is a dimer that undergoes a dimer-to-tetramer transition.</w:t>
              <w:br/>
              <w:t>4. P53 is a tetramer that undergoes a dimer-to-tetramer transition.</w:t>
              <w:br/>
              <w:t>5. G-protein coupled receptors (GPCRs) are tetrameric proteins that undergo a dimer-to-tetramer transition.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194(2)</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Inhibition of which transporter is the mechanism of action of drug Canagliflozin?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Canagliflozin is a medication used to treat type 2 diabetes. It works by inhibiting the sodium-glucose cotransporter 2 (SGLT2) in the kidneys, which reduces the amount of glucose reabsorbed by the kidneys and increases the amount of glucose excreted in the urine. This leads to a decrease in blood glucose levels.</w:t>
              <w:br/>
              <w:t>The mechanism of action of canagliflozin is the inhibition of the SGLT2 transporter in the kidneys. This transporter is responsible for the reabsorption of glucose from the filtrate in the kidneys back into the bloodstream, and its inhibition leads to increased glucose excretion in the urine. By inhibiting the SGLT2 transporter, canagliflozin reduces the amount of glucose reabsorbed by the kidneys and increases the amount of glucose excreted in the urine, leading to a decrease in blood glucose levels.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Canagliflozin is a medication used to treat type 2 diabetes.</w:t>
              <w:br/>
              <w:t>2. The mechanism of action of canagliflozin is the inhibition of the sodium-glucose cotransporter 2 (SGLT2) in the kidneys.</w:t>
              <w:br/>
              <w:t>3. The SGLT2 transporter is responsible for the reabsorption of glucose from the filtrate in the kidneys back into the bloodstream.</w:t>
              <w:br/>
              <w:t>4. Inhibiting the SGLT2 transporter leads to increased glucose excretion in the urine.</w:t>
              <w:br/>
              <w:t>5. Canagliflozin decreases blood glucose levels by reducing the amount of glucose reabsorbed by the kidneys and increasing the amount of glucose excreted in the urine.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195(3)</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prognostic role of thyroid hormone in patients with heart failure?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Thyroid hormones play an important role in the regulation of cardiovascular function, and alterations in thyroid hormone levels have been associated with an increased risk of heart failure. In patients with heart failure, the prognostic role of thyroid hormone is complex and can depend on various factors, including the type and severity of heart failure, the presence of comorbidities, and the individual patient's response to treatment.</w:t>
              <w:br/>
              <w:t>In general, elevated levels of triiodothyronine (T3) and thyroxine (T4) have been associated with a worse prognosis in patients with heart failure, as they can indicate an increased metabolic demand and a higher risk of adverse cardiovascular events. Conversely, low levels of T3 and T4 have been associated with a better prognosis, as they may indicate a lower metabolic demand and a lower risk of adverse cardiovascular events.</w:t>
              <w:br/>
              <w:t>However, it is important to note that the prognostic role of thyroid hormone in patients with heart failure is not yet fully understood and requires further investigation. Additionally, the measurement of thyroid hormone levels should be considered in the context of other clinical and biological variables, such as left ventricular ejection fraction, brain natriuretic peptide levels, and renal function, in order to provide a more accurate assessment of the patient's prognosis.</w:t>
              <w:br/>
              <w:t>In summary, the prognostic role of thyroid hormone in patients with heart failure is complex and can depend on various factors. Further research is needed to fully understand the relationship between thyroid hormone levels and the prognosis of patients with heart failure.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Thyroid hormones play an important role in the regulation of cardiovascular function.</w:t>
              <w:br/>
              <w:t>2. Alterations in thyroid hormone levels have been associated with an increased risk of heart failure.</w:t>
              <w:br/>
              <w:t>3. Elevated levels of triiodothyronine (T3) and thyroxine (T4) have been associated with a worse prognosis in patients with heart failure.</w:t>
              <w:br/>
              <w:t>4. Low levels of T3 and T4 have been associated with a better prognosis in patients with heart failure.</w:t>
              <w:br/>
              <w:t>5. The measurement of thyroid hormone levels should be considered in the context of other clinical and biological variables to provide a more accurate assessment of the patient's prognosis.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196(4)</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mutations of phospholamban gene have been found to cause hypertrophic cardiomyopathy?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Hypertrophic cardiomyopathy (HCM) is a genetic disorder that affects the heart muscle, leading to thickening of the heart wall (hypertrophy) and often causing symptoms such as chest pain, shortness of breath, and fatigue. Mutations in the phospholamban (PLN) gene have been identified as a major cause of HCM.</w:t>
              <w:br/>
              <w:t>The PLN gene encodes for the protein phospholamban, which is a regulatory subunit of the protein complex that phosphorylates and inhibits the enzyme ATPase of the sarcoplasmic reticulum (SR) Ca2+-ATPase. The SR Ca2+-ATPase is responsible for maintaining the Ca2+ gradient across the SR membrane, which is essential for the proper contraction of the heart muscle.</w:t>
              <w:br/>
              <w:t>Several mutations in the PLN gene have been identified as causative for HCM, including:</w:t>
              <w:br/>
              <w:t>1. R358W: This missense mutation occurs in the regulatory domain of the PLN protein and leads to reduced Ca2+ binding affinity, resulting in decreased inhibition of the SR Ca2+-ATPase.</w:t>
              <w:br/>
              <w:t>2. R144H: This missense mutation also occurs in the regulatory domain and results in reduced Ca2+ binding affinity, leading to increased Ca2+ sensitivity of the SR Ca2+-ATPase.</w:t>
              <w:br/>
              <w:t>3. Y166C: This missense mutation occurs in the ATPase domain of the PLN protein and results in reduced ATPase activity, leading to decreased Ca2+ pumping and increased Ca2+ accumulation in the SR.</w:t>
              <w:br/>
              <w:t>4. G726C: This missense mutation occurs in the regulatory domain of the PLN protein and results in reduced Ca2+ binding affinity, leading to increased Ca2+ sensitivity of the SR Ca2+-ATPase.</w:t>
              <w:br/>
              <w:t>5. E60Q: This missense mutation occurs in the ATPase domain of the PLN protein and results in reduced ATPase activity, leading to decreased Ca2+ pumping and increased Ca2+ accumulation in the SR.</w:t>
              <w:br/>
              <w:t>6. D149E: This missense mutation occurs in the regulatory domain of the PLN protein and results in reduced Ca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Hypertrophic cardiomyopathy (HCM) is a genetic disorder that leads to thickening of the heart wall.</w:t>
              <w:br/>
              <w:t>2. Mutations in the phospholamban (PLN) gene have been identified as a major cause of HCM.</w:t>
              <w:br/>
              <w:t>3. The PLN gene encodes for the protein phospholamban, which is a regulatory subunit of the protein complex that phosphorylates and inhibits the enzyme ATPase of the sarcoplasmic reticulum (SR) Ca2+-ATPase.</w:t>
              <w:br/>
              <w:t>4. The R358W mutation in the PLN gene reduces Ca2+ binding affinity and decreases inhibition of the SR Ca2+-ATPase.</w:t>
              <w:br/>
              <w:t>5. The R144H mutation in the PLN gene reduces Ca2+ binding affinity and increases Ca2+ sensitivity of the SR Ca2+-ATPase.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198(5)</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Abnormalities in which chromosomes were linked to the Moyamoya disease?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Moyamoya disease is a rare neurological disorder that affects the blood vessels in the brain and spinal cord. It is caused by the narrowing or blockage of the internal carotid artery and its branches, leading to a reduction in blood flow to the brain.</w:t>
              <w:br/>
              <w:t>Research has identified several chromosomal abnormalities that are linked to Moyamoya disease. These include:</w:t>
              <w:br/>
              <w:t>1. Chromosome 1q21.1 deletion: This is the most common chromosomal abnormality associated with Moyamoya disease, occurring in approximately 70% of cases. The deletion involves a segment of chromosome 1q21.1, which is a critical region for the development of the brain and blood vessels.</w:t>
              <w:br/>
              <w:t>2. Chromosome 22q11.2 deletion: This abnormality occurs in approximately 10% of Moyamoya cases and involves a deletion of a segment of chromosome 22q11.2. This region contains genes involved in the development and maintenance of the blood vessels.</w:t>
              <w:br/>
              <w:t>3. Trisomy 21 (Down syndrome): Moyamoya disease can occur in individuals with Down syndrome, which is caused by an extra copy of chromosome 21.</w:t>
              <w:br/>
              <w:t>4. Turner syndrome: This is a genetic disorder that affects females and is caused by a missing or partially deleted X chromosome. Moyamoya disease can occur in individuals with Turner syndrome.</w:t>
              <w:br/>
              <w:t>5. Klinefelter syndrome: This is a genetic disorder that affects males and is caused by an extra X chromosome. Moyamoya disease can occur in individuals with Klinefelter syndrome.</w:t>
              <w:br/>
              <w:t>These chromosomal abnormalities are thought to contribute to the development of Moyamoya disease by disrupting the normal development and function of the blood vessels in the brain and spinal cord.</w:t>
              <w:br/>
              <w:t>It is important to note that not all individuals with these chromosomal abnormalities will develop Moyamoya disease, and some individuals without any known chromosomal abnormalities can still develop the condition.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Moyamoya disease is a rare neurological disorder that affects the blood vessels in the brain and spinal cord.</w:t>
              <w:br/>
              <w:t>2. The most common chromosomal abnormality associated with Moyamoya disease is the deletion of a segment of chromosome 1q21.1, occurring in approximately 70% of cases.</w:t>
              <w:br/>
              <w:t>3. Approximately 10% of Moyamoya cases are linked to the deletion of a segment of chromosome 22q11.2.</w:t>
              <w:br/>
              <w:t>4. Moyamoya disease can occur in individuals with Down syndrome, caused by an extra copy of chromosome 21.</w:t>
              <w:br/>
              <w:t>5. Moyamoya disease can occur in individuals with Turner syndrome, a genetic disorder affecting females caused by a missing or partially deleted X chromosome.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199(6)</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is the branch site consensus sequence in U12-dependent introns?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 U12-dependent introns, the branch site consensus sequence is AGGAAG.</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branch site consensus sequence in U12-dependent introns is AGGAAG.</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200(7)</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For what is Protein A from Staphylococcus aureus used in biochemistry?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Protein A is a protein found in Staphylococcus aureus, a type of bacteria commonly found on the skin and in the nose of humans. It is a surface protein that plays a key role in the adherence of S. aureus to various surfaces, including medical implants and human tissues. In biochemistry, Protein A is used as a tool for studying the immune system and developing diagnostic tests for various diseases.</w:t>
              <w:br/>
              <w:t>One of the main applications of Protein A in biochemistry is as a capture molecule in immunoassays. Immunoassays are techniques used to detect and quantify specific proteins or antibodies in a sample. Protein A can be used to capture antibodies specific to S. aureus, allowing researchers to detect the presence of these antibodies in a patient's blood or other bodily fluids. This can be useful in diagnosing infections caused by S. aureus, such as endocarditis or osteomyelitis.</w:t>
              <w:br/>
              <w:t>Protein A is also used as a component of bacterial conjugates, which are used in vaccine development. By linking Protein A to a specific antigen, researchers can create a vaccine that stimulates an immune response against both the antigen and the surface protein. This can help to boost the immune system's ability to fight off infections caused by S. aureus.</w:t>
              <w:br/>
              <w:t>In addition to its use in immunoassays and vaccine development, Protein A has also been used as a tool for studying the structure and function of immune cells. For example, researchers have used Protein A to label immune cells and track their movement and behavior in response to infection.</w:t>
              <w:br/>
              <w:t>Overall, Protein A from Staphylococcus aureus is a valuable tool in biochemistry, with a range of applications in immunoassays, vaccine development, and immune cell research. Its ability to stimulate an immune response and capture specific antibodies makes it a useful tool for diagnosing and treating infections caused by this bacteria.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Protein A is a protein found in Staphylococcus aureus, a type of bacteria commonly found on the skin and in the nose of humans.</w:t>
              <w:br/>
              <w:t>2. Protein A plays a key role in the adherence of S. aureus to various surfaces, including medical implants and human tissues.</w:t>
              <w:br/>
              <w:t>3. Protein A is used as a capture molecule in immunoassays to detect and quantify specific proteins or antibodies in a sample.</w:t>
              <w:br/>
              <w:t>4. Protein A can be used to capture antibodies specific to S. aureus in a patient's blood or other bodily fluids, aiding in the diagnosis of S. aureus infections.</w:t>
              <w:br/>
              <w:t>5. Protein A is used in vaccine development to stimulate an immune response against both the antigen and the surface protein of S. aureus.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206(8)</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Between which probes does the recurrent translocation breakpoint on chromosome 22 of neuroepithelioma lie?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22q11.2 and 22q12</w:t>
              <w:br/>
              <w:t>B. 22q11.2 and 22q13</w:t>
              <w:br/>
              <w:t>C. 22q13 and 22q12</w:t>
              <w:br/>
              <w:t>D. 22q13 and 22q11.2</w:t>
              <w:br/>
              <w:t>Answer: B. 22q11.2 and 22q13</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recurrent translocation breakpoint on chromosome 22 of neuroepithelioma lies between 22q11.2 and 22q13.</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207(9)</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Does administration of triiodothyronine improve outcome following coronary artery bypass grafting?</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meta-analysis of 17 randomized controlled trials found that administration of triiodothyronine (T3) after coronary artery bypass grafting (CABG) may improve outcome. The meta-analysis, published in the Journal of the American College of Cardiology, found that T3 administration was associated with a significant reduction in the risk of major adverse cardiovascular events (MACE) at 1 year after CABG, compared to placebo or no treatment. MACE included cardiac death, myocardial infarction, stroke, and hospitalization for heart failure. The meta-analysis also found that T3 administration was associated with a significant reduction in the risk of cardiac death and myocardial infarction at 1 year after CABG. However, the meta-analysis did not find a significant reduction in the risk of stroke or hospitalization for heart failure. The authors of the meta-analysis concluded that T3 administration may be a useful adjunct to standard CABG therapy in improving outcomes after CABG.</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meta-analysis of 17 randomized controlled trials suggests that administration of triiodothyronine (T3) after coronary artery bypass grafting (CABG) may improve outcome.</w:t>
              <w:br/>
              <w:t>2. T3 administration after CABG is associated with a significant reduction in the risk of major adverse cardiovascular events (MACE) at 1 year.</w:t>
              <w:br/>
              <w:t>3. MACE includes cardiac death, myocardial infarction, stroke, and hospitalization for heart failure.</w:t>
              <w:br/>
              <w:t>4. T3 administration after CABG is associated with a significant reduction in the risk of cardiac death and myocardial infarction at 1 year.</w:t>
              <w:br/>
              <w:t>5. The meta-analysis did not find a significant reduction in the risk of stroke or hospitalization for heart failure with T3 administration after CABG.</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208(10)</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are the most widely used computational methods for the identification of CRMs (cis-regulatory modules)?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CRMs (cis-regulatory modules) are cis-acting elements that are located upstream of a gene or set of genes and are responsible for regulating their expression. Computational methods for identifying CRMs typically involve the analysis of genomic sequences and/or chromatin profiles to identify regions that are associated with specific gene expression patterns. Here are some of the most widely used computational methods for identifying CRMs:</w:t>
              <w:br/>
              <w:t>1. Position weight matrix (PWM) analysis: This method involves the use of a PWM to identify cis-regulatory elements in a genomic sequence. A PWM is a mathematical representation of a set of cis-regulatory elements that are known to be associated with a particular gene or set of genes. The PWM is used to scan the genomic sequence and identify regions that match the PWM.</w:t>
              <w:br/>
              <w:t>2. Chromatin immunoprecipitation sequencing (ChIP-seq): This method involves the use of ChIP-seq to identify regions of the genome that are associated with specific protein-DNA interactions. These regions are likely to be cis-regulatory elements.</w:t>
              <w:br/>
              <w:t>3. Genome-wide association studies (GWAS): This method involves the use of GWAS to identify regions of the genome that are associated with specific gene expression patterns. These regions are likely to be cis-regulatory elements.</w:t>
              <w:br/>
              <w:t>4. Machine learning methods: This method involves the use of machine learning algorithms to identify cis-regulatory elements in a genomic sequence. These algorithms can be trained on known cis-regulatory elements and then used to predict the presence of cis-regulatory elements in new genomic sequences.</w:t>
              <w:br/>
              <w:t>5. Regulatory element discovery (REDI): This method involves the use of a combination of computational methods, including PWM analysis, ChIP-seq, and GWAS, to identify cis-regulatory elements in a genomic sequence.</w:t>
              <w:br/>
              <w:t>6. Deep learning methods: This method involves the use of deep learning algorithms, such as convolutional neural networks (CNNs) and recurrent neural networks (RNNs), to identify cis-regulatory elements in a genomic sequence. These algorithms can learn to recognize cis-regulatory elements by analyzing large datasets of known cis-regulatory elements.</w:t>
              <w:br/>
              <w:t>7. Random forest methods: This method involves the use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CRMs (cis-regulatory modules) are cis-acting elements located upstream of a gene or set of genes.</w:t>
              <w:br/>
              <w:t>2. Computational methods for identifying CRMs involve the analysis of genomic sequences and/or chromatin profiles.</w:t>
              <w:br/>
              <w:t>3. The position weight matrix (PWM) analysis is a computational method used to identify cis-regulatory elements in a genomic sequence.</w:t>
              <w:br/>
              <w:t>4. Chromatin immunoprecipitation sequencing (ChIP-seq) is a computational method used to identify regions of the genome associated with specific protein-DNA interactions.</w:t>
              <w:br/>
              <w:t>5. Genome-wide association studies (GWAS) is a computational method used to identify regions of the genome associated with specific gene expression patterns.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209(11)</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enzyme does MLN4924 inhibit?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MLN4924 is a small molecule inhibitor of the enzyme PI3K (phosphatidylinositol 3-kinase). PI3K is a key regulator of cell survival and proliferation, and is often overexpressed in cancer. MLN4924 binds to the p110 subunit of PI3K, thereby inhibiting its activity and preventing the activation of downstream signaling pathways involved in cell survival and proliferation.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MLN4924 is a small molecule inhibitor.</w:t>
              <w:br/>
              <w:t>2. MLN4924 inhibits the enzyme PI3K (phosphatidylinositol 3-kinase).</w:t>
              <w:br/>
              <w:t>3. PI3K is a key regulator of cell survival and proliferation.</w:t>
              <w:br/>
              <w:t>4. PI3K is often overexpressed in cancer.</w:t>
              <w:br/>
              <w:t>5. MLN4924 binds to the p110 subunit of PI3K.</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210(12)</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protein has been found to interact with phospholamban (PLN) and is also an anti-apoptotic protein?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Phospholamban (PLN) is a protein that plays a crucial role in the regulation of cardiac excitation-contraction coupling. Recently, several studies have shown that PLN interacts with various proteins, including the anti-apoptotic protein Bcl-2. In this study, we investigated the interaction between PLN and Bcl-2 and its effect on cardiac apoptosis. Our results show that PLN and Bcl-2 interact in a protein-protein manner, and that Bcl-2 is required for PLN to inhibit cardiac apoptosis. These findings suggest that PLN may play a novel role in protecting the heart against apoptosis.</w:t>
              <w:br/>
              <w:t>Which protein interacts with PLN and is also an anti-apoptotic protein?</w:t>
              <w:br/>
              <w:t>Bcl-2</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Phospholamban (PLN) is a protein involved in the regulation of cardiac excitation-contraction coupling.</w:t>
              <w:br/>
              <w:t>2. PLN has been found to interact with the anti-apoptotic protein Bcl-2.</w:t>
              <w:br/>
              <w:t>3. Bcl-2 is required for PLN to inhibit cardiac apoptosis.</w:t>
              <w:br/>
              <w:t>4. Bcl-2 is an anti-apoptotic protein.</w:t>
              <w:br/>
              <w:t>5. The interaction between PLN and Bcl-2 occurs in a protein-protein manner.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211(13)</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long QT syndrome a cause for sudden cardiac death in athletes?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Long QT syndrome (LQTS) is a rare heart rhythm disorder that can cause sudden death in athletes. It is caused by abnormalities in the electrical system of the heart, which can lead to irregular heartbeats and a higher risk of sudden death.</w:t>
              <w:br/>
              <w:t>Athletes with LQTS may experience symptoms such as dizziness, fainting, or chest pain during exercise. In rare cases, they may suddenly collapse and die due to an irregular heartbeat.</w:t>
              <w:br/>
              <w:t>It is important for athletes with LQTS to avoid strenuous exercise and to inform their coaches or trainers about their condition. They may also need to take certain medications to help regulate their heart rhythm.</w:t>
              <w:br/>
              <w:t>While LQTS can be a serious condition, many people with the disorder can lead normal lives with proper treatment and precautions. However, it is important to seek medical attention immediately if symptoms occur during exercise.</w:t>
              <w:br/>
              <w:t>In summary, long QT syndrome can be a cause of sudden cardiac death in athletes, and it is important for athletes with the condition to take precautions and seek medical attention if symptoms occur during exercise.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Long QT syndrome is a rare heart rhythm disorder.</w:t>
              <w:br/>
              <w:t>2. Long QT syndrome can cause sudden death in athletes.</w:t>
              <w:br/>
              <w:t>3. Long QT syndrome is caused by abnormalities in the electrical system of the heart.</w:t>
              <w:br/>
              <w:t>4. Athletes with Long QT syndrome may experience symptoms such as dizziness, fainting, or chest pain during exercise.</w:t>
              <w:br/>
              <w:t>5. Athletes with Long QT syndrome should avoid strenuous exercise and inform their coaches or trainers about their condition.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212(14)</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clinical value of MammaPrint?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MammaPrint is a gene expression profiling test that helps predict the risk of breast cancer recurrence and the benefit of chemotherapy in postmenopausal women with early-stage breast cancer. It is based on the analysis of 70 genes that are involved in the development and progression of breast cancer.</w:t>
              <w:br/>
              <w:t>The test results are used to assign a Recurrence Score (RS) to each patient, which ranges from 0 to 100. A higher RS indicates a higher risk of breast cancer recurrence, and a lower RS indicates a lower risk. The test can also help identify patients who are unlikely to benefit from chemotherapy, which can help reduce the risk of adverse effects and improve quality of life.</w:t>
              <w:br/>
              <w:t>Clinical trials have shown that MammaPrint can help improve treatment decisions in several ways:</w:t>
              <w:br/>
              <w:t>1. Identification of low-risk patients: MammaPrint can identify patients with a low risk of recurrence (RS &lt; 18), who may not require chemotherapy. These patients can be monitored closely with imaging tests and may only need hormone therapy.</w:t>
              <w:br/>
              <w:t>2. Identification of high-risk patients: MammaPrint can identify patients with a high risk of recurrence (RS ≥ 31), who are likely to benefit from chemotherapy.</w:t>
              <w:br/>
              <w:t>3. Personalized treatment planning: MammaPrint can help create a personalized treatment plan for each patient based on their individual risk of recurrence and the potential benefits of chemotherapy.</w:t>
              <w:br/>
              <w:t>4. Monitoring of treatment response: MammaPrint can help monitor the response of breast cancer to treatment, including the effectiveness of chemotherapy and the potential for recurrence.</w:t>
              <w:br/>
              <w:t>5. Identification of patients with minimal residual disease: MammaPrint can identify patients with minimal residual disease (MRD), which may indicate a higher risk of recurrence.</w:t>
              <w:br/>
              <w:t>6. Identification of patients with a higher risk of distant recurrence: MammaPrint can identify patients with a higher risk of distant recurrence (e.g., liver, lung, or bone), which may require additional treatment.</w:t>
              <w:br/>
              <w:t>7. Identification of patients with a lower risk of local recurrence: MammaPrint can identify patients with a lower risk of local recurrence (e.g., breast), which may require less aggressive treatment.</w:t>
              <w:br/>
              <w:t>8. Identification of patients with a higher risk of disease-free survival:</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MammaPrint is a gene expression profiling test.</w:t>
              <w:br/>
              <w:t>2. MammaPrint helps predict the risk of breast cancer recurrence and the benefit of chemotherapy in postmenopausal women with early-stage breast cancer.</w:t>
              <w:br/>
              <w:t>3. MammaPrint analyzes 70 genes involved in the development and progression of breast cancer.</w:t>
              <w:br/>
              <w:t>4. The test assigns a Recurrence Score (RS) to each patient, ranging from 0 to 100, with a higher score indicating a higher risk of breast cancer recurrence.</w:t>
              <w:br/>
              <w:t>5. MammaPrint can help identify patients who are unlikely to benefit from chemotherapy.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214(15)</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Are there focused databases from which you can retrieve gene expression data on renal disease?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there are several focused databases that provide gene expression data on renal disease. Here are some examples:</w:t>
              <w:br/>
              <w:t>1. The Cancer Genome Atlas (TCGA): TCGA is a collaborative effort between the National Cancer Institute (NCI) and the National Human Genome Research Institute (NHGRI) that aims to catalogue the genomic changes in various types of cancer, including renal cell carcinoma (RCC). TCGA provides RNA sequencing data for over 3,000 RCC samples, along with clinical and demographic information.</w:t>
              <w:br/>
              <w:t>2. The Gene Expression Omnibus (GEO): GEO is a publicly accessible database that archives and distributes microarray and next-generation sequencing data. There are several renal disease-related datasets available on GEO, including the "Renal Cell Carcinoma" dataset, which contains gene expression data for 17 RCC samples.</w:t>
              <w:br/>
              <w:t>3. The Human Protein Atlas (HPA): HPA is a database that provides gene expression and protein localization data for human tissues, including the kidney. The database contains RNA sequencing data for over 30,000 human tissue samples, including samples from the kidney and urinary tract.</w:t>
              <w:br/>
              <w:t>4. The Cancer Cell Line Encyclopedia (CCLE): CCLE is a database that provides gene expression and mutation data for over 1,000 cancer cell lines, including those from the kidney. The database also contains information on the druggability of these cell lines, which can be useful for identifying potential therapeutic targets.</w:t>
              <w:br/>
              <w:t>5. The Kidney Cancer Genome Project (KCGP): KCGP is a collaborative effort between several institutions that aims to catalogue the genomic changes in kidney cancer. The database contains RNA sequencing data for over 100 kidney cancer samples, along with clinical and demographic information.</w:t>
              <w:br/>
              <w:t>6. The Open Access Series of Imaging Studies (OASIS): OASIS is a database that provides imaging data for various types of cancer, including kidney cancer. The database contains magnetic resonance imaging (MRI), positron emission tomography (PET), and computed tomography (CT) scans for over 100 kidney cancer patients.</w:t>
              <w:br/>
              <w:t>7. The National Center for Biotechnology Information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Cancer Genome Atlas (TCGA) is a collaborative effort between the National Cancer Institute (NCI) and the National Human Genome Research Institute (NHGRI).</w:t>
              <w:br/>
              <w:t>2. TCGA provides RNA sequencing data for over 3,000 renal cell carcinoma (RCC) samples.</w:t>
              <w:br/>
              <w:t>3. The Gene Expression Omnibus (GEO) is a publicly accessible database that archives and distributes microarray and next-generation sequencing data.</w:t>
              <w:br/>
              <w:t>4. The "Renal Cell Carcinoma" dataset is available on GEO and contains gene expression data for 17 RCC samples.</w:t>
              <w:br/>
              <w:t>5. The Human Protein Atlas (HPA) provides gene expression and protein localization data for human tissues, including the kidney.</w:t>
              <w:br/>
              <w:t>6. te: There are more than five factual statements in the answer, but these are five non-repetitive and independently verifiable facts from the answer.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215(16)</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systems have been developed for the numbering of antibody residues?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Antibody residues are numbered in a specific manner to facilitate the understanding of their structure and function. Several systems have been developed for the numbering of antibody residues, including:</w:t>
              <w:br/>
              <w:t>1. One-letter code: This system assigns a single letter code to each amino acid residue in an antibody. The letters are assigned based on the sequence of the amino acids in the protein.</w:t>
              <w:br/>
              <w:t>2. Three-letter code: This system assigns a three-letter code to each amino acid residue in an antibody. The three letters represent the sequence of the amino acids in the protein.</w:t>
              <w:br/>
              <w:t>3. Residue numbering: This system assigns a unique number to each amino acid residue in an antibody. The numbering starts at the N-terminus (amino acid 1) and ends at the C-terminus (amino acid 226).</w:t>
              <w:br/>
              <w:t>4. Kabat numbering: This system was developed by Dr. Donald Kabat and is widely used in the field of immunology. It assigns a unique number to each amino acid residue in an antibody, with the numbering starting at the N-terminus (amino acid 1) and ending at the C-terminus (amino acid 226).</w:t>
              <w:br/>
              <w:t>5. Dorland numbering: This system assigns a unique number to each amino acid residue in an antibody, with the numbering starting at the N-terminus (amino acid 1) and ending at the C-terminus (amino acid 226).</w:t>
              <w:br/>
              <w:t>6. European Bioinformatics Institute (EMBL) numbering: This system assigns a unique number to each amino acid residue in an antibody, with the numbering starting at the N-terminus (amino acid 1) and ending at the C-terminus (amino acid 226).</w:t>
              <w:br/>
              <w:t>7. Protein Data Bank (PDB) numbering: This system assigns a unique number to each amino acid residue in an antibody, with the numbering starting at the N-terminus (amino acid 1) and ending at the C-terminus (amino acid 226).</w:t>
              <w:br/>
              <w:t>Each of these systems has its own strengths and weaknesses, and the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Antibody residues can be numbered using the one-letter code system.</w:t>
              <w:br/>
              <w:t>2. Antibody residues can be numbered using the three-letter code system.</w:t>
              <w:br/>
              <w:t>3. Antibody residues can be numbered using the residue numbering system.</w:t>
              <w:br/>
              <w:t>4. Antibody residues can be numbered using the Kabat numbering system.</w:t>
              <w:br/>
              <w:t>5. Antibody residues can be numbered using the Dorland numbering system.</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216(17)</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Are there any DNMT3 proteins present in plants?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there are DNMT3 proteins present in plants. DNMT3 (DNA methyltransferase 3) is a protein that plays a crucial role in the maintenance of DNA methylation, which is an epigenetic modification that can affect gene expression and chromatin structure. While the best-studied DNMT3 proteins are found in animals, there are also DNMT3 proteins present in plants.</w:t>
              <w:br/>
              <w:t>In plants, DNMT3 proteins are involved in the methylation of cytosine residues in DNA, particularly in the context of repetitive elements. These proteins are essential for the maintenance of genomic stability and the regulation of gene expression, particularly in response to environmental stimuli.</w:t>
              <w:br/>
              <w:t>Studies have identified at least three DNMT3 proteins in plants: DNMT3a, DNMT3b, and DNMT3e. These proteins share significant sequence similarity with their animal counterparts and are thought to have similar functions in plants.</w:t>
              <w:br/>
              <w:t>For example, Arabidopsis thaliana contains two DNMT3 genes, DNMT3a and DNMT3b, which are expressed in various tissues and play a role in the methylation of repetitive DNA elements. Similarly, rice (Oryza sativa) and maize (Zea mays) also have DNMT3 genes that are expressed in different tissues and are involved in the regulation of gene expression.</w:t>
              <w:br/>
              <w:t>Overall, while the functions of DNMT3 proteins in plants are not as well-studied as those in animals, they play a crucial role in maintaining genomic stability and regulating gene expression in response to environmental stimuli.</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DNMT3 proteins are present in plants.</w:t>
              <w:br/>
              <w:t>2. DNMT3 proteins play a crucial role in the maintenance of DNA methylation in plants.</w:t>
              <w:br/>
              <w:t>3. DNMT3 proteins in plants are involved in the methylation of cytosine residues in DNA, particularly in the context of repetitive elements.</w:t>
              <w:br/>
              <w:t>4. At least three DNMT3 proteins have been identified in plants: DNMT3a, DNMT3b, and DNMT3e.</w:t>
              <w:br/>
              <w:t>5. Arabidopsis thaliana, rice (Oryza sativa), and maize (Zea mays) have DNMT3 genes that are expressed in different tissues and are involved in the regulation of gene expression.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217(18)</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number of protein coding genes in the human genome?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human genome contains approximately 20,000-25,000 protein-coding genes, according to current estimates. These genes are responsible for producing the proteins that perform a wide range of functions in the body, including structural, enzymatic, transport, and regulatory functions. The number of protein-coding genes in the human genome is slightly higher than the number of protein-coding genes in the mouse genome, which is around 19,000-20,000. However, the human genome is larger than the mouse genome, so it contains more genes overall.</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According to current estimates, the human genome contains approximately 20,000-25,000 protein-coding genes.</w:t>
              <w:br/>
              <w:t>2. Protein-coding genes in the human genome are responsible for producing proteins that have various functions in the body.</w:t>
              <w:br/>
              <w:t>3. The number of protein-coding genes in the human genome is slightly higher than the number of protein-coding genes in the mouse genome.</w:t>
              <w:br/>
              <w:t>4. The mouse genome contains around 19,000-20,000 protein-coding genes.</w:t>
              <w:br/>
              <w:t>5. The human genome is larger than the mouse genome, so it contains more genes overall.</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218(19)</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Has vitamin D has been shown to reduce incidence of falls in older people in clinical trials?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several clinical trials have shown that vitamin D supplementation can reduce the incidence of falls in older people. Here are some examples:</w:t>
              <w:br/>
              <w:t>1. A 2010 meta-analysis of 13 randomized controlled trials found that vitamin D supplementation was associated with a significant reduction in fall rates in older adults (RR = 0.77, 95% CI = 0.65-0.90).</w:t>
              <w:br/>
              <w:t>2. A 2012 randomized controlled trial found that vitamin D and calcium supplementation reduced the incidence of falls in older adults with low baseline 25-hydroxyvitamin D levels (RR = 0.56, 95% CI = 0.39-0.82).</w:t>
              <w:br/>
              <w:t>3. A 2013 randomized controlled trial found that vitamin D supplementation reduced the incidence of falls in older adults with a history of falls (RR = 0.43, 95% CI = 0.23-0.83).</w:t>
              <w:br/>
              <w:t>4. A 2016 randomized controlled trial found that vitamin D and omega-3 supplementation reduced the incidence of falls in older adults with a history of falls (RR = 0.35, 95% CI = 0.17-0.72).</w:t>
              <w:br/>
              <w:t>Overall, the evidence suggests that vitamin D supplementation may be effective in reducing the incidence of falls in older people, particularly in those with low baseline 25-hydroxyvitamin D levels or a history of falls. However, it is important to note that the optimal dosage and duration of vitamin D supplementation for fall prevention are still unclear and require further investigation.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2010 meta-analysis of 13 randomized controlled trials found that vitamin D supplementation was associated with a significant reduction in fall rates in older adults.</w:t>
              <w:br/>
              <w:t>2. A 2012 randomized controlled trial found that vitamin D and calcium supplementation reduced the incidence of falls in older adults with low baseline 25-hydroxyvitamin D levels.</w:t>
              <w:br/>
              <w:t>3. A 2013 randomized controlled trial found that vitamin D supplementation reduced the incidence of falls in older adults with a history of falls.</w:t>
              <w:br/>
              <w:t>4. A 2016 randomized controlled trial found that vitamin D and omega-3 supplementation reduced the incidence of falls in older adults with a history of falls.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219(20)</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indication for prophylactic use of antibiotics in COPD?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Prevention of exacerbations</w:t>
              <w:br/>
              <w:t>B. Treatment of exacerbations</w:t>
              <w:br/>
              <w:t>C. Prevention of hospitalization</w:t>
              <w:br/>
              <w:t>D. Treatment of hospital-acquired infections</w:t>
              <w:br/>
              <w:t>Answer: A. Prevention of exacerbations</w:t>
              <w:br/>
              <w:t>Explanation: Prophylactic use of antibiotics in patients with chronic obstructive pulmonary disease (COPD) is recommended to prevent exacerbations. COPD patients are at high risk of developing exacerbations, which can lead to worsening of symptoms, increased lung function decline, and increased risk of hospitalization and mortality. Antibiotics can help prevent exacerbations by reducing the risk of bacterial infections, which are a common cause of COPD exacerbations. The use of antibiotics in COPD patients has been shown to reduce the risk of exacerbations and improve lung function. However, antibiotics should only be used in patients with COPD who are at high risk of developing exacerbations, and the choice of antibiotic should be based on the patient's underlying microbiology and the severity of their COPD.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Prophylactic use of antibiotics in patients with COPD is recommended to prevent exacerbations.</w:t>
              <w:br/>
              <w:t>2. Exacerbations in COPD can lead to worsening of symptoms, increased lung function decline, and increased risk of hospitalization and mortality.</w:t>
              <w:br/>
              <w:t>3. Bacterial infections are a common cause of COPD exacerbations.</w:t>
              <w:br/>
              <w:t>4. The use of antibiotics in COPD patients has been shown to reduce the risk of exacerbations and improve lung function.</w:t>
              <w:br/>
              <w:t>5. The choice of antibiotic for prophylactic use in COPD should be based on the patient's underlying microbiology and the severity of their COPD.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222(21)</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there any association between Jarid2 and miR-155 in Th17 cells?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Jarid2 (Jumonji AT-rich interactive domain 2) is a histone H3 lysine 9 demethylase that has been implicated in the regulation of T cell differentiation and function. miR-155 (microRNA-155) is a microRNA that has been shown to play a critical role in the regulation of Th17 cell differentiation and function. However, there is limited information available on the direct association between Jarid2 and miR-155 in Th17 cells.</w:t>
              <w:br/>
              <w:t>Recent studies have shown that Jarid2 is involved in the regulation of miR-155 expression in Th17 cells. For example, one study found that Jarid2 is required for the maintenance of miR-155 expression in Th17 cells, and that miR-155 is a direct target of Jarid2. Another study found that Jarid2 regulates the expression of miR-155 by modulating the activity of the transcription factor STAT3, which is a key regulator of miR-155 expression.</w:t>
              <w:br/>
              <w:t>Overall, these studies suggest that there is a direct association between Jarid2 and miR-155 in Th17 cells, and that Jarid2 plays a critical role in regulating miR-155 expression and function in these cells. Further research is needed to fully understand the mechanisms underlying this association and its implications for T cell biology and autoimmune disease.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Jarid2 is a histone H3 lysine 9 demethylase.</w:t>
              <w:br/>
              <w:t>2. miR-155 is a microRNA.</w:t>
              <w:br/>
              <w:t>3. Jarid2 is involved in the regulation of miR-155 expression in Th17 cells.</w:t>
              <w:br/>
              <w:t>4. Jarid2 is required for the maintenance of miR-155 expression in Th17 cells.</w:t>
              <w:br/>
              <w:t>5. Jarid2 regulates the expression of miR-155 by modulating the activity of the transcription factor STAT3.</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223(22)</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enCHIP?</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enCHIP is a tool for analyzing and visualizing gene expression data. It stands for "Enhanced Clustering and Hierarchical Interaction Plot," and it was developed by researchers at the University of California, San Diego.</w:t>
              <w:br/>
              <w:t>How does enCHIP work?</w:t>
              <w:br/>
              <w:t>enCHIP works by creating a hierarchical clustering of genes based on their expression levels across multiple samples. It then uses a heatmap to visualize the expression patterns of the genes in each cluster. The heatmap shows the relative expression levels of each gene in each sample, with darker colors indicating higher expression levels.</w:t>
              <w:br/>
              <w:t>What are some of the key features of enCHIP?</w:t>
              <w:br/>
              <w:t>Some of the key features of enCHIP include:</w:t>
              <w:br/>
              <w:t>* Clustering: enCHIP uses a hierarchical clustering algorithm to group genes into clusters based on their expression patterns.</w:t>
              <w:br/>
              <w:t>* Heatmap visualization: enCHIP creates a heatmap to visualize the expression patterns of genes in each cluster.</w:t>
              <w:br/>
              <w:t>* Interaction plot: enCHIP also creates an interaction plot that shows the relationships between genes in each cluster.</w:t>
              <w:br/>
              <w:t>* Gene ontology (GO) enrichment analysis: enCHIP can perform GO enrichment analysis to identify overrepresented biological processes and pathways in the clusters.</w:t>
              <w:br/>
              <w:t>* Differential expression analysis: enCHIP can also perform differential expression analysis to identify genes that are differentially expressed between different samples.</w:t>
              <w:br/>
              <w:t>What are some of the benefits of using enCHIP?</w:t>
              <w:br/>
              <w:t>Some of the benefits of using enCHIP include:</w:t>
              <w:br/>
              <w:t>* Identification of novel gene expression patterns: enCHIP can identify novel gene expression patterns that may not have been detected using other methods.</w:t>
              <w:br/>
              <w:t>* Improved visualization of complex expression data: enCHIP's heatmap and interaction plot provide a more detailed and nuanced view of gene expression data than traditional methods.</w:t>
              <w:br/>
              <w:t>* Integration of multiple datasets: enCHIP can integrate multiple datasets to identify common patterns and differences in gene expression.</w:t>
              <w:br/>
              <w:t>* Identification of biological processes and pathways: enCHIP's GO enrichment analysis can identify overrepresented biological processes and pathways in the clusters, which can provide insights into the functional significance of the gene expression patterns.</w:t>
              <w:br/>
              <w:t>What are some of the limitations of enCHIP?</w:t>
              <w:br/>
              <w:t>Some of the limitations of enCHIP include: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enCHIP is a tool for analyzing and visualizing gene expression data.</w:t>
              <w:br/>
              <w:t>2. enCHIP was developed by researchers at the University of California, San Diego.</w:t>
              <w:br/>
              <w:t>3. enCHIP creates a hierarchical clustering of genes based on their expression levels across multiple samples.</w:t>
              <w:br/>
              <w:t>4. enCHIP uses a heatmap to visualize the expression patterns of genes in each cluster.</w:t>
              <w:br/>
              <w:t>5. enCHIP can perform Gene Ontology (GO) enrichment analysis to identify overrepresented biological processes and pathways in the clusters.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225(23)</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it safe to take isotretinoin during pregnancy?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Isotretinoin is a medication that is used to treat severe acne, but it can have serious side effects, including birth defects, if taken during pregnancy. Therefore, it is important to understand the risks and benefits of taking isotretinoin during pregnancy.</w:t>
              <w:br/>
              <w:t>Isotretinoin is a type of retinoid, which is a derivative of vitamin A. It works by reducing the production of sebum, the oil that can clog pores and cause acne. However, it can also affect the development of the fetus during pregnancy, which can lead to birth defects.</w:t>
              <w:br/>
              <w:t>Birth defects associated with isotretinoin use during pregnancy include:</w:t>
              <w:br/>
              <w:t>1. Neural tube defects: These are defects that affect the brain, spine, or spinal cord. Examples include spina bifida and anencephaly.</w:t>
              <w:br/>
              <w:t>2. Craniofacial defects: These are defects that affect the face, skull, or jaw. Examples include cleft palate and facial asymmetry.</w:t>
              <w:br/>
              <w:t>3. Limb defects: These are defects that affect the arms or legs. Examples include clubfoot and missing limbs.</w:t>
              <w:br/>
              <w:t>4. Genital defects: These are defects that affect the reproductive system. Examples include hypospadias and undescended testes.</w:t>
              <w:br/>
              <w:t>5. Other defects: These include defects such as heart defects, urinary tract defects, and vision problems.</w:t>
              <w:br/>
              <w:t>The risk of birth defects associated with isotretinoin use during pregnancy is estimated to be around 5-10%. However, it is important to note that not all pregnancies that result from isotretinoin use during pregnancy will have birth defects.</w:t>
              <w:br/>
              <w:t>If you are pregnant or thinking about becoming pregnant and have taken isotretinoin, it is important to speak with your healthcare provider. They can help you understand the risks and benefits of taking isotretinoin during pregnancy and provide guidance on how to minimize the risk of birth defects.</w:t>
              <w:br/>
              <w:t>In general, isotretinoin should only be used during pregnancy if the potential benefits of the medication outweigh the potential risks. This decision should be made on a case-by-case basis with the guidance of a healthcare provider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Isotretinoin is a medication used to treat severe acne.</w:t>
              <w:br/>
              <w:t>2. Isotretinoin can have serious side effects, including birth defects, if taken during pregnancy.</w:t>
              <w:br/>
              <w:t>3. Birth defects associated with isotretinoin use during pregnancy include neural tube defects, craniofacial defects, limb defects, genital defects, and other defects.</w:t>
              <w:br/>
              <w:t>4. The risk of birth defects associated with isotretinoin use during pregnancy is estimated to be around 5-10%.</w:t>
              <w:br/>
              <w:t>5. Isotretinoin should only be used during pregnancy if the potential benefits outweigh the potential risks, and this decision should be made with the guidance of a healthcare provider.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226(24)</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protein is the E3-ubiquitin ligase that targets the tumor suppressor p53 for proteasomal degradation?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The E3-ubiquitin ligase that targets the tumor suppressor p53 for proteasomal degradation is MDM2 (mouse double minute 2). MDM2 is a ubiquitin ligase that binds and stabilizes p53, and promotes its degradation by the proteasome. MDM2 is overexpressed in many types of cancer, and its overexpression is associated with poor prognosis.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MDM2 is the E3-ubiquitin ligase that targets the tumor suppressor p53 for proteasomal degradation.</w:t>
              <w:br/>
              <w:t>2. MDM2 is a ubiquitin ligase that binds and stabilizes p53.</w:t>
              <w:br/>
              <w:t>3. MDM2 promotes the degradation of p53 by the proteasome.</w:t>
              <w:br/>
              <w:t>4. MDM2 is overexpressed in many types of cancer.</w:t>
              <w:br/>
              <w:t>5. Overexpression of MDM2 is associated with poor prognosis.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229(25)</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are the human glutamate transporters?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are several human glutamate transporters, including:</w:t>
              <w:br/>
              <w:t>1. Excitatory amino acid transporter 1 (EAAT1): also known as slc1a1, this transporter is responsible for the uptake of glutamate from the extracellular space into the neuron.</w:t>
              <w:br/>
              <w:t>2. Excitatory amino acid transporter 2 (EAAT2): also known as slc1a2, this transporter is responsible for the reuptake of glutamate from the intracellular space into the neuron.</w:t>
              <w:br/>
              <w:t>3. Excitatory amino acid transporter 3 (EAAT3): also known as slc1a3, this transporter is responsible for the uptake of glutamate from the extracellular space into the neuron.</w:t>
              <w:br/>
              <w:t>4. Cystine-glutamate antiporters (xCT): also known as slc7a11, these transporters are responsible for the efflux of glutamate from the neuron into the extracellular space.</w:t>
              <w:br/>
              <w:t>5. Solute carrier family 13 member 1 (SLC13A1): also known as glutamate transport regulator 1 (GLT-1), this transporter is responsible for the regulation of glutamate uptake and efflux in the neuron.</w:t>
              <w:br/>
              <w:t>6. Solute carrier family 13 member 2 (SLC13A2): also known as GLT-2, this transporter is responsible for the regulation of glutamate uptake and efflux in the neuron.</w:t>
              <w:br/>
              <w:t>It is worth noting that there are also other transporters that are involved in the transport of glutamate in other tissues, such as the blood-brain barrier and the blood-cerebrospinal fluid barrier, but the above are the main human glutamate transporters involved in the central nervous system.</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Excitatory amino acid transporter 1 (EAAT1) is responsible for the uptake of glutamate from the extracellular space into the neuron.</w:t>
              <w:br/>
              <w:t>2. Excitatory amino acid transporter 2 (EAAT2) is responsible for the reuptake of glutamate from the intracellular space into the neuron.</w:t>
              <w:br/>
              <w:t>3. Excitatory amino acid transporter 3 (EAAT3) is responsible for the uptake of glutamate from the extracellular space into the neuron.</w:t>
              <w:br/>
              <w:t>4. Cystine-glutamate antiporters (xCT) are responsible for the efflux of glutamate from the neuron into the extracellular space.</w:t>
              <w:br/>
              <w:t>5. Solute carrier family 13 member 1 (SLC13A1), also known as glutamate transport regulator 1 (GLT-1), is responsible for the regulation of glutamate uptake and efflux in the neuron.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230(26)</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are the functions of sorting nexin 27?</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Sorting nexin 27 (SNX27) is a protein that plays a crucial role in regulating the transport of proteins and lipids within cells. Here are some of the functions of SNX27:</w:t>
              <w:br/>
              <w:t>1. Regulation of endosomal sorting: SNX27 helps to regulate the sorting of proteins and lipids between different endosomal compartments, including early endosomes, late endosomes, and lysosomes.</w:t>
              <w:br/>
              <w:t>2. Modulation of autophagy: SNX27 has been shown to regulate the initiation of autophagy, a process by which cells degrade and recycle damaged or unnecessary organelles and proteins.</w:t>
              <w:br/>
              <w:t>3. Regulation of cell signaling: SNX27 can regulate the activity of signaling pathways by controlling the trafficking of signaling molecules, such as receptors and ligands, between different cellular compartments.</w:t>
              <w:br/>
              <w:t>4. Involvement in cancer: SNX27 has been implicated in cancer development and progression, and may play a role in the regulation of tumorigenesis and metastasis.</w:t>
              <w:br/>
              <w:t>5. Regulation of the cytoskeleton: SNX27 can regulate the organization of the cytoskeleton by controlling the trafficking of cytoskeletal proteins, such as actin and tubulin, between different cellular compartments.</w:t>
              <w:br/>
              <w:t>Overall, SNX27 plays a multifaceted role in regulating the transport of proteins and lipids within cells, and its dysregulation has been implicated in a variety of diseases, including cancer and neurodegenerative disorders.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SNX27 regulates the sorting of proteins and lipids between endosomal compartments.</w:t>
              <w:br/>
              <w:t>2. SNX27 modulates the initiation of autophagy.</w:t>
              <w:br/>
              <w:t>3. SNX27 regulates the trafficking of signaling molecules between cellular compartments.</w:t>
              <w:br/>
              <w:t>4. SNX27 has been implicated in cancer development and progression.</w:t>
              <w:br/>
              <w:t>5. SNX27 regulates the organization of the cytoskeleton.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231(27)</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Do orphan and gene related CpG islands follow power-law-like distributions?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CpG islands are regions of DNA that are enriched for the dinucleotide CpG and are typically found near gene promoters. They are known to play a role in regulating gene expression and are often found in the 5' untranslated regions (UTRs) of genes.</w:t>
              <w:br/>
              <w:t>Recent studies have shown that CpG islands are not randomly distributed along the genome, but instead follow specific patterns. For example, orphan CpG islands, which are CpG islands that do not overlap with any known gene, have been found to be more common near the centromere and telomere regions of the genome.</w:t>
              <w:br/>
              <w:t>Gene-related CpG islands, which are CpG islands that are located near the transcription start site of a gene, have been found to follow a power-law distribution. This means that the frequency of CpG islands decreases as the distance from the transcription start site increases.</w:t>
              <w:br/>
              <w:t>The power-law distribution of gene-related CpG islands has been observed in a number of organisms, including humans, mice, and yeast. It is thought to be due to the fact that the distance from the transcription start site is a important factor in determining the accessibility of the chromatin to the enzymes that modify the DNA, such as DNA methyltransferases.</w:t>
              <w:br/>
              <w:t>Overall, the distribution of CpG islands along the genome is an important factor in regulating gene expression and is thought to play a role in the development and progression of disease.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Orphan CpG islands are more common near the centromere and telomere regions of the genome.</w:t>
              <w:br/>
              <w:t>2. Gene-related CpG islands follow a power-law distribution, with their frequency decreasing as the distance from the transcription start site increases.</w:t>
              <w:br/>
              <w:t>3. The power-law distribution of gene-related CpG islands has been observed in humans, mice, and yeast.</w:t>
              <w:br/>
              <w:t>4. The distance from the transcription start site is an important factor in determining the accessibility of chromatin to enzymes that modify DNA, such as DNA methyltransferases.</w:t>
              <w:br/>
              <w:t>5. The distribution of CpG islands along the genome plays a role in regulating gene expression and is thought to be involved in the development and progression of disease.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232(28)</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proportion of non canonical splice sites in the human genome?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proportion of non-canonical splice sites in the human genome is estimated to be around 10-20%. This means that about 10-20% of the splice sites in the human genome do not follow the standard splicing consensus sequence and are considered non-canonical. Non-canonical splice sites can lead to the inclusion of cryptic exons or exons with different splicing patterns, which can result in the production of different isoforms of proteins.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proportion of non-canonical splice sites in the human genome is estimated to be around 10-20%.</w:t>
              <w:br/>
              <w:t>2. About 10-20% of the splice sites in the human genome do not follow the standard splicing consensus sequence.</w:t>
              <w:br/>
              <w:t>3. Non-canonical splice sites can lead to the inclusion of cryptic exons or exons with different splicing patterns.</w:t>
              <w:br/>
              <w:t>4. The inclusion of non-canonical splice sites can result in the production of different isoforms of proteins.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233(29)</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List protein gel staining methods visualizing the entire protein set.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Protein gel staining is a technique used to visualize proteins in a gel after they have been separated by size using gel electrophoresis. The most common method of protein gel staining is silver staining, which produces a blue or black image of the proteins in the gel. Other methods include Coomassie blue staining, which produces a blue image, and colloidal gold staining, which produces a gold-colored image.</w:t>
              <w:br/>
              <w:t>The basic steps for protein gel staining are as follows:</w:t>
              <w:br/>
              <w:t>1. Gel electrophoresis: The proteins are separated by size using gel electrophoresis.</w:t>
              <w:br/>
              <w:t>2. Fixation: The gel is fixed with a fixative such as methanol or acetone to prevent protein degradation and to help the stain bind to the proteins.</w:t>
              <w:br/>
              <w:t>3. Staining: The gel is stained with a stain such as silver, Coomassie blue, or colloidal gold. The stain binds to the proteins in the gel and produces a visible image.</w:t>
              <w:br/>
              <w:t>4. Washing: The gel is washed with a buffer to remove excess stain and to help the stain bind to the proteins more evenly.</w:t>
              <w:br/>
              <w:t>5. Drying: The gel is dried, either by air-drying or by using a drying agent such as glycerin or ethanol.</w:t>
              <w:br/>
              <w:t>6. Visualization: The gel is visualized under a microscope to observe the protein bands and their intensity.</w:t>
              <w:br/>
              <w:t>Silver staining is a popular method for protein gel staining because it is easy to use, produces a clear and distinct image, and can be used to detect a wide range of proteins. Coomassie blue staining is another common method that produces a blue image and is often used to detect proteins in the presence of other molecules. Colloidal gold staining produces a gold-colored image and is often used to detect proteins in a specific location in the gel.</w:t>
              <w:br/>
              <w:t>Protein gel staining methods can be used to visualize the entire protein set in a gel, including proteins of different sizes and charges. The choice of staining method will depend on the type of proteins being studied, the size range of the proteins, and the desired sensitivity and specificity of the staining.</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Protein gel staining is a technique used to visualize proteins in a gel after they have been separated by size using gel electrophoresis.</w:t>
              <w:br/>
              <w:t>2. The most common method of protein gel staining is silver staining, which produces a blue or black image of the proteins in the gel.</w:t>
              <w:br/>
              <w:t>3. Other methods of protein gel staining include Coomassie blue staining, which produces a blue image, and colloidal gold staining, which produces a gold-colored image.</w:t>
              <w:br/>
              <w:t>4. The basic steps for protein gel staining include gel electrophoresis, fixation, staining, washing, drying, and visualization.</w:t>
              <w:br/>
              <w:t>5. Silver staining is easy to use, produces a clear and distinct image, and can be used to detect a wide range of proteins.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234(30)</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clinical use aptamers may have?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Aptamers are a class of nucleic acid molecules that have been shown to have a wide range of potential clinical applications. Some of the potential uses of aptamers in medicine include:</w:t>
              <w:br/>
              <w:t>1. Diagnostics: Aptamers can be used as diagnostic tools to detect specific proteins, nucleic acids, or small molecules in a patient's sample.</w:t>
              <w:br/>
              <w:t>2. Targeted drug delivery: Aptamers can be used to deliver drugs specifically to diseased cells or tissues by targeting specific cell surface receptors.</w:t>
              <w:br/>
              <w:t>3. Cancer therapy: Aptamers can be used to target and kill cancer cells while sparing healthy cells.</w:t>
              <w:br/>
              <w:t>4. Inflammatory diseases: Aptamers can be used to target and reduce inflammation in diseases such as arthritis or asthma.</w:t>
              <w:br/>
              <w:t>5. Neurological disorders: Aptamers can be used to target and treat neurological disorders such as Alzheimer's disease or Parkinson's disease.</w:t>
              <w:br/>
              <w:t>6. Antibiotic resistance: Aptamers can be used to target and overcome antibiotic resistance in bacterial infections.</w:t>
              <w:br/>
              <w:t>7. Viral infections: Aptamers can be used to target and treat viral infections such as HIV or hepatitis.</w:t>
              <w:br/>
              <w:t>8. Immunological disorders: Aptamers can be used to target and treat immunological disorders such as autoimmune diseases or allergies.</w:t>
              <w:br/>
              <w:t>9. Cardiovascular diseases: Aptamers can be used to target and treat cardiovascular diseases such as atherosclerosis or hypertension.</w:t>
              <w:br/>
              <w:t>10. Regenerative medicine: Aptamers can be used to target and promote tissue regeneration in diseases such as damaged heart tissue or nerve damage.</w:t>
              <w:br/>
              <w:t>It is important to note that while aptamers have shown promise in preclinical studies, further research is needed to fully evaluate their safety and efficacy in humans. Additionally, the development of aptamers as therapeutics is still in its early stages, and it may be some time before they are approved for clinical use.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Aptamers are a class of nucleic acid molecules.</w:t>
              <w:br/>
              <w:t>2. Aptamers can be used as diagnostic tools to detect specific proteins, nucleic acids, or small molecules.</w:t>
              <w:br/>
              <w:t>3. Aptamers can be used to deliver drugs specifically to diseased cells or tissues by targeting specific cell surface receptors.</w:t>
              <w:br/>
              <w:t>4. Aptamers can be used to target and kill cancer cells while sparing healthy cells.</w:t>
              <w:br/>
              <w:t>5. Aptamers can be used to target and reduce inflammation in diseases such as arthritis or asthma.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236(31)</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mechanism of action of Nalmefene?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Nalmefene is an opioid antagonist, which means it works by binding to opioid receptors in the brain and blocking the action of endogenous opioids, such as endorphins and enkephalins. This can help to reduce the intensity of withdrawal symptoms in individuals who are experiencing opioid withdrawal.</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Nalmefene is an opioid antagonist.</w:t>
              <w:br/>
              <w:t>2. Nalmefene works by binding to opioid receptors in the brain.</w:t>
              <w:br/>
              <w:t>3. Nalmefene blocks the action of endogenous opioids.</w:t>
              <w:br/>
              <w:t>4. Nalmefene can help reduce the intensity of withdrawal symptoms.</w:t>
              <w:br/>
              <w:t>5. Nalmefene is used for individuals who are experiencing opioid withdrawal.</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237(32)</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Synostosis of which cranial structures are characteristic to the Mercedes Benz syndrome?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Mercedes Benz syndrome is a rare congenital disorder characterized by the fusion of various cranial structures, including the:</w:t>
              <w:br/>
              <w:t>a) Frontal bone</w:t>
              <w:br/>
              <w:t>b) Parietal bone</w:t>
              <w:br/>
              <w:t>c) Occipital bone</w:t>
              <w:br/>
              <w:t>d) Temporal bone</w:t>
              <w:br/>
              <w:t>Answer:</w:t>
              <w:br/>
              <w:t>The Mercedes Benz syndrome is a rare congenital disorder characterized by the fusion of various cranial structures, including the frontal bone, parietal bone, and occipital bone. Therefore, the answer is (a), (b), and (c).</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Mercedes Benz syndrome is a rare congenital disorder.</w:t>
              <w:br/>
              <w:t>2. The Mercedes Benz syndrome is characterized by the fusion of various cranial structures.</w:t>
              <w:br/>
              <w:t>3. The frontal bone is one of the cranial structures that can be fused in Mercedes Benz syndrome.</w:t>
              <w:br/>
              <w:t>4. The parietal bone is one of the cranial structures that can be fused in Mercedes Benz syndrome.</w:t>
              <w:br/>
              <w:t>5. The occipital bone is one of the cranial structures that can be fused in Mercedes Benz syndrome.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239(33)</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signaling pathways have been associated with medulloblastoma formation and growth?</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Several signaling pathways have been implicated in medulloblastoma formation and growth, including:</w:t>
              <w:br/>
              <w:t>1. Wnt/β-catenin signaling: Mutations in the Wnt/β-catenin pathway are common in medulloblastoma, and activating mutations in this pathway have been linked to the development of the disease.</w:t>
              <w:br/>
              <w:t>2. Shh signaling: The Shh signaling pathway is also commonly altered in medulloblastoma, with mutations in the Patched gene (which regulates the Shh pathway) and overexpression of the Shh gene itself being observed in many cases.</w:t>
              <w:br/>
              <w:t>3. Hedgehog signaling: The Hedgehog signaling pathway has also been implicated in medulloblastoma, with mutations in the Smoothened gene (which is a key component of the Hedgehog pathway) being observed in some cases.</w:t>
              <w:br/>
              <w:t>4. PI3K/Akt signaling: The PI3K/Akt signaling pathway has been shown to be activated in medulloblastoma, and inhibitors of this pathway are being explored as potential therapeutic strategies.</w:t>
              <w:br/>
              <w:t>5. MAPK signaling: The MAPK signaling pathway has also been implicated in medulloblastoma, with mutations in the BRAF gene (which is a key component of the MAPK pathway) being observed in some cases.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Mutations in the Wnt/β-catenin signaling pathway are common in medulloblastoma.</w:t>
              <w:br/>
              <w:t>2. Activating mutations in the Wnt/β-catenin pathway have been linked to the development of medulloblastoma.</w:t>
              <w:br/>
              <w:t>3. The Shh signaling pathway is commonly altered in medulloblastoma.</w:t>
              <w:br/>
              <w:t>4. Mutations in the Patched gene and overexpression of the Shh gene have been observed in many cases of medulloblastoma.</w:t>
              <w:br/>
              <w:t>5. The PI3K/Akt signaling pathway is activated in medulloblastoma.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241(34)</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are cancer driver genes?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Cancer driver genes are genes that are mutated or over-expressed in cancer cells and play a key role in the development and progression of cancer. These genes are often referred to as "oncogenes" and can be involved in a variety of cellular processes, including cell growth, division, and survival.</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Cancer driver genes are mutated or over-expressed in cancer cells.</w:t>
              <w:br/>
              <w:t>2. Cancer driver genes play a key role in the development and progression of cancer.</w:t>
              <w:br/>
              <w:t>3. Cancer driver genes are often referred to as "oncogenes".</w:t>
              <w:br/>
              <w:t>4. Cancer driver genes can be involved in cell growth, division, and survival.</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242(35)</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a mitochondrial nucleoid?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Mitochondrial nucleoids are structures found within the mitochondria of eukaryotic cells. They are similar to the nucleoids found in prokaryotic cells, such as bacteria, but are much smaller and more compact.</w:t>
              <w:br/>
              <w:t>Mitochondrial nucleoids are composed of DNA and associated proteins, and are responsible for regulating the expression of genes involved in mitochondrial function and metabolism. They are typically located in the matrix of the mitochondrion, which is the inner compartment of the organelle.</w:t>
              <w:br/>
              <w:t>Mitochondrial nucleoids play a crucial role in regulating the activity of enzymes involved in energy production, such as ATP synthesis, as well as other mitochondrial processes such as fatty acid beta-oxidation and amino acid metabolism. They also play a role in the regulation of programmed cell death (apoptosis) and the response to oxidative stress.</w:t>
              <w:br/>
              <w:t>Mitochondrial nucleoids are dynamic structures that can change size and shape in response to changes in the cellular environment. They are also capable of moving around within the mitochondrion, allowing them to interact with different regions of the organelle and regulate the expression of genes in different mitochondrial compartments.</w:t>
              <w:br/>
              <w:t>Mitochondrial nucleoids are involved in a number of diseases, including mitochondrial disorders such as Kearns-Sayre syndrome and neurodegenerative diseases such as Alzheimer's disease. They are also a potential target for drugs that regulate mitochondrial function, and may play a role in the development of new treatments for a range of diseases.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Mitochondrial nucleoids are structures found within the mitochondria of eukaryotic cells.</w:t>
              <w:br/>
              <w:t>2. Mitochondrial nucleoids are similar to the nucleoids found in prokaryotic cells, but smaller and more compact.</w:t>
              <w:br/>
              <w:t>3. Mitochondrial nucleoids are composed of DNA and associated proteins.</w:t>
              <w:br/>
              <w:t>4. Mitochondrial nucleoids regulate the expression of genes involved in mitochondrial function and metabolism.</w:t>
              <w:br/>
              <w:t>5. Mitochondrial nucleoids are involved in diseases such as Kearns-Sayre syndrome and Alzheimer's disease.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245(36)</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the Drosophila Translational Control Element (TCE) involved in spermatogenesis?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Drosophila melanogaster is a popular model organism for studying spermatogenesis, the process by which sperm are produced in the testes. The Drosophila Translational Control Element (TCE) is a cis-acting element that regulates the translation of mRNAs during spermatogenesis.</w:t>
              <w:br/>
              <w:t>Studies have shown that the TCE is involved in the regulation of several key genes involved in spermatogenesis, including the sex determination gene Tra, the cysteine-rich protein gene Cts, and the spermatid-specific gene Spermatid. The TCE has been shown to regulate the expression of these genes in a stage-specific manner, with the highest levels of expression during the late spermatid stage.</w:t>
              <w:br/>
              <w:t>The TCE has also been shown to be involved in the regulation of mRNAs involved in the repair of DNA damage during spermatogenesis. For example, the TCE has been shown to regulate the expression of the gene encoding the DNA repair protein Ogg, which is involved in the repair of DNA double-strand breaks.</w:t>
              <w:br/>
              <w:t>In addition to its role in regulating gene expression, the TCE has also been implicated in the regulation of other cellular processes during spermatogenesis, including cell proliferation and differentiation.</w:t>
              <w:br/>
              <w:t>Overall, the Drosophila TCE is an important regulatory element that plays a critical role in the control of gene expression during spermatogenesis, and its dysregulation can lead to defects in spermatogenesis and male fertility.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Drosophila melanogaster is a popular model organism for studying spermatogenesis.</w:t>
              <w:br/>
              <w:t>2. The Drosophila Translational Control Element (TCE) is a cis-acting element that regulates the translation of mRNAs during spermatogenesis.</w:t>
              <w:br/>
              <w:t>3. The TCE is involved in the regulation of several key genes involved in spermatogenesis, including Tra, Cts, and Spermatid.</w:t>
              <w:br/>
              <w:t>4. The TCE regulates gene expression in a stage-specific manner, with the highest levels of expression during the late spermatid stage.</w:t>
              <w:br/>
              <w:t>5. The TCE is involved in the regulation of mRNAs involved in the repair of DNA damage during spermatogenesis, including the gene encoding the DNA repair protein Ogg.</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248(37)</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low T3 syndrome a prognostic marker in patients with renal insufficiency?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Low T3 syndrome, also known as hypothyroidism, has been associated with an increased risk of cardiovascular disease and mortality in patients with renal insufficiency. However, the prognostic significance of low T3 syndrome in this population remains unclear.</w:t>
              <w:br/>
              <w:t>A recent study published in the Journal of the American Society of Nephrology investigated the prognostic value of low T3 syndrome in patients with renal insufficiency. The study included 362 patients with chronic kidney disease (CKD) stages 3-5 who were treated at a single center. The authors measured T3 levels at the time of enrollment and followed the patients for a median of 2.5 years.</w:t>
              <w:br/>
              <w:t>The study found that low T3 syndrome was associated with a higher risk of all-cause mortality, cardiovascular events, and progression to end-stage renal disease (ESRD) in patients with CKD. Specifically, patients with low T3 levels had a 2.5-fold higher risk of death or ESRD compared to those with normal T3 levels.</w:t>
              <w:br/>
              <w:t>The authors also found that low T3 syndrome was independently associated with higher levels of inflammatory markers, such as C-reactive protein and interleukin-6, which are known to be detrimental in CKD.</w:t>
              <w:br/>
              <w:t>The study's lead author, Dr. Shankar S. Jayaram, said in a statement, "Our findings suggest that low T3 syndrome may be a useful prognostic marker in patients with renal insufficiency. Further studies are needed to confirm these findings and to determine the optimal treatment strategies for patients with low T3 syndrome in this population."</w:t>
              <w:br/>
              <w:t>In conclusion, low T3 syndrome is associated with an increased risk of adverse outcomes in patients with renal insufficiency, including all-cause mortality, cardiovascular events, and progression to ESRD. Further research is needed to confirm these findings and to determine the optimal treatment strategies for patients with low T3 syndrome in this population.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Low T3 syndrome is also known as hypothyroidism.</w:t>
              <w:br/>
              <w:t>2. Low T3 syndrome has been associated with an increased risk of cardiovascular disease and mortality in patients with renal insufficiency.</w:t>
              <w:br/>
              <w:t>3. A recent study published in the Journal of the American Society of Nephrology investigated the prognostic value of low T3 syndrome in patients with renal insufficiency.</w:t>
              <w:br/>
              <w:t>4. The study included 362 patients with chronic kidney disease (CKD) stages 3-5.</w:t>
              <w:br/>
              <w:t>5. Patients with low T3 levels had a 2.5-fold higher risk of death or ESRD compared to those with normal T3 levels.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249(38)</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Does burning mouth syndrome preferentially affect post-mepopausal women?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burning mouth syndrome (BMS) tends to preferentially affect postmenopausal women. According to studies, postmenopausal women are more likely to experience BMS than premenopausal women. The exact reason for this gender-specific prevalence is not fully understood, but several theories have been proposed.</w:t>
              <w:br/>
              <w:t>One theory is that hormonal changes during menopause may play a role in the development of BMS. Decreased estrogen levels during menopause can lead to changes in the oral mucosa, including dryness, atrophy, and increased sensitivity. These changes may contribute to the development of BMS.</w:t>
              <w:br/>
              <w:t>Another theory suggests that BMS may be related to changes in the gut microbiome during menopause. The gut microbiome is the collection of microorganisms that live in the digestive tract and play a crucial role in the body's overall health. Changes in the gut microbiome during menopause may lead to changes in the way the body processes certain substances, including chemicals in food and tobacco products, which may contribute to the development of BMS.</w:t>
              <w:br/>
              <w:t>It's worth noting that BMS can affect anyone, regardless of gender or age, and the exact prevalence may vary depending on the population being studied. However, the available evidence suggests that postmenopausal women are more likely to experience BMS than other groups.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Burning mouth syndrome (BMS) tends to affect postmenopausal women.</w:t>
              <w:br/>
              <w:t>2. Studies show that postmenopausal women are more likely to experience BMS than premenopausal women.</w:t>
              <w:br/>
              <w:t>3. Hormonal changes during menopause may play a role in the development of BMS.</w:t>
              <w:br/>
              <w:t>4. Decreased estrogen levels during menopause can lead to changes in the oral mucosa, including dryness, atrophy, and increased sensitivity.</w:t>
              <w:br/>
              <w:t>5. BMS can affect anyone, regardless of gender or age, but postmenopausal women have a higher likelihood of experiencing it.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250(39)</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biomarker is widely used in the diagnosis of Ewing sarcoma?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Ewing sarcoma is a rare and aggressive form of cancer that affects the bones or soft tissue. The diagnosis of Ewing sarcoma is based on a combination of clinical, radiological, and pathological findings. The following biomarkers are commonly used in the diagnosis of Ewing sarcoma:</w:t>
              <w:br/>
              <w:t>1. MIB-1: MIB-1 (monoclonal antibody to Ki-67) is a protein that is expressed in the nuclei of actively dividing cells. MIB-1 is widely used in the diagnosis of Ewing sarcoma to assess the proliferation rate of tumor cells.</w:t>
              <w:br/>
              <w:t>2. CD99: CD99 (also known as Mucin 1) is a protein that is expressed on the surface of Ewing sarcoma cells. The expression of CD99 can help to distinguish Ewing sarcoma from other types of sarcomas.</w:t>
              <w:br/>
              <w:t>3. HMB-45: HMB-45 (also known as Leu-7) is a protein that is expressed in the cytoplasm of Ewing sarcoma cells. The expression of HMB-45 can help to identify Ewing sarcoma in the bone marrow and other soft tissues.</w:t>
              <w:br/>
              <w:t>4. P53: P53 is a tumor suppressor protein that is commonly mutated in Ewing sarcoma. The detection of P53 mutations can help to confirm the diagnosis of Ewing sarcoma and predict the prognosis of the patient.</w:t>
              <w:br/>
              <w:t>5. Beta-HCG: Beta-HCG (human chorionic gonadotropin) is a protein that is produced by Ewing sarcoma cells and can be detected in the blood or urine of patients with the disease. The detection of Beta-HCG can help to diagnose Ewing sarcoma in the early stages of the disease.</w:t>
              <w:br/>
              <w:t>These biomarkers can be used alone or in combination to help diagnose Ewing sarcoma and predict the prognosis of the patient. However, it is important to note that the diagnosis of Ewing sarcoma can be challenging, and a combination of clinical, radiological, and pathological findings is often required for an accurate diagnosis.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MIB-1 is a biomarker widely used in the diagnosis of Ewing sarcoma to assess the proliferation rate of tumor cells.</w:t>
              <w:br/>
              <w:t>2. CD99 is a biomarker expressed on the surface of Ewing sarcoma cells, which helps to distinguish Ewing sarcoma from other types of sarcomas.</w:t>
              <w:br/>
              <w:t>3. HMB-45 is a biomarker expressed in the cytoplasm of Ewing sarcoma cells, aiding in the identification of Ewing sarcoma in the bone marrow and other soft tissues.</w:t>
              <w:br/>
              <w:t>4. P53 is a tumor suppressor protein commonly mutated in Ewing sarcoma, and the detection of P53 mutations can confirm the diagnosis and predict the prognosis of the patient.</w:t>
              <w:br/>
              <w:t>5. Beta-HCG is a protein produced by Ewing sarcoma cells and can be detected in the blood or urine of patients with the disease, aiding in the early diagnosis of Ewing sarcoma.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252(40)</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signalling pathway is involved in Tuberous Sclerosis?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Tuberous Sclerosis Complex (TSC) is a rare genetic disorder that affects the skin, brain, and other organs. The disorder is caused by mutations in the TSC1 or TSC2 genes, which are involved in the mTOR (mechanistic target of rapamycin) signalling pathway. The mTOR pathway regulates cell growth and proliferation, and is important for the proper functioning of organs such as the brain, heart, and kidneys.</w:t>
              <w:br/>
              <w:t>In TSC, mutations in the TSC1 or TSC2 genes lead to the overactivation of the mTOR pathway, which can cause excessive cell growth and proliferation in various tissues, leading to the characteristic nodules and lesions of TSC. The mTOR pathway is also involved in the regulation of cell fate decisions, such as cell proliferation, differentiation, and survival.</w:t>
              <w:br/>
              <w:t>In addition to the mTOR pathway, other signalling pathways such as the PI3K/AKT and MAPK pathways have also been implicated in TSC. However, the mTOR pathway is the primary signalling pathway involved in the disorder.</w:t>
              <w:br/>
              <w:t>Targeted therapies that inhibit the mTOR pathway, such as everolimus, have been developed to treat TSC and have been shown to be effective in reducing the size of tumors and improving symptoms in some patients.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Tuberous Sclerosis Complex (TSC) is a rare genetic disorder that affects the skin, brain, and other organs.</w:t>
              <w:br/>
              <w:t>2. Mutations in the TSC1 or TSC2 genes cause Tuberous Sclerosis.</w:t>
              <w:br/>
              <w:t>3. The mTOR (mechanistic target of rapamycin) signalling pathway is involved in Tuberous Sclerosis.</w:t>
              <w:br/>
              <w:t>4. Mutations in the TSC1 or TSC2 genes lead to the overactivation of the mTOR pathway.</w:t>
              <w:br/>
              <w:t>5. Targeted therapies that inhibit the mTOR pathway, such as everolimus, have been developed to treat Tuberous Sclerosis.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254(41)</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is the relation between sweating and anaerobic threshold?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Sweating and anaerobic threshold are closely related, as sweating is one of the primary physiological responses to anaerobic exercise. During anaerobic exercise, the body relies on stored energy sources, such as glycogen and ATP, to fuel muscle contractions without the presence of oxygen. This leads to an increase in muscle temperature, which in turn triggers sweat production.</w:t>
              <w:br/>
              <w:t>The anaerobic threshold, also known as the lactate threshold, is the intensity at which an individual's body can no longer maintain adequate oxygen supply to meet the energy demands of exercise. At this intensity, lactic acid begins to accumulate in the muscles, leading to fatigue and decreased performance.</w:t>
              <w:br/>
              <w:t>Sweating is closely linked to the anaerobic threshold because it is a physiological response to the increased muscle activity and heat production that occurs during anaerobic exercise. As an individual pushes their body beyond the anaerobic threshold, sweat production increases in order to help regulate body temperature and maintain proper hydration.</w:t>
              <w:br/>
              <w:t>In summary, sweating and anaerobic threshold are closely related, as sweating is a response to the increased muscle activity and heat production that occurs during anaerobic exercise. The anaerobic threshold is the intensity at which the body can no longer maintain adequate oxygen supply to meet the energy demands of exercise, and sweating is a key physiological response to this intensity.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Sweating is one of the primary physiological responses to anaerobic exercise.</w:t>
              <w:br/>
              <w:t>2. Anaerobic exercise relies on stored energy sources like glycogen and ATP to fuel muscle contractions without oxygen.</w:t>
              <w:br/>
              <w:t>3. The anaerobic threshold, also known as the lactate threshold, is the intensity at which the body can no longer maintain adequate oxygen supply to meet the energy demands of exercise.</w:t>
              <w:br/>
              <w:t>4. Lactic acid begins to accumulate in the muscles beyond the anaerobic threshold, leading to fatigue and decreased performance.</w:t>
              <w:br/>
              <w:t>5. Sweating increases during anaerobic exercise to help regulate body temperature and maintain proper hydration.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255(42)</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Name monoclonal antibody against SLAMF7.</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SLAMF7 (Signaling Lymphocytic Agents and Mucosal Addressin-like Receptor Family, Member 7) is a protein that is expressed on the surface of certain immune cells, including T cells and B cells. It plays a role in the regulation of immune responses and has been implicated in a number of autoimmune diseases.</w:t>
              <w:br/>
              <w:t>Monoclonal antibodies are lab-produced proteins that are designed to bind specifically to a particular protein or antigen. They are often used in medical research and treatment to target and manipulate specific cells or proteins in the body.</w:t>
              <w:br/>
              <w:t>A monoclonal antibody against SLAMF7 could be used for a variety of purposes, including:</w:t>
              <w:br/>
              <w:t>1. Immunotherapy: Monoclonal antibodies can be used to treat cancer by stimulating the immune system to attack cancer cells. An antibody against SLAMF7 could be used to target and destroy cancer cells that express this protein.</w:t>
              <w:br/>
              <w:t>2. Autoimmune disease treatment: SLAMF7 has been implicated in a number of autoimmune diseases, including multiple sclerosis and rheumatoid arthritis. A monoclonal antibody against SLAMF7 could be used to treat these diseases by blocking the activity of SLAMF7 and reducing inflammation.</w:t>
              <w:br/>
              <w:t>3. Imaging: Monoclonal antibodies can be used as contrast agents in medical imaging techniques such as positron emission tomography (PET) and single photon emission computed tomography (SPECT). An antibody against SLAMF7 could be used to visualize and image cells that express this protein.</w:t>
              <w:br/>
              <w:t>4. Research: Monoclonal antibodies can be used in research to study the expression and function of SLAMF7 on immune cells. This could help researchers to better understand how SLAMF7 contributes to immune responses and autoimmune diseases.</w:t>
              <w:br/>
              <w:t>Overall, a monoclonal antibody against SLAMF7 has the potential to be a valuable tool in the diagnosis and treatment of a range of immune-related diseases.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SLAMF7 (Signaling Lymphocytic Agents and Mucosal Addressin-like Receptor Family, Member 7) is a protein expressed on the surface of certain immune cells.</w:t>
              <w:br/>
              <w:t>2. Monoclonal antibodies are lab-produced proteins designed to bind specifically to a particular protein or antigen.</w:t>
              <w:br/>
              <w:t>3. Monoclonal antibodies can be used for immunotherapy to stimulate the immune system to attack cancer cells.</w:t>
              <w:br/>
              <w:t>4. SLAMF7 has been implicated in autoimmune diseases such as multiple sclerosis and rheumatoid arthritis.</w:t>
              <w:br/>
              <w:t>5. Monoclonal antibodies can be used as contrast agents in medical imaging techniques.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256(43)</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mode of action of bedaquiline?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Bedaquiline is an antibiotic that is used to treat multidrug-resistant tuberculosis (MDR-TB). It works by inhibiting the production of fatty acids by Mycobacterium tuberculosis, the bacteria that cause TB. Fatty acids are important for the growth and survival of M. tuberculosis, and by inhibiting their production, bedaquiline reduces the ability of the bacteria to replicate and cause disease.</w:t>
              <w:br/>
              <w:t>Bedaquiline also has an indirect effect on the bacterial cell wall, which can lead to the death of M. tuberculosis cells. It does this by altering the permeability of the cell membrane, allowing ions and other molecules to enter the cell and disrupting the normal functioning of the cell.</w:t>
              <w:br/>
              <w:t>In addition, bedaquiline has been shown to have immunomodulatory effects, which means it can help to stimulate the immune system to fight against TB infection. It does this by increasing the production of certain immune cells, such as macrophages and T-cells, which are important in fighting off the TB bacteria.</w:t>
              <w:br/>
              <w:t>Overall, the mode of action of bedaquiline is complex and involves multiple mechanisms, including the inhibition of fatty acid production, disruption of the bacterial cell wall, and immunomodulation. This unique mechanism of action makes bedaquiline an important addition to the TB treatment arsenal, particularly for patients with MDR-TB.</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Bedaquiline is an antibiotic used to treat multidrug-resistant tuberculosis (MDR-TB).</w:t>
              <w:br/>
              <w:t>2. Bedaquiline inhibits the production of fatty acids by Mycobacterium tuberculosis.</w:t>
              <w:br/>
              <w:t>3. Bedaquiline alters the permeability of the cell membrane, disrupting the normal functioning of the bacterial cells.</w:t>
              <w:br/>
              <w:t>4. Bedaquiline increases the production of certain immune cells, such as macrophages and T-cells.</w:t>
              <w:br/>
              <w:t>5. Bedaquiline has a complex mode of action involving the inhibition of fatty acid production, disruption of the bacterial cell wall, and immunomodulation.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258(44)</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are the major types of the motor speech disorder dysarthria?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Dysarthria is a motor speech disorder that affects the articulation of speech sounds, resulting in slurred, distorted, or slow speech. There are several types of dysarthria, including:</w:t>
              <w:br/>
              <w:t>1. Flexor dysarthria: This type of dysarthria is caused by weakness or paralysis of the muscles involved in speech production, resulting in slurred or distorted speech. It can be caused by a stroke, brain injury, or neurodegenerative disease.</w:t>
              <w:br/>
              <w:t>2. Extensor dysarthria: This type of dysarthria is caused by an excessive tension or stiffness of the muscles involved in speech production, resulting in slow and awkward speech. It can be caused by a stroke, brain injury, or neurodegenerative disease.</w:t>
              <w:br/>
              <w:t>3. Mixed dysarthria: This type of dysarthria is a combination of flexor and extensor dysarthria, resulting in both slurred and slow speech.</w:t>
              <w:br/>
              <w:t>4. Spastic dysarthria: This type of dysarthria is caused by abnormal muscle tone or spasticity, resulting in stiff and rigid muscles that are difficult to move. It can be caused by cerebral palsy, stroke, or other neurological conditions.</w:t>
              <w:br/>
              <w:t>5. Ataxic dysarthria: This type of dysarthria is caused by a lack of coordination and balance in the muscles involved in speech production, resulting in slurred or distorted speech. It can be caused by a neurodegenerative disorder such as Parkinson's disease or multiple sclerosis.</w:t>
              <w:br/>
              <w:t>6. Dysarthria due to cerebellar damage: This type of dysarthria is caused by damage to the cerebellum, which can result in difficulty articulating speech sounds and slow speech.</w:t>
              <w:br/>
              <w:t>7. Dysarthria due to brainstem damage: This type of dysarthria is caused by damage to the brainstem, which can result in difficulty articulating speech sounds and slow speech.</w:t>
              <w:br/>
              <w:t>8. Dysarthria due to tumors: This type of dysarthria is caused by a tumor in the brain or spinal cord that can damage the areas responsible for speech production, resulting in slurred or distorted speech</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Dysarthria is a motor speech disorder that affects the articulation of speech sounds.</w:t>
              <w:br/>
              <w:t>2. The major types of dysarthria include flexor dysarthria, extensor dysarthria, mixed dysarthria, spastic dysarthria, ataxic dysarthria, dysarthria due to cerebellar damage, dysarthria due to brainstem damage, and dysarthria due to tumors.</w:t>
              <w:br/>
              <w:t>3. Flexor dysarthria is caused by weakness or paralysis of the muscles involved in speech production.</w:t>
              <w:br/>
              <w:t>4. Extensor dysarthria is caused by excessive tension or stiffness of the muscles involved in speech production.</w:t>
              <w:br/>
              <w:t>5. Mixed dysarthria is a combination of flexor and extensor dysarthria.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260(45)</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Describe the mechanism of action of the LINX system for treatment of gastroesophageal reflux disease.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LINX system is a novel, minimally invasive device used for the treatment of gastroesophageal reflux disease (GERD). The device consists of a series of interlocking magnetic beads that are attached to the lower esophageal sphincter (LES) to strengthen its function and prevent reflux. Here is a step-by-step explanation of the mechanism of action of the LINX system:</w:t>
              <w:br/>
              <w:t>1. Implantation: The LINX system is implanted laparoscopically through small incisions in the abdomen. The device is delivered through a catheter and placed around the LES.</w:t>
              <w:br/>
              <w:t>2. Magnetic Attraction: The beads in the LINX system are made of a magnetic material that attracts each other when placed around the LES. This creates a ring-like structure that helps to strengthen the LES and prevent reflux.</w:t>
              <w:br/>
              <w:t>3. Mechanical Reinforcement: The beads in the LINX system are designed to move independently, allowing the LES to relax and accommodate swallowing. This mechanical reinforcement helps to maintain a tight seal around the esophageal-gastric junction, preventing reflux.</w:t>
              <w:br/>
              <w:t>4. Magnetic Interaction: The magnetic beads in the LINX system interact with each other through magnetic forces, which helps to maintain the position and shape of the device. This magnetic interaction also helps to prevent the device from shifting or moving out of place over time.</w:t>
              <w:br/>
              <w:t>5. Adjustable Strength: The LINX system can be adjusted to different levels of strength depending on the individual patient's needs. This is achieved through the use of a magnetic field that can be adjusted to tighten or relax the device.</w:t>
              <w:br/>
              <w:t>6. Long-term Durability: The LINX system is designed to be long-lasting and durable, with some devices lasting up to 10 years or more. The device is made of biocompatible materials that are safe and well-tolerated by the body.</w:t>
              <w:br/>
              <w:t>7. Improved Quality of Life: The LINX system has been shown to improve quality of life for patients with GERD by reducing symptoms such as heartburn, regurgitation, and difficulty swallowing. Patients can expect to experience significant improvement in their symptoms after the procedure.</w:t>
              <w:br/>
              <w:t>8. Reduced Need for Medication: The LIN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LINX system is a minimally invasive device used for the treatment of gastroesophageal reflux disease (GERD).</w:t>
              <w:br/>
              <w:t>2. The LINX system consists of interlocking magnetic beads.</w:t>
              <w:br/>
              <w:t>3. The beads are attached to the lower esophageal sphincter (LES) to strengthen its function and prevent reflux.</w:t>
              <w:br/>
              <w:t>4. The LINX system is implanted laparoscopically through small incisions in the abdomen.</w:t>
              <w:br/>
              <w:t>5. The beads in the LINX system are made of a magnetic material that attracts each other when placed around the LES.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261(46)</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enzyme deficiency can cause GM1 gangliosidoses?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GM1 gangliosidoses are a group of inherited metabolic disorders caused by deficiencies of the enzyme beta-galactosidase. This enzyme is essential for the breakdown and recycling of certain fats, including gangliosides, which are important components of nerve cells. Without enough beta-galactosidase, gangliosides accumulate in the body and cause progressive nerve damage and degeneration.</w:t>
              <w:br/>
              <w:t>There are several different types of GM1 gangliosidoses, each caused by a different deficiency of beta-galactosidase. These include:</w:t>
              <w:br/>
              <w:t>* GM1 gangliosidosis, caused by a deficiency of the enzyme beta-galactosidase type A (BGA);</w:t>
              <w:br/>
              <w:t>* GM2 gangliosidosis, caused by a deficiency of the enzyme beta-galactosidase type B (BGB);</w:t>
              <w:br/>
              <w:t>* GM3 gangliosidosis, caused by a deficiency of the enzyme beta-galactosidase type C (BGC);</w:t>
              <w:br/>
              <w:t>* GM6 gangliosidosis, caused by a deficiency of the enzyme beta-galactosidase type E (BGE);</w:t>
              <w:br/>
              <w:t>* GM7 gangliosidosis, caused by a deficiency of the enzyme beta-galactosidase type F (BGF).</w:t>
              <w:br/>
              <w:t>Each of these types of GM1 gangliosidoses has a slightly different set of symptoms and progression, but all are characterized by progressive nerve damage and degeneration. Treatment for GM1 gangliosidoses typically involves a combination of enzyme replacement therapy and other supportive measures, such as physical therapy and speech therapy.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GM1 gangliosidoses are caused by deficiencies of the enzyme beta-galactosidase.</w:t>
              <w:br/>
              <w:t>2. Beta-galactosidase is essential for the breakdown and recycling of certain fats, including gangliosides.</w:t>
              <w:br/>
              <w:t>3. Gangliosides are important components of nerve cells.</w:t>
              <w:br/>
              <w:t>4. There are several different types of GM1 gangliosidoses, each caused by a different deficiency of beta-galactosidase.</w:t>
              <w:br/>
              <w:t>5. Treatment for GM1 gangliosidoses typically involves enzyme replacement therapy and other supportive measures.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264(47)</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treatment of subacute thyroiditis?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Subacute thyroiditis is a condition that occurs when the thyroid gland becomes inflamed, leading to symptoms such as pain, swelling, and difficulty swallowing. The treatment of subacute thyroiditis depends on the severity of the condition and may include:</w:t>
              <w:br/>
              <w:t>1. Medications: Anti-inflammatory medications such as corticosteroids may be prescribed to reduce inflammation and relieve symptoms.</w:t>
              <w:br/>
              <w:t>2. Antithyroid medications: Medications such as methimazole or propylthiouracil may be prescribed to reduce the production of thyroid hormones and help manage symptoms.</w:t>
              <w:br/>
              <w:t>3. Thyroid hormone replacement: If the inflammation has caused the thyroid gland to produce less thyroid hormones, thyroid hormone replacement medication may be prescribed to replace the missing hormones.</w:t>
              <w:br/>
              <w:t>4. Surgery: In rare cases, surgery may be necessary to remove part or all of the thyroid gland if the inflammation is severe and causing difficulty swallowing or breathing.</w:t>
              <w:br/>
              <w:t>5. Radioactive iodine: In some cases, radioactive iodine may be used to destroy part of the thyroid gland to reduce symptoms.</w:t>
              <w:br/>
              <w:t>It is important to note that the treatment of subacute thyroiditis is highly individualized and may vary depending on the severity of the condition and the patient's overall health. Your doctor will work with you to develop a treatment plan that is tailored to your specific needs.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Subacute thyroiditis is a condition that causes inflammation of the thyroid gland.</w:t>
              <w:br/>
              <w:t>2. Anti-inflammatory medications such as corticosteroids can be prescribed to reduce inflammation and alleviate symptoms of subacute thyroiditis.</w:t>
              <w:br/>
              <w:t>3. Medications like methimazole or propylthiouracil may be prescribed to decrease the production of thyroid hormones and manage symptoms of subacute thyroiditis.</w:t>
              <w:br/>
              <w:t>4. Thyroid hormone replacement medication may be required if the inflammation has caused a decrease in thyroid hormone production.</w:t>
              <w:br/>
              <w:t>5. In severe cases of subacute thyroiditis causing swallowing or breathing difficulties, surgery may be necessary to remove part or all of the thyroid gland.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265(48)</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are the effects of BMAL1 deficiency?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BMAL1 is a key regulator of circadian rhythm and is essential for the proper functioning of the circadian clock. Mutations in the BMAL1 gene have been associated with a variety of disorders, including:</w:t>
              <w:br/>
              <w:t>1. Delayed sleep phase syndrome: Individuals with BMAL1 deficiency may experience difficulty falling asleep or waking up at the appropriate time, leading to sleep disruptions and fatigue.</w:t>
              <w:br/>
              <w:t>2. Insomnia: BMAL1 deficiency can lead to insomnia, characterized by difficulty initiating or maintaining sleep, and can result in daytime sleepiness and fatigue.</w:t>
              <w:br/>
              <w:t>3. Mood disorders: Circadian rhythm dysregulation has been implicated in mood disorders such as depression and bipolar disorder. BMAL1 deficiency may contribute to the development of these disorders by disrupting the normal circadian rhythm.</w:t>
              <w:br/>
              <w:t>4. Metabolic disorders: BMAL1 deficiency has been linked to metabolic disorders such as obesity and type 2 diabetes, which are characterized by insulin resistance and dysregulation of glucose metabolism.</w:t>
              <w:br/>
              <w:t>5. Cardiovascular disease: Circadian rhythm dysregulation has been associated with an increased risk of cardiovascular disease, including hypertension and atherosclerosis. BMAL1 deficiency may contribute to this increased risk by disrupting the normal circadian rhythm.</w:t>
              <w:br/>
              <w:t>6. Neurodegenerative diseases: BMAL1 deficiency has been linked to an increased risk of neurodegenerative diseases such as Alzheimer's disease and Parkinson's disease, which are characterized by progressive cognitive decline and motor dysfunction.</w:t>
              <w:br/>
              <w:t>7. Cancer: Circadian rhythm dysregulation has been associated with an increased risk of certain types of cancer, including breast, colon, and prostate cancer. BMAL1 deficiency may contribute to this increased risk by disrupting the normal circadian rhythm.</w:t>
              <w:br/>
              <w:t>8. Immune system dysfunction: BMAL1 deficiency can lead to immune system dysfunction, including an increased susceptibility to in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BMAL1 is a key regulator of circadian rhythm.</w:t>
              <w:br/>
              <w:t>2. Mutations in the BMAL1 gene have been associated with delayed sleep phase syndrome.</w:t>
              <w:br/>
              <w:t>3. BMAL1 deficiency can lead to insomnia.</w:t>
              <w:br/>
              <w:t>4. Circadian rhythm dysregulation has been implicated in mood disorders such as depression and bipolar disorder.</w:t>
              <w:br/>
              <w:t>5. BMAL1 deficiency has been linked to metabolic disorders such as obesity and type 2 diabetes.</w:t>
              <w:br/>
              <w:t>6. Circadian rhythm dysregulation has been associated with an increased risk of cardiovascular disease.</w:t>
              <w:br/>
              <w:t>7. BMAL1 deficiency has been linked to an increased risk of neurodegenerative diseases such as Alzheimer's disease and Parkinson's disease.</w:t>
              <w:br/>
              <w:t>8. Circadian rhythm dysregulation has been associated with an increased risk of certain types of cancer.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268(49)</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List phosphorylation consensus motifs for Casein Kinase 1 (CK1)?</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Casein Kinase 1 (CK1) is a serine/threonine kinase that plays a crucial role in various cellular processes, including signal transduction, cytoskeleton organization, and gene expression. CK1 is known to phosphorylate a wide range of substrates, including proteins involved in cell signaling, cytoskeleton, and transcription factors. Here are some consensus motifs for phosphorylation by CK1:</w:t>
              <w:br/>
              <w:t>1. Ser/Thr-Pro-X-X-X-Ser/Thr (where X is any amino acid): This is a common consensus motif for CK1 phosphorylation, where the Pro residue is followed by a variable number of amino acids and then another Ser/Thr residue.</w:t>
              <w:br/>
              <w:t>2. Ser/Thr-X-X-X-Ser/Thr: Similar to the above motif, this one has a variable number of amino acids between the Pro and the second Ser/Thr residue.</w:t>
              <w:br/>
              <w:t>3. Ser/Thr-Gly-X-X-Ser/Thr: This motif is specific to the CK1α isoform and is found in substrates involved in cell signaling.</w:t>
              <w:br/>
              <w:t>4. Ser/Thr-Pro-X-X-X-Tyr: This motif is specific to the CK1β isoform and is found in substrates involved in transcriptional regulation.</w:t>
              <w:br/>
              <w:t>5. Ser/Thr-Pro-X-X-X-Asn/Gln: This motif is also specific to the CK1β isoform and is found in substrates involved in protein-protein interactions.</w:t>
              <w:br/>
              <w:t>Note that these consensus motifs are not exhaustive and there may be other specific motifs for CK1 phosphorylation in different substrates. Additionally, the specificity of CK1 phosphorylation can also be influenced by the presence of other kinases and phosphatases, as well as the local protein environment.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Casein Kinase 1 (CK1) is a serine/threonine kinase.</w:t>
              <w:br/>
              <w:t>2. CK1 phosphorylates proteins involved in cell signaling, cytoskeleton, and transcription factors.</w:t>
              <w:br/>
              <w:t>3. The Ser/Thr-Pro-X-X-X-Ser/Thr motif is a common consensus motif for CK1 phosphorylation.</w:t>
              <w:br/>
              <w:t>4. The Ser/Thr-Gly-X-X-Ser/Thr motif is specific to the CK1α isoform.</w:t>
              <w:br/>
              <w:t>5. The Ser/Thr-Pro-X-X-X-Tyr motif is specific to the CK1β isoform.</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