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BBEC1" w14:textId="77777777" w:rsidR="00933812" w:rsidRDefault="00873D25">
      <w:pPr>
        <w:pStyle w:val="aa"/>
      </w:pPr>
      <w:r>
        <w:rPr>
          <w:rFonts w:ascii="宋体" w:eastAsia="宋体" w:hAnsi="宋体"/>
          <w:sz w:val="40"/>
        </w:rPr>
        <w:t>幻象标注</w:t>
      </w:r>
    </w:p>
    <w:tbl>
      <w:tblPr>
        <w:tblStyle w:val="aff1"/>
        <w:tblW w:w="0" w:type="auto"/>
        <w:tblLook w:val="04A0" w:firstRow="1" w:lastRow="0" w:firstColumn="1" w:lastColumn="0" w:noHBand="0" w:noVBand="1"/>
      </w:tblPr>
      <w:tblGrid>
        <w:gridCol w:w="2588"/>
        <w:gridCol w:w="6042"/>
      </w:tblGrid>
      <w:tr w:rsidR="00933812" w14:paraId="6DE2E969" w14:textId="77777777">
        <w:tc>
          <w:tcPr>
            <w:tcW w:w="4320" w:type="dxa"/>
          </w:tcPr>
          <w:p w14:paraId="1BB1CE3E" w14:textId="77777777" w:rsidR="00933812" w:rsidRDefault="00873D25">
            <w:r>
              <w:t>ID</w:t>
            </w:r>
          </w:p>
        </w:tc>
        <w:tc>
          <w:tcPr>
            <w:tcW w:w="10080" w:type="dxa"/>
          </w:tcPr>
          <w:p w14:paraId="0F41E460" w14:textId="77777777" w:rsidR="00933812" w:rsidRDefault="00873D25">
            <w:r>
              <w:t>0(0)</w:t>
            </w:r>
          </w:p>
        </w:tc>
      </w:tr>
      <w:tr w:rsidR="00933812" w14:paraId="39A7A4C2" w14:textId="77777777">
        <w:tc>
          <w:tcPr>
            <w:tcW w:w="4320" w:type="dxa"/>
          </w:tcPr>
          <w:p w14:paraId="352161FC" w14:textId="77777777" w:rsidR="00933812" w:rsidRDefault="00873D25">
            <w:r>
              <w:rPr>
                <w:rFonts w:ascii="仿宋" w:eastAsia="仿宋" w:hAnsi="仿宋"/>
              </w:rPr>
              <w:t>领域</w:t>
            </w:r>
          </w:p>
        </w:tc>
        <w:tc>
          <w:tcPr>
            <w:tcW w:w="4320" w:type="dxa"/>
          </w:tcPr>
          <w:p w14:paraId="5CB8D3F1" w14:textId="77777777" w:rsidR="00933812" w:rsidRDefault="00873D25">
            <w:r>
              <w:t>Science</w:t>
            </w:r>
          </w:p>
        </w:tc>
      </w:tr>
      <w:tr w:rsidR="00933812" w14:paraId="3EF414F0" w14:textId="77777777">
        <w:tc>
          <w:tcPr>
            <w:tcW w:w="4320" w:type="dxa"/>
          </w:tcPr>
          <w:p w14:paraId="6F688901" w14:textId="77777777" w:rsidR="00933812" w:rsidRDefault="00873D25">
            <w:r>
              <w:rPr>
                <w:rFonts w:ascii="仿宋" w:eastAsia="仿宋" w:hAnsi="仿宋"/>
              </w:rPr>
              <w:t>用户问题</w:t>
            </w:r>
          </w:p>
        </w:tc>
        <w:tc>
          <w:tcPr>
            <w:tcW w:w="4320" w:type="dxa"/>
          </w:tcPr>
          <w:p w14:paraId="185CE619" w14:textId="77777777" w:rsidR="00933812" w:rsidRDefault="00873D25">
            <w:r>
              <w:t>Consider the following statement: "0-dimensional biomaterials lack inductive properties." Is it right? Present fact-based arguments about the statement.</w:t>
            </w:r>
          </w:p>
        </w:tc>
      </w:tr>
      <w:tr w:rsidR="00933812" w14:paraId="5C532D8B" w14:textId="77777777">
        <w:tc>
          <w:tcPr>
            <w:tcW w:w="4320" w:type="dxa"/>
          </w:tcPr>
          <w:p w14:paraId="34D41C72"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8541269" w14:textId="49A00805" w:rsidR="00933812" w:rsidRDefault="00A303B2">
            <w:r>
              <w:t>5</w:t>
            </w:r>
            <w:r w:rsidR="002C0F3C">
              <w:t>,5,</w:t>
            </w:r>
            <w:r w:rsidR="005923E2">
              <w:t>5</w:t>
            </w:r>
          </w:p>
        </w:tc>
      </w:tr>
      <w:tr w:rsidR="00933812" w14:paraId="16727060" w14:textId="77777777">
        <w:tc>
          <w:tcPr>
            <w:tcW w:w="4320" w:type="dxa"/>
          </w:tcPr>
          <w:p w14:paraId="7E0720CF" w14:textId="77777777" w:rsidR="00933812" w:rsidRDefault="00873D25">
            <w:r>
              <w:rPr>
                <w:rFonts w:ascii="仿宋" w:eastAsia="仿宋" w:hAnsi="仿宋"/>
              </w:rPr>
              <w:t>模型回复</w:t>
            </w:r>
          </w:p>
        </w:tc>
        <w:tc>
          <w:tcPr>
            <w:tcW w:w="4320" w:type="dxa"/>
          </w:tcPr>
          <w:p w14:paraId="728293F1" w14:textId="77777777" w:rsidR="00933812" w:rsidRDefault="00873D25">
            <w:r>
              <w:t>The statement, "0-dimensional biomaterials lack inductive properties," is incorrect. Biomaterials can be defined as materials that interact with biological systems for therapeutic or diagnostic purposes. The term "0-dimensional" refers to materials that are point-like or individuals atoms or molecules.</w:t>
            </w:r>
            <w:r>
              <w:br/>
              <w:t>Fact-based arguments against the statement are as follows:</w:t>
            </w:r>
            <w:r>
              <w:br/>
              <w:t>1. Quantum Dots: Quantum dots, for example, are 0-dimensional nanoscale structures that possess strong inductive properties. These materials have demonstrated excellent fluorescence and photoluminescence properties, making them useful in various applications such as bioimaging, biosensing, and drug delivery.</w:t>
            </w:r>
            <w:r>
              <w:br/>
              <w:t>2. Protein/DNA fragments: Certain biomaterials like peptides, proteins, or DNA fragments can also be considered 0-dimensional due to their atomic or molecular-level structure. However, they possess strong inductive properties, interacting with biological systems through complex molecular recognition and signaling processes.</w:t>
            </w:r>
            <w:r>
              <w:br/>
              <w:t>3. Nanoparticles: Nanoparticles, such as gold or magnetic nanoparticles, are commonly utilized biomaterials with 0-dimensional characteristics. These particles can induce electromagnetic effects, heat generation, or catalytic reactions, enabling various applications ranging from diagnostics to targeted drug delivery.</w:t>
            </w:r>
            <w:r>
              <w:br/>
              <w:t>4. RNA interference: Small interfering RNA (siRNA) molecules, which are typically single-stranded RNA fragments around 21-25 nucleotides long, can also be classified as 0-dimensional biomaterials. However, siRNAs possess inductive properties as they can specifically silence target genes by interfering with their expression through recognition and degradation processes.</w:t>
            </w:r>
            <w:r>
              <w:br/>
              <w:t>All these examples clearly demonstrate that 0-dimensional biomaterials do possess inductive properties, disproving the initial statement.</w:t>
            </w:r>
          </w:p>
        </w:tc>
      </w:tr>
      <w:tr w:rsidR="00933812" w14:paraId="2264CE1C" w14:textId="77777777">
        <w:tc>
          <w:tcPr>
            <w:tcW w:w="4320" w:type="dxa"/>
          </w:tcPr>
          <w:p w14:paraId="3F4DD509"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7F2A305" w14:textId="7ADD91C4" w:rsidR="00933812" w:rsidRPr="00873D25" w:rsidRDefault="00873D25">
            <w:pPr>
              <w:rPr>
                <w:rFonts w:eastAsia="宋体"/>
                <w:lang w:eastAsia="zh-CN"/>
              </w:rPr>
            </w:pPr>
            <w:r>
              <w:rPr>
                <w:rFonts w:eastAsia="宋体" w:hint="eastAsia"/>
                <w:lang w:eastAsia="zh-CN"/>
              </w:rPr>
              <w:t>1</w:t>
            </w:r>
          </w:p>
        </w:tc>
      </w:tr>
      <w:tr w:rsidR="00933812" w14:paraId="2F7DE7FD" w14:textId="77777777">
        <w:tc>
          <w:tcPr>
            <w:tcW w:w="4320" w:type="dxa"/>
          </w:tcPr>
          <w:p w14:paraId="1043D31A" w14:textId="77777777" w:rsidR="00933812" w:rsidRDefault="00873D25">
            <w:r>
              <w:rPr>
                <w:rFonts w:ascii="仿宋" w:eastAsia="仿宋" w:hAnsi="仿宋"/>
              </w:rPr>
              <w:t>提取的事实</w:t>
            </w:r>
          </w:p>
        </w:tc>
        <w:tc>
          <w:tcPr>
            <w:tcW w:w="4320" w:type="dxa"/>
          </w:tcPr>
          <w:p w14:paraId="15065880" w14:textId="77777777" w:rsidR="00933812" w:rsidRDefault="00873D25">
            <w:r>
              <w:t>1. Biomaterials are materials that interact with biological systems for therapeutic or diagnostic purposes.</w:t>
            </w:r>
            <w:r>
              <w:br/>
              <w:t>2. The term "0-dimensional" refers to materials that are point-like or individuals atoms or molecules.</w:t>
            </w:r>
            <w:r>
              <w:br/>
              <w:t>3. Quantum dots are 0-dimensional nanoscale structures that have strong inductive properties.</w:t>
            </w:r>
            <w:r>
              <w:br/>
              <w:t>4. Certain biomaterials like peptides, proteins, or DNA fragments can be considered 0-dimensional and they possess strong inductive properties.</w:t>
            </w:r>
            <w:r>
              <w:br/>
              <w:t>5. Nanoparticles, such as gold or magnetic nanoparticles, are 0-dimensional biomaterials that can induce electromagnetic effects, heat generation, or catalytic reactions.</w:t>
            </w:r>
          </w:p>
        </w:tc>
      </w:tr>
      <w:tr w:rsidR="00933812" w14:paraId="5FBA6366" w14:textId="77777777">
        <w:tc>
          <w:tcPr>
            <w:tcW w:w="4320" w:type="dxa"/>
          </w:tcPr>
          <w:p w14:paraId="0C39A550"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A879DB8" w14:textId="5102225E" w:rsidR="00933812" w:rsidRPr="00005AB4" w:rsidRDefault="00005AB4">
            <w:pPr>
              <w:rPr>
                <w:rFonts w:eastAsia="宋体"/>
                <w:lang w:eastAsia="zh-CN"/>
              </w:rPr>
            </w:pPr>
            <w:r>
              <w:rPr>
                <w:rFonts w:eastAsia="宋体" w:hint="eastAsia"/>
                <w:lang w:eastAsia="zh-CN"/>
              </w:rPr>
              <w:t>1</w:t>
            </w:r>
            <w:r>
              <w:rPr>
                <w:rFonts w:eastAsia="宋体"/>
                <w:lang w:eastAsia="zh-CN"/>
              </w:rPr>
              <w:t>,</w:t>
            </w:r>
            <w:r w:rsidR="00F079F1">
              <w:rPr>
                <w:rFonts w:eastAsia="宋体" w:hint="eastAsia"/>
                <w:lang w:eastAsia="zh-CN"/>
              </w:rPr>
              <w:t>6</w:t>
            </w:r>
            <w:r>
              <w:rPr>
                <w:rFonts w:eastAsia="宋体"/>
                <w:lang w:eastAsia="zh-CN"/>
              </w:rPr>
              <w:t>,</w:t>
            </w:r>
            <w:r w:rsidR="001B6CB7">
              <w:rPr>
                <w:rFonts w:eastAsia="宋体" w:hint="eastAsia"/>
                <w:lang w:eastAsia="zh-CN"/>
              </w:rPr>
              <w:t>7</w:t>
            </w:r>
            <w:r w:rsidR="00A34E83">
              <w:rPr>
                <w:rFonts w:eastAsia="宋体"/>
                <w:lang w:eastAsia="zh-CN"/>
              </w:rPr>
              <w:t>,</w:t>
            </w:r>
            <w:r w:rsidR="00FE1675">
              <w:rPr>
                <w:rFonts w:eastAsia="宋体" w:hint="eastAsia"/>
                <w:lang w:eastAsia="zh-CN"/>
              </w:rPr>
              <w:t>7,</w:t>
            </w:r>
            <w:r w:rsidR="00993807">
              <w:rPr>
                <w:rFonts w:eastAsia="宋体"/>
                <w:lang w:eastAsia="zh-CN"/>
              </w:rPr>
              <w:t>1</w:t>
            </w:r>
          </w:p>
        </w:tc>
      </w:tr>
    </w:tbl>
    <w:p w14:paraId="0C842BCE"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36"/>
        <w:gridCol w:w="5994"/>
      </w:tblGrid>
      <w:tr w:rsidR="00933812" w14:paraId="70FA8588" w14:textId="77777777">
        <w:tc>
          <w:tcPr>
            <w:tcW w:w="4320" w:type="dxa"/>
          </w:tcPr>
          <w:p w14:paraId="459138F4" w14:textId="77777777" w:rsidR="00933812" w:rsidRDefault="00873D25">
            <w:r>
              <w:t>ID</w:t>
            </w:r>
          </w:p>
        </w:tc>
        <w:tc>
          <w:tcPr>
            <w:tcW w:w="10080" w:type="dxa"/>
          </w:tcPr>
          <w:p w14:paraId="6F42CE8A" w14:textId="77777777" w:rsidR="00933812" w:rsidRDefault="00873D25">
            <w:r>
              <w:t>4(1)</w:t>
            </w:r>
          </w:p>
        </w:tc>
      </w:tr>
      <w:tr w:rsidR="00933812" w14:paraId="00654E4A" w14:textId="77777777">
        <w:tc>
          <w:tcPr>
            <w:tcW w:w="4320" w:type="dxa"/>
          </w:tcPr>
          <w:p w14:paraId="55E1A6EB" w14:textId="77777777" w:rsidR="00933812" w:rsidRDefault="00873D25">
            <w:r>
              <w:rPr>
                <w:rFonts w:ascii="仿宋" w:eastAsia="仿宋" w:hAnsi="仿宋"/>
              </w:rPr>
              <w:t>领域</w:t>
            </w:r>
          </w:p>
        </w:tc>
        <w:tc>
          <w:tcPr>
            <w:tcW w:w="4320" w:type="dxa"/>
          </w:tcPr>
          <w:p w14:paraId="4CCD7098" w14:textId="77777777" w:rsidR="00933812" w:rsidRDefault="00873D25">
            <w:r>
              <w:t>Science</w:t>
            </w:r>
          </w:p>
        </w:tc>
      </w:tr>
      <w:tr w:rsidR="00933812" w14:paraId="08D0FFC8" w14:textId="77777777">
        <w:tc>
          <w:tcPr>
            <w:tcW w:w="4320" w:type="dxa"/>
          </w:tcPr>
          <w:p w14:paraId="497922E8" w14:textId="77777777" w:rsidR="00933812" w:rsidRDefault="00873D25">
            <w:r>
              <w:rPr>
                <w:rFonts w:ascii="仿宋" w:eastAsia="仿宋" w:hAnsi="仿宋"/>
              </w:rPr>
              <w:t>用户问题</w:t>
            </w:r>
          </w:p>
        </w:tc>
        <w:tc>
          <w:tcPr>
            <w:tcW w:w="4320" w:type="dxa"/>
          </w:tcPr>
          <w:p w14:paraId="473CF6B3" w14:textId="77777777" w:rsidR="00933812" w:rsidRDefault="00873D25">
            <w:r>
              <w:t>How truthful is the statement that "32% of liver transplantation programs required patients to discontinue methadone treatment in 2001."? Present a series of factual points about the statement.</w:t>
            </w:r>
          </w:p>
        </w:tc>
      </w:tr>
      <w:tr w:rsidR="00933812" w14:paraId="479B83ED" w14:textId="77777777">
        <w:tc>
          <w:tcPr>
            <w:tcW w:w="4320" w:type="dxa"/>
          </w:tcPr>
          <w:p w14:paraId="54F14B76"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7E8C35C" w14:textId="0B09D6C0" w:rsidR="00933812" w:rsidRPr="003D1EBC" w:rsidRDefault="003D1EBC">
            <w:pPr>
              <w:rPr>
                <w:rFonts w:eastAsia="宋体"/>
                <w:lang w:eastAsia="zh-CN"/>
              </w:rPr>
            </w:pPr>
            <w:r>
              <w:rPr>
                <w:rFonts w:eastAsia="宋体"/>
                <w:lang w:eastAsia="zh-CN"/>
              </w:rPr>
              <w:t>3,5,</w:t>
            </w:r>
            <w:r>
              <w:rPr>
                <w:rFonts w:eastAsia="宋体" w:hint="eastAsia"/>
                <w:lang w:eastAsia="zh-CN"/>
              </w:rPr>
              <w:t>5</w:t>
            </w:r>
          </w:p>
        </w:tc>
      </w:tr>
      <w:tr w:rsidR="00933812" w14:paraId="46686111" w14:textId="77777777">
        <w:tc>
          <w:tcPr>
            <w:tcW w:w="4320" w:type="dxa"/>
          </w:tcPr>
          <w:p w14:paraId="3420FD54" w14:textId="77777777" w:rsidR="00933812" w:rsidRDefault="00873D25">
            <w:r>
              <w:rPr>
                <w:rFonts w:ascii="仿宋" w:eastAsia="仿宋" w:hAnsi="仿宋"/>
              </w:rPr>
              <w:t>模型回复</w:t>
            </w:r>
          </w:p>
        </w:tc>
        <w:tc>
          <w:tcPr>
            <w:tcW w:w="4320" w:type="dxa"/>
          </w:tcPr>
          <w:p w14:paraId="70A35E5F" w14:textId="77777777" w:rsidR="00933812" w:rsidRDefault="00873D25">
            <w:r>
              <w:t>1. In 2001, a study titled "Maintenance Treatment of Opiate Addiction: A Review of the Evidence" was published in the Journal of the American Medical Association (JAMA) which examined liver transplantation programs' policies on methadone treatment.</w:t>
            </w:r>
            <w:r>
              <w:br/>
              <w:t>2. The study surveyed 139 liver transplantation programs across the United States to assess their practices regarding methadone maintenance therapy (MMT) in opioid-dependent patients.</w:t>
            </w:r>
            <w:r>
              <w:br/>
            </w:r>
            <w:r>
              <w:lastRenderedPageBreak/>
              <w:t>3. The aforementioned study found that 32% of the liver transplantation programs surveyed required patients to discontinue methadone treatment before being considered for transplantation.</w:t>
            </w:r>
            <w:r>
              <w:br/>
              <w:t>4. The surveyed programs varied in their policies regarding methadone, with 56% allowing ongoing MMT without interruption, and 12% requiring patients to taper off methadone before the transplantation procedure.</w:t>
            </w:r>
            <w:r>
              <w:br/>
              <w:t>5. Factors influencing programs' decisions varied, including concerns about potential complications, adherence to a "drug-free" transplantation policy, and uncertainty about the impact of methadone on the patient's post-transplant outcome.</w:t>
            </w:r>
            <w:r>
              <w:br/>
              <w:t>6. It is important to note that the study's findings are specific to the year 2001, and policies regarding methadone in liver transplantation programs might have evolved since then.</w:t>
            </w:r>
            <w:r>
              <w:br/>
              <w:t>7. These findings provide insight into the practices and beliefs of liver transplantation programs 20 years ago regarding the use of methadone in opioid-dependent patients, but do not necessarily reflect the current state of such programs.</w:t>
            </w:r>
          </w:p>
        </w:tc>
      </w:tr>
      <w:tr w:rsidR="00933812" w14:paraId="59E2A69A" w14:textId="77777777">
        <w:tc>
          <w:tcPr>
            <w:tcW w:w="4320" w:type="dxa"/>
          </w:tcPr>
          <w:p w14:paraId="2D609B13"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E29EFD5" w14:textId="6F318EC2" w:rsidR="00933812" w:rsidRPr="000D7535" w:rsidRDefault="000D7535">
            <w:pPr>
              <w:rPr>
                <w:rFonts w:eastAsia="宋体"/>
                <w:lang w:eastAsia="zh-CN"/>
              </w:rPr>
            </w:pPr>
            <w:r>
              <w:rPr>
                <w:rFonts w:eastAsia="宋体" w:hint="eastAsia"/>
                <w:lang w:eastAsia="zh-CN"/>
              </w:rPr>
              <w:t>1</w:t>
            </w:r>
          </w:p>
        </w:tc>
      </w:tr>
      <w:tr w:rsidR="00933812" w14:paraId="1C308585" w14:textId="77777777">
        <w:tc>
          <w:tcPr>
            <w:tcW w:w="4320" w:type="dxa"/>
          </w:tcPr>
          <w:p w14:paraId="671E5542" w14:textId="77777777" w:rsidR="00933812" w:rsidRDefault="00873D25">
            <w:r>
              <w:rPr>
                <w:rFonts w:ascii="仿宋" w:eastAsia="仿宋" w:hAnsi="仿宋"/>
              </w:rPr>
              <w:t>提取的事实</w:t>
            </w:r>
          </w:p>
        </w:tc>
        <w:tc>
          <w:tcPr>
            <w:tcW w:w="4320" w:type="dxa"/>
          </w:tcPr>
          <w:p w14:paraId="11B9B3B9" w14:textId="77777777" w:rsidR="00933812" w:rsidRDefault="00873D25">
            <w:r>
              <w:t>1. In 2001, a study named "Maintenance Treatment of Opiate Addiction: A Review of the Evidence" was published in the Journal of the American Medical Association.</w:t>
            </w:r>
            <w:r>
              <w:br/>
              <w:t>2. This study surveyed 139 liver transplantation programs across the United States.</w:t>
            </w:r>
            <w:r>
              <w:br/>
              <w:t>3. The study found that 32% of surveyed liver transplantation programs required patients to discontinue methadone treatment before transplantation.</w:t>
            </w:r>
            <w:r>
              <w:br/>
              <w:t>4. The study showed varied policies: 56% of the programs allowed ongoing methadone maintenance therapy without interruption, and 12% required patients to taper off methadone before transplantation.</w:t>
            </w:r>
            <w:r>
              <w:br/>
              <w:t>5. The study's findings provided insights into the practices and beliefs of liver transplantation programs in 2001 regarding the use of methadone.</w:t>
            </w:r>
          </w:p>
        </w:tc>
      </w:tr>
      <w:tr w:rsidR="00933812" w14:paraId="5BAFC646" w14:textId="77777777">
        <w:tc>
          <w:tcPr>
            <w:tcW w:w="4320" w:type="dxa"/>
          </w:tcPr>
          <w:p w14:paraId="0C7EF378"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7D4F0640" w14:textId="60CCEFBD" w:rsidR="00933812" w:rsidRPr="000837E2" w:rsidRDefault="000837E2">
            <w:pPr>
              <w:rPr>
                <w:rFonts w:eastAsia="宋体"/>
                <w:lang w:eastAsia="zh-CN"/>
              </w:rPr>
            </w:pPr>
            <w:r>
              <w:rPr>
                <w:rFonts w:eastAsia="宋体" w:hint="eastAsia"/>
                <w:lang w:eastAsia="zh-CN"/>
              </w:rPr>
              <w:lastRenderedPageBreak/>
              <w:t>7</w:t>
            </w:r>
            <w:r>
              <w:rPr>
                <w:rFonts w:eastAsia="宋体"/>
                <w:lang w:eastAsia="zh-CN"/>
              </w:rPr>
              <w:t>,7,7,7,7</w:t>
            </w:r>
          </w:p>
        </w:tc>
      </w:tr>
    </w:tbl>
    <w:p w14:paraId="0156638B"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47"/>
        <w:gridCol w:w="5983"/>
      </w:tblGrid>
      <w:tr w:rsidR="00933812" w14:paraId="4B481B54" w14:textId="77777777">
        <w:tc>
          <w:tcPr>
            <w:tcW w:w="4320" w:type="dxa"/>
          </w:tcPr>
          <w:p w14:paraId="6A35857D" w14:textId="77777777" w:rsidR="00933812" w:rsidRDefault="00873D25">
            <w:r>
              <w:t>ID</w:t>
            </w:r>
          </w:p>
        </w:tc>
        <w:tc>
          <w:tcPr>
            <w:tcW w:w="10080" w:type="dxa"/>
          </w:tcPr>
          <w:p w14:paraId="224EFCE1" w14:textId="77777777" w:rsidR="00933812" w:rsidRDefault="00873D25">
            <w:r>
              <w:t>13(2)</w:t>
            </w:r>
          </w:p>
        </w:tc>
      </w:tr>
      <w:tr w:rsidR="00933812" w14:paraId="13BC0969" w14:textId="77777777">
        <w:tc>
          <w:tcPr>
            <w:tcW w:w="4320" w:type="dxa"/>
          </w:tcPr>
          <w:p w14:paraId="284D4C52" w14:textId="77777777" w:rsidR="00933812" w:rsidRDefault="00873D25">
            <w:r>
              <w:rPr>
                <w:rFonts w:ascii="仿宋" w:eastAsia="仿宋" w:hAnsi="仿宋"/>
              </w:rPr>
              <w:t>领域</w:t>
            </w:r>
          </w:p>
        </w:tc>
        <w:tc>
          <w:tcPr>
            <w:tcW w:w="4320" w:type="dxa"/>
          </w:tcPr>
          <w:p w14:paraId="3875A15C" w14:textId="77777777" w:rsidR="00933812" w:rsidRDefault="00873D25">
            <w:r>
              <w:t>Science</w:t>
            </w:r>
          </w:p>
        </w:tc>
      </w:tr>
      <w:tr w:rsidR="00933812" w14:paraId="7F5BA710" w14:textId="77777777">
        <w:tc>
          <w:tcPr>
            <w:tcW w:w="4320" w:type="dxa"/>
          </w:tcPr>
          <w:p w14:paraId="2FC1C375" w14:textId="77777777" w:rsidR="00933812" w:rsidRDefault="00873D25">
            <w:r>
              <w:rPr>
                <w:rFonts w:ascii="仿宋" w:eastAsia="仿宋" w:hAnsi="仿宋"/>
              </w:rPr>
              <w:t>用户问题</w:t>
            </w:r>
          </w:p>
        </w:tc>
        <w:tc>
          <w:tcPr>
            <w:tcW w:w="4320" w:type="dxa"/>
          </w:tcPr>
          <w:p w14:paraId="37742FD4" w14:textId="77777777" w:rsidR="00933812" w:rsidRDefault="00873D25">
            <w:r>
              <w:t>Can you clarify whether the claim "7-day-old adult Caenorhabditis elegans exhibit approximately 75% of the learning capacity seen in 1-day old adults." is accurate or not? Build factual arguments about the claim.</w:t>
            </w:r>
          </w:p>
        </w:tc>
      </w:tr>
      <w:tr w:rsidR="00933812" w14:paraId="76846F7E" w14:textId="77777777">
        <w:tc>
          <w:tcPr>
            <w:tcW w:w="4320" w:type="dxa"/>
          </w:tcPr>
          <w:p w14:paraId="7A2502DA"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8EB50B7" w14:textId="5AEBF294" w:rsidR="00933812" w:rsidRPr="00A122B6" w:rsidRDefault="00A122B6">
            <w:pPr>
              <w:rPr>
                <w:rFonts w:eastAsia="宋体"/>
                <w:lang w:eastAsia="zh-CN"/>
              </w:rPr>
            </w:pPr>
            <w:r>
              <w:rPr>
                <w:rFonts w:eastAsia="宋体" w:hint="eastAsia"/>
                <w:lang w:eastAsia="zh-CN"/>
              </w:rPr>
              <w:t>3</w:t>
            </w:r>
            <w:r>
              <w:rPr>
                <w:rFonts w:eastAsia="宋体"/>
                <w:lang w:eastAsia="zh-CN"/>
              </w:rPr>
              <w:t>,5,4</w:t>
            </w:r>
          </w:p>
        </w:tc>
      </w:tr>
      <w:tr w:rsidR="00933812" w14:paraId="4A3B8918" w14:textId="77777777">
        <w:tc>
          <w:tcPr>
            <w:tcW w:w="4320" w:type="dxa"/>
          </w:tcPr>
          <w:p w14:paraId="51B62E15" w14:textId="77777777" w:rsidR="00933812" w:rsidRDefault="00873D25">
            <w:r>
              <w:rPr>
                <w:rFonts w:ascii="仿宋" w:eastAsia="仿宋" w:hAnsi="仿宋"/>
              </w:rPr>
              <w:t>模型回复</w:t>
            </w:r>
          </w:p>
        </w:tc>
        <w:tc>
          <w:tcPr>
            <w:tcW w:w="4320" w:type="dxa"/>
          </w:tcPr>
          <w:p w14:paraId="5512B877" w14:textId="77777777" w:rsidR="00933812" w:rsidRDefault="00873D25">
            <w:r>
              <w:t>The claim that 7-day-old adult Caenorhabditis elegans exhibit approximately 75% of the learning capacity seen in 1-day-old adults is accurate. Several scientific studies have provided evidence supporting this claim.</w:t>
            </w:r>
            <w:r>
              <w:br/>
              <w:t>1. Gupta et al. (2003): In a study published in Learning &amp; Memory, Gupta et al. showed that there is age-dependent decline in learning ability in C. elegans. They found that learning and memory in 7-day-old adults is significantly reduced compared to 1-day-old adults. Their results indicate that 7-day-old worms retain only about 75% of the learning capacity observed in 1-day-old worms.</w:t>
            </w:r>
            <w:r>
              <w:br/>
              <w:t>2. Aamodt et al. (2011): Another study published in the Journal of Neurobiology of Aging by Aamodt et al. supports the claim. The researchers investigated age-dependent decline in chemotaxis learning in C. elegans. They reported that 7-day-old worms exhibited a selective deficit in associative learning compared to 1-day-old adults. Their findings provide further evidence that learning capacity decreases with age in C. elegans.</w:t>
            </w:r>
            <w:r>
              <w:br/>
              <w:t>3. Kauffman et al. (2010): Kauffman et al. conducted a study published in PLOS ONE, examining age-dependent changes in C. elegans behavior. They investigated various behavioral traits, including learning and memory, using a chemotaxis-based associative learning paradigm. Their results supported the claim that the learning capacity of 7-day-old worms reduced to approximately 75% of that observed in 1-day-old worms.</w:t>
            </w:r>
            <w:r>
              <w:br/>
              <w:t>These scientific studies demonstrate a consensus that there is a decline in learning capacity in 7-day-old adult C. elegans compared to 1-day-old adults, with the 7-day-old worms retaining about 75% of the learning ability seen in their younger counterparts.</w:t>
            </w:r>
          </w:p>
        </w:tc>
      </w:tr>
      <w:tr w:rsidR="00933812" w14:paraId="4FBF646D" w14:textId="77777777">
        <w:tc>
          <w:tcPr>
            <w:tcW w:w="4320" w:type="dxa"/>
          </w:tcPr>
          <w:p w14:paraId="69072BB8"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3250F0E" w14:textId="015B80BB" w:rsidR="00933812" w:rsidRPr="005A35DA" w:rsidRDefault="005A35DA">
            <w:pPr>
              <w:rPr>
                <w:rFonts w:eastAsia="宋体"/>
                <w:lang w:eastAsia="zh-CN"/>
              </w:rPr>
            </w:pPr>
            <w:r>
              <w:rPr>
                <w:rFonts w:eastAsia="宋体" w:hint="eastAsia"/>
                <w:lang w:eastAsia="zh-CN"/>
              </w:rPr>
              <w:t>1</w:t>
            </w:r>
          </w:p>
        </w:tc>
      </w:tr>
      <w:tr w:rsidR="00933812" w14:paraId="48EC1D40" w14:textId="77777777">
        <w:tc>
          <w:tcPr>
            <w:tcW w:w="4320" w:type="dxa"/>
          </w:tcPr>
          <w:p w14:paraId="7C7C895A" w14:textId="77777777" w:rsidR="00933812" w:rsidRDefault="00873D25">
            <w:r>
              <w:rPr>
                <w:rFonts w:ascii="仿宋" w:eastAsia="仿宋" w:hAnsi="仿宋"/>
              </w:rPr>
              <w:t>提取的事实</w:t>
            </w:r>
          </w:p>
        </w:tc>
        <w:tc>
          <w:tcPr>
            <w:tcW w:w="4320" w:type="dxa"/>
          </w:tcPr>
          <w:p w14:paraId="50AE4724" w14:textId="77777777" w:rsidR="00933812" w:rsidRDefault="00873D25">
            <w:r>
              <w:t>1. There is an observable age-dependent decline in learning ability in the worm species Caenorhabditis elegans.</w:t>
            </w:r>
            <w:r>
              <w:br/>
              <w:t>2. Gupta et al., in a 2003 study, concluded that 7-day-old C. elegans retain about 75% of the learning capacity seen in 1-day-old worms.</w:t>
            </w:r>
            <w:r>
              <w:br/>
              <w:t>3. A study by Aamodt et al. published in 2011 found a selective deficit in associative learning in 7-day-old C. elegans compared to 1-day-old adults.</w:t>
            </w:r>
            <w:r>
              <w:br/>
              <w:t>4. Kauffman et al. published a study in PLOS ONE in 2010 that showed a decrease to approximately 75% of learning capacity in 7-day-old C. elegans compared to those that were 1-day old.</w:t>
            </w:r>
            <w:r>
              <w:br/>
              <w:t>5. Numerous scientific studies support the claim that 7-day-old adult C. elegans exhibit approximately 75% of the learning capacity seen in 1-day-old adults.</w:t>
            </w:r>
          </w:p>
        </w:tc>
      </w:tr>
      <w:tr w:rsidR="00933812" w14:paraId="2E22D981" w14:textId="77777777">
        <w:tc>
          <w:tcPr>
            <w:tcW w:w="4320" w:type="dxa"/>
          </w:tcPr>
          <w:p w14:paraId="252AECAE"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AC68D2C" w14:textId="3C066F0A" w:rsidR="00933812" w:rsidRPr="005A35DA" w:rsidRDefault="005A35DA">
            <w:pPr>
              <w:rPr>
                <w:rFonts w:eastAsia="宋体"/>
                <w:lang w:eastAsia="zh-CN"/>
              </w:rPr>
            </w:pPr>
            <w:r>
              <w:rPr>
                <w:rFonts w:eastAsia="宋体" w:hint="eastAsia"/>
                <w:lang w:eastAsia="zh-CN"/>
              </w:rPr>
              <w:t>1</w:t>
            </w:r>
            <w:r>
              <w:rPr>
                <w:rFonts w:eastAsia="宋体"/>
                <w:lang w:eastAsia="zh-CN"/>
              </w:rPr>
              <w:t>,</w:t>
            </w:r>
            <w:r w:rsidR="003B7AD8">
              <w:rPr>
                <w:rFonts w:eastAsia="宋体"/>
                <w:lang w:eastAsia="zh-CN"/>
              </w:rPr>
              <w:t>7,</w:t>
            </w:r>
            <w:r w:rsidR="00D77090">
              <w:rPr>
                <w:rFonts w:eastAsia="宋体"/>
                <w:lang w:eastAsia="zh-CN"/>
              </w:rPr>
              <w:t>7,7,</w:t>
            </w:r>
            <w:r w:rsidR="00AA5780">
              <w:rPr>
                <w:rFonts w:eastAsia="宋体"/>
                <w:lang w:eastAsia="zh-CN"/>
              </w:rPr>
              <w:t>7</w:t>
            </w:r>
          </w:p>
        </w:tc>
      </w:tr>
    </w:tbl>
    <w:p w14:paraId="09FF01E8"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28"/>
        <w:gridCol w:w="6002"/>
      </w:tblGrid>
      <w:tr w:rsidR="00933812" w14:paraId="7141693F" w14:textId="77777777">
        <w:tc>
          <w:tcPr>
            <w:tcW w:w="4320" w:type="dxa"/>
          </w:tcPr>
          <w:p w14:paraId="16F8E52B" w14:textId="77777777" w:rsidR="00933812" w:rsidRDefault="00873D25">
            <w:r>
              <w:t>ID</w:t>
            </w:r>
          </w:p>
        </w:tc>
        <w:tc>
          <w:tcPr>
            <w:tcW w:w="10080" w:type="dxa"/>
          </w:tcPr>
          <w:p w14:paraId="657C6BD3" w14:textId="77777777" w:rsidR="00933812" w:rsidRDefault="00873D25">
            <w:r>
              <w:t>20(3)</w:t>
            </w:r>
          </w:p>
        </w:tc>
      </w:tr>
      <w:tr w:rsidR="00933812" w14:paraId="2B518110" w14:textId="77777777">
        <w:tc>
          <w:tcPr>
            <w:tcW w:w="4320" w:type="dxa"/>
          </w:tcPr>
          <w:p w14:paraId="756F8FCB" w14:textId="77777777" w:rsidR="00933812" w:rsidRDefault="00873D25">
            <w:r>
              <w:rPr>
                <w:rFonts w:ascii="仿宋" w:eastAsia="仿宋" w:hAnsi="仿宋"/>
              </w:rPr>
              <w:t>领域</w:t>
            </w:r>
          </w:p>
        </w:tc>
        <w:tc>
          <w:tcPr>
            <w:tcW w:w="4320" w:type="dxa"/>
          </w:tcPr>
          <w:p w14:paraId="53EC4CF7" w14:textId="77777777" w:rsidR="00933812" w:rsidRDefault="00873D25">
            <w:r>
              <w:t>Science</w:t>
            </w:r>
          </w:p>
        </w:tc>
      </w:tr>
      <w:tr w:rsidR="00933812" w14:paraId="2AE3FFCE" w14:textId="77777777">
        <w:tc>
          <w:tcPr>
            <w:tcW w:w="4320" w:type="dxa"/>
          </w:tcPr>
          <w:p w14:paraId="70D11AC7" w14:textId="77777777" w:rsidR="00933812" w:rsidRDefault="00873D25">
            <w:r>
              <w:rPr>
                <w:rFonts w:ascii="仿宋" w:eastAsia="仿宋" w:hAnsi="仿宋"/>
              </w:rPr>
              <w:t>用户问题</w:t>
            </w:r>
          </w:p>
        </w:tc>
        <w:tc>
          <w:tcPr>
            <w:tcW w:w="4320" w:type="dxa"/>
          </w:tcPr>
          <w:p w14:paraId="20FD2793" w14:textId="77777777" w:rsidR="00933812" w:rsidRDefault="00873D25">
            <w:r>
              <w:t>Consider the following statement: "A T helper 2 cell (Th2) environment impedes disease development in patients with systemic lupus erythematosus (SLE)." Is it right? Present fact-based arguments about the statement.</w:t>
            </w:r>
          </w:p>
        </w:tc>
      </w:tr>
      <w:tr w:rsidR="00933812" w14:paraId="31CFE727" w14:textId="77777777">
        <w:tc>
          <w:tcPr>
            <w:tcW w:w="4320" w:type="dxa"/>
          </w:tcPr>
          <w:p w14:paraId="07D94DAB"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68545B4" w14:textId="2A7C47EE" w:rsidR="00933812" w:rsidRPr="00B13A6D" w:rsidRDefault="00E50CCC">
            <w:pPr>
              <w:rPr>
                <w:rFonts w:eastAsia="宋体"/>
                <w:lang w:eastAsia="zh-CN"/>
              </w:rPr>
            </w:pPr>
            <w:r>
              <w:rPr>
                <w:rFonts w:eastAsia="宋体" w:hint="eastAsia"/>
                <w:lang w:eastAsia="zh-CN"/>
              </w:rPr>
              <w:t>3</w:t>
            </w:r>
            <w:r w:rsidR="00B13A6D">
              <w:rPr>
                <w:rFonts w:eastAsia="宋体"/>
                <w:lang w:eastAsia="zh-CN"/>
              </w:rPr>
              <w:t>,5,</w:t>
            </w:r>
            <w:r w:rsidR="004E6432">
              <w:rPr>
                <w:rFonts w:eastAsia="宋体"/>
                <w:lang w:eastAsia="zh-CN"/>
              </w:rPr>
              <w:t>5</w:t>
            </w:r>
          </w:p>
        </w:tc>
      </w:tr>
      <w:tr w:rsidR="00933812" w14:paraId="1ACC00AA" w14:textId="77777777">
        <w:tc>
          <w:tcPr>
            <w:tcW w:w="4320" w:type="dxa"/>
          </w:tcPr>
          <w:p w14:paraId="0FE39811" w14:textId="77777777" w:rsidR="00933812" w:rsidRDefault="00873D25">
            <w:r>
              <w:rPr>
                <w:rFonts w:ascii="仿宋" w:eastAsia="仿宋" w:hAnsi="仿宋"/>
              </w:rPr>
              <w:t>模型回复</w:t>
            </w:r>
          </w:p>
        </w:tc>
        <w:tc>
          <w:tcPr>
            <w:tcW w:w="4320" w:type="dxa"/>
          </w:tcPr>
          <w:p w14:paraId="294D6FF0" w14:textId="77777777" w:rsidR="00933812" w:rsidRDefault="00873D25">
            <w:r>
              <w:t xml:space="preserve">The statement "A T helper 2 cell (Th2) environment impedes disease development in patients with systemic lupus erythematosus (SLE)" is not entirely accurate. While Th2 cells are generally associated with anti-inflammatory responses and play a crucial role in immune regulation, </w:t>
            </w:r>
            <w:r>
              <w:lastRenderedPageBreak/>
              <w:t>suggesting that a Th2 environment might be beneficial in SLE, the disease is characterized by a complex and dysregulated immune response.</w:t>
            </w:r>
            <w:r>
              <w:br/>
              <w:t>Here are some fact-based arguments to support this statement:</w:t>
            </w:r>
            <w:r>
              <w:br/>
              <w:t>1. Th2 cells are responsible for antibody production: Th2 cells promote the production of immunoglobulin E (IgE) antibodies, which are involved in allergic responses. In SLE, the presence of autoantibodies targeting self-antigens is a hallmark feature of the disease. These autoantibodies contribute to the formation of immune complexes that can deposit in various tissues, leading to tissue damage and inflammation. Therefore, promoting Th2 cells that produce antibodies might exacerbate the disease instead of impeding its development.</w:t>
            </w:r>
            <w:r>
              <w:br/>
              <w:t>2. Th2 cells are associated with allergic and autoimmune diseases: While Th2 cells can have anti-inflammatory effects, an imbalance in the Th1/Th2 response is often observed in autoimmune diseases like SLE. In SLE patients, there is typically an increase in Th1 cell activity, which promotes inflammation and autoimmunity. Shifting the immune response towards a Th2 dominance may not be beneficial as it could further disrupt the already imbalanced immune regulation.</w:t>
            </w:r>
            <w:r>
              <w:br/>
              <w:t>3. SLE is a complex disease with multiple immunological abnormalities: SLE is a multifaceted disease involving abnormalities in various immunological pathways. It is considered a type III hypersensitivity reaction, involving immune complexes depositing in tissues and activating complement. The dysregulation of T helper cell subsets is just one aspect of the disease pathogenesis, and it is unlikely that a Th2 environment alone would significantly impede disease development.</w:t>
            </w:r>
            <w:r>
              <w:br/>
              <w:t>It is important to note that the immune response in SLE is highly complex and involves interactions between numerous cell types, cytokines, and immune checkpoints. It is not simply a matter of achieving a particular Th1 or Th2 dominance. Comprehensive understanding and management of SLE require a broader approach, focusing on multiple immunological abnormalities and pathways involved in the disease.</w:t>
            </w:r>
          </w:p>
        </w:tc>
      </w:tr>
      <w:tr w:rsidR="00933812" w14:paraId="49608808" w14:textId="77777777">
        <w:tc>
          <w:tcPr>
            <w:tcW w:w="4320" w:type="dxa"/>
          </w:tcPr>
          <w:p w14:paraId="1F422F42"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91BC4FA" w14:textId="0526FACD" w:rsidR="00933812" w:rsidRPr="002F6FA3" w:rsidRDefault="002F6FA3">
            <w:pPr>
              <w:rPr>
                <w:rFonts w:eastAsia="宋体"/>
                <w:lang w:eastAsia="zh-CN"/>
              </w:rPr>
            </w:pPr>
            <w:r>
              <w:rPr>
                <w:rFonts w:eastAsia="宋体" w:hint="eastAsia"/>
                <w:lang w:eastAsia="zh-CN"/>
              </w:rPr>
              <w:t>1</w:t>
            </w:r>
          </w:p>
        </w:tc>
      </w:tr>
      <w:tr w:rsidR="00933812" w14:paraId="0468F408" w14:textId="77777777">
        <w:tc>
          <w:tcPr>
            <w:tcW w:w="4320" w:type="dxa"/>
          </w:tcPr>
          <w:p w14:paraId="174F7340" w14:textId="77777777" w:rsidR="00933812" w:rsidRDefault="00873D25">
            <w:r>
              <w:rPr>
                <w:rFonts w:ascii="仿宋" w:eastAsia="仿宋" w:hAnsi="仿宋"/>
              </w:rPr>
              <w:t>提取的事实</w:t>
            </w:r>
          </w:p>
        </w:tc>
        <w:tc>
          <w:tcPr>
            <w:tcW w:w="4320" w:type="dxa"/>
          </w:tcPr>
          <w:p w14:paraId="5E0517A5" w14:textId="77777777" w:rsidR="00933812" w:rsidRDefault="00873D25">
            <w:r>
              <w:t>1. T helper 2 cells (Th2) are generally associated with anti-inflammatory responses.</w:t>
            </w:r>
            <w:r>
              <w:br/>
              <w:t>2. Th2 cells promote the production of immunoglobulin E (IgE) antibodies, which are involved in allergic responses.</w:t>
            </w:r>
            <w:r>
              <w:br/>
              <w:t xml:space="preserve">3. In systemic lupus erythematosus (SLE), the presence of </w:t>
            </w:r>
            <w:r>
              <w:lastRenderedPageBreak/>
              <w:t>autoantibodies targeting self-antigens is a hallmark feature of the disease.</w:t>
            </w:r>
            <w:r>
              <w:br/>
              <w:t>4. An imbalance in the Th1/Th2 response is often observed in autoimmune diseases like SLE.</w:t>
            </w:r>
            <w:r>
              <w:br/>
              <w:t>5. SLE is a multifaceted disease involving abnormalities in various immunological pathways and is considered a type III hypersensitivity reaction.</w:t>
            </w:r>
          </w:p>
        </w:tc>
      </w:tr>
      <w:tr w:rsidR="00933812" w14:paraId="7C7C13B2" w14:textId="77777777">
        <w:tc>
          <w:tcPr>
            <w:tcW w:w="4320" w:type="dxa"/>
          </w:tcPr>
          <w:p w14:paraId="49667746"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AFAA440" w14:textId="3F6FF44C" w:rsidR="00933812" w:rsidRPr="00D87938" w:rsidRDefault="00D87938">
            <w:pPr>
              <w:rPr>
                <w:rFonts w:eastAsia="宋体"/>
                <w:lang w:eastAsia="zh-CN"/>
              </w:rPr>
            </w:pPr>
            <w:r>
              <w:rPr>
                <w:rFonts w:eastAsia="宋体" w:hint="eastAsia"/>
                <w:lang w:eastAsia="zh-CN"/>
              </w:rPr>
              <w:t>1</w:t>
            </w:r>
            <w:r>
              <w:rPr>
                <w:rFonts w:eastAsia="宋体"/>
                <w:lang w:eastAsia="zh-CN"/>
              </w:rPr>
              <w:t>,</w:t>
            </w:r>
            <w:r w:rsidR="007F5AD6">
              <w:rPr>
                <w:rFonts w:eastAsia="宋体" w:hint="eastAsia"/>
                <w:lang w:eastAsia="zh-CN"/>
              </w:rPr>
              <w:t>1</w:t>
            </w:r>
            <w:r w:rsidR="007F5AD6">
              <w:rPr>
                <w:rFonts w:eastAsia="宋体"/>
                <w:lang w:eastAsia="zh-CN"/>
              </w:rPr>
              <w:t>,</w:t>
            </w:r>
            <w:r w:rsidR="006B2E24">
              <w:rPr>
                <w:rFonts w:eastAsia="宋体"/>
                <w:lang w:eastAsia="zh-CN"/>
              </w:rPr>
              <w:t>1,</w:t>
            </w:r>
            <w:r w:rsidR="008E310E">
              <w:rPr>
                <w:rFonts w:eastAsia="宋体"/>
                <w:lang w:eastAsia="zh-CN"/>
              </w:rPr>
              <w:t>1,</w:t>
            </w:r>
            <w:r w:rsidR="001C207B">
              <w:rPr>
                <w:rFonts w:eastAsia="宋体"/>
                <w:lang w:eastAsia="zh-CN"/>
              </w:rPr>
              <w:t>1</w:t>
            </w:r>
          </w:p>
        </w:tc>
      </w:tr>
    </w:tbl>
    <w:p w14:paraId="3F0C9BF6"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50"/>
        <w:gridCol w:w="5980"/>
      </w:tblGrid>
      <w:tr w:rsidR="00933812" w14:paraId="7F63CEB9" w14:textId="77777777">
        <w:tc>
          <w:tcPr>
            <w:tcW w:w="4320" w:type="dxa"/>
          </w:tcPr>
          <w:p w14:paraId="61C7EF6D" w14:textId="77777777" w:rsidR="00933812" w:rsidRDefault="00873D25">
            <w:r>
              <w:t>ID</w:t>
            </w:r>
          </w:p>
        </w:tc>
        <w:tc>
          <w:tcPr>
            <w:tcW w:w="10080" w:type="dxa"/>
          </w:tcPr>
          <w:p w14:paraId="4E39183E" w14:textId="77777777" w:rsidR="00933812" w:rsidRDefault="00873D25">
            <w:r>
              <w:t>32(4)</w:t>
            </w:r>
          </w:p>
        </w:tc>
      </w:tr>
      <w:tr w:rsidR="00933812" w14:paraId="7BAF2C82" w14:textId="77777777">
        <w:tc>
          <w:tcPr>
            <w:tcW w:w="4320" w:type="dxa"/>
          </w:tcPr>
          <w:p w14:paraId="32FE84FF" w14:textId="77777777" w:rsidR="00933812" w:rsidRDefault="00873D25">
            <w:r>
              <w:rPr>
                <w:rFonts w:ascii="仿宋" w:eastAsia="仿宋" w:hAnsi="仿宋"/>
              </w:rPr>
              <w:t>领域</w:t>
            </w:r>
          </w:p>
        </w:tc>
        <w:tc>
          <w:tcPr>
            <w:tcW w:w="4320" w:type="dxa"/>
          </w:tcPr>
          <w:p w14:paraId="6940F2CA" w14:textId="77777777" w:rsidR="00933812" w:rsidRDefault="00873D25">
            <w:r>
              <w:t>Science</w:t>
            </w:r>
          </w:p>
        </w:tc>
      </w:tr>
      <w:tr w:rsidR="00933812" w14:paraId="57326116" w14:textId="77777777">
        <w:tc>
          <w:tcPr>
            <w:tcW w:w="4320" w:type="dxa"/>
          </w:tcPr>
          <w:p w14:paraId="0A4B8478" w14:textId="77777777" w:rsidR="00933812" w:rsidRDefault="00873D25">
            <w:r>
              <w:rPr>
                <w:rFonts w:ascii="仿宋" w:eastAsia="仿宋" w:hAnsi="仿宋"/>
              </w:rPr>
              <w:t>用户问题</w:t>
            </w:r>
          </w:p>
        </w:tc>
        <w:tc>
          <w:tcPr>
            <w:tcW w:w="4320" w:type="dxa"/>
          </w:tcPr>
          <w:p w14:paraId="0E25B235" w14:textId="77777777" w:rsidR="00933812" w:rsidRDefault="00873D25">
            <w:r>
              <w:t>What is the validity of the assertion that "A single nucleotide variant the gene DGKK is strongly associated with increased risk of hypospadias."? Outline fact-based statements about the assertion.</w:t>
            </w:r>
          </w:p>
        </w:tc>
      </w:tr>
      <w:tr w:rsidR="00933812" w14:paraId="27D49EEF" w14:textId="77777777">
        <w:tc>
          <w:tcPr>
            <w:tcW w:w="4320" w:type="dxa"/>
          </w:tcPr>
          <w:p w14:paraId="42C36DEC"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E5CC3E9" w14:textId="38117B15" w:rsidR="00933812" w:rsidRPr="005D5132" w:rsidRDefault="00855C4E">
            <w:pPr>
              <w:rPr>
                <w:rFonts w:eastAsia="宋体"/>
                <w:lang w:eastAsia="zh-CN"/>
              </w:rPr>
            </w:pPr>
            <w:r>
              <w:rPr>
                <w:rFonts w:eastAsia="宋体"/>
                <w:lang w:eastAsia="zh-CN"/>
              </w:rPr>
              <w:t>2</w:t>
            </w:r>
            <w:r w:rsidR="005D5132">
              <w:rPr>
                <w:rFonts w:eastAsia="宋体"/>
                <w:lang w:eastAsia="zh-CN"/>
              </w:rPr>
              <w:t>,5,</w:t>
            </w:r>
            <w:r w:rsidR="004A7655">
              <w:rPr>
                <w:rFonts w:eastAsia="宋体"/>
                <w:lang w:eastAsia="zh-CN"/>
              </w:rPr>
              <w:t>3</w:t>
            </w:r>
          </w:p>
        </w:tc>
      </w:tr>
      <w:tr w:rsidR="00933812" w14:paraId="45B78E59" w14:textId="77777777">
        <w:tc>
          <w:tcPr>
            <w:tcW w:w="4320" w:type="dxa"/>
          </w:tcPr>
          <w:p w14:paraId="22E1EFC6" w14:textId="77777777" w:rsidR="00933812" w:rsidRDefault="00873D25">
            <w:r>
              <w:rPr>
                <w:rFonts w:ascii="仿宋" w:eastAsia="仿宋" w:hAnsi="仿宋"/>
              </w:rPr>
              <w:t>模型回复</w:t>
            </w:r>
          </w:p>
        </w:tc>
        <w:tc>
          <w:tcPr>
            <w:tcW w:w="4320" w:type="dxa"/>
          </w:tcPr>
          <w:p w14:paraId="50B83434" w14:textId="77777777" w:rsidR="00933812" w:rsidRDefault="00873D25">
            <w:r>
              <w:t>Fact-based statements about the assertion:</w:t>
            </w:r>
            <w:r>
              <w:br/>
              <w:t>1. A single nucleotide variant (SNV) in the gene DGKK has been identified as a genetic factor associated with an increased risk of hypospadias.</w:t>
            </w:r>
            <w:r>
              <w:br/>
              <w:t>2. Hypospadias is a birth defect that affects the urethra in boys, causing the urinary opening to be abnormally positioned on the underside of the penis.</w:t>
            </w:r>
            <w:r>
              <w:br/>
              <w:t>3. The gene DGKK (diacylglycerol kinase kappa) is involved in the development and differentiation of urogenital structures during embryonic development.</w:t>
            </w:r>
            <w:r>
              <w:br/>
              <w:t>4. Several studies have shown a strong correlation between the SNV in the DGKK gene and an increased risk of hypospadias.</w:t>
            </w:r>
            <w:r>
              <w:br/>
              <w:t>5. For example, a study published in 2011 in the journal Human Molecular Genetics found that the DGKK SNV was associated with a more than twofold increased risk of hypospadias.</w:t>
            </w:r>
            <w:r>
              <w:br/>
              <w:t xml:space="preserve">6. Furthermore, a meta-analysis published in 2017 in the </w:t>
            </w:r>
            <w:r>
              <w:lastRenderedPageBreak/>
              <w:t>journal Gene concluded that the DGKK SNV is a significant risk factor for hypospadias and suggested that it may be used as a genetic marker for early detection.</w:t>
            </w:r>
            <w:r>
              <w:br/>
              <w:t>7. The association between the DGKK SNV and hypospadias has been observed across different populations and ethnic groups.</w:t>
            </w:r>
            <w:r>
              <w:br/>
              <w:t>8. However, it is important to note that genetics is not the sole determinant of hypospadias, as other environmental and developmental factors may also play a role.</w:t>
            </w:r>
            <w:r>
              <w:br/>
              <w:t>9. Further research is still needed to fully understand the mechanisms by which the DGKK gene and its SNV contribute to the development of hypospadias and to explore potential implications for diagnosis and treatment.</w:t>
            </w:r>
          </w:p>
        </w:tc>
      </w:tr>
      <w:tr w:rsidR="00933812" w14:paraId="03117E77" w14:textId="77777777">
        <w:tc>
          <w:tcPr>
            <w:tcW w:w="4320" w:type="dxa"/>
          </w:tcPr>
          <w:p w14:paraId="2DDCD5E8"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C06FC80" w14:textId="257E7237" w:rsidR="00933812" w:rsidRPr="000F4501" w:rsidRDefault="000F4501">
            <w:pPr>
              <w:rPr>
                <w:rFonts w:eastAsia="宋体"/>
                <w:lang w:eastAsia="zh-CN"/>
              </w:rPr>
            </w:pPr>
            <w:r>
              <w:rPr>
                <w:rFonts w:eastAsia="宋体" w:hint="eastAsia"/>
                <w:lang w:eastAsia="zh-CN"/>
              </w:rPr>
              <w:t>1</w:t>
            </w:r>
          </w:p>
        </w:tc>
      </w:tr>
      <w:tr w:rsidR="00933812" w14:paraId="3612B518" w14:textId="77777777">
        <w:tc>
          <w:tcPr>
            <w:tcW w:w="4320" w:type="dxa"/>
          </w:tcPr>
          <w:p w14:paraId="512D450A" w14:textId="77777777" w:rsidR="00933812" w:rsidRDefault="00873D25">
            <w:r>
              <w:rPr>
                <w:rFonts w:ascii="仿宋" w:eastAsia="仿宋" w:hAnsi="仿宋"/>
              </w:rPr>
              <w:t>提取的事实</w:t>
            </w:r>
          </w:p>
        </w:tc>
        <w:tc>
          <w:tcPr>
            <w:tcW w:w="4320" w:type="dxa"/>
          </w:tcPr>
          <w:p w14:paraId="50BE781C" w14:textId="77777777" w:rsidR="00933812" w:rsidRDefault="00873D25">
            <w:r>
              <w:t>1. A single nucleotide variant in the gene DGKK can contribute to an increased risk of hypospadias.</w:t>
            </w:r>
            <w:r>
              <w:br/>
              <w:t>2. Hypospadias is a birth defect affecting the urethra in boys, which causes the urinary opening to be positioned on the underside of the penis.</w:t>
            </w:r>
            <w:r>
              <w:br/>
              <w:t>3. The gene DGKK (diacylglycerol kinase kappa) plays a role in the development of urogenital structures during embryonic development.</w:t>
            </w:r>
            <w:r>
              <w:br/>
              <w:t>4. A research study published in the journal Human Molecular Genetics in 2011 found a link between the DGKK SNV and a more than twofold increase in the risk of hypospadias.</w:t>
            </w:r>
            <w:r>
              <w:br/>
              <w:t>5. A 2017 meta-analysis published in the journal Gene stated that the DGKK SNV is a significant risk factor for hypospadias and could be used as a genetic marker for early detection.</w:t>
            </w:r>
          </w:p>
        </w:tc>
      </w:tr>
      <w:tr w:rsidR="00933812" w14:paraId="371D35E4" w14:textId="77777777">
        <w:tc>
          <w:tcPr>
            <w:tcW w:w="4320" w:type="dxa"/>
          </w:tcPr>
          <w:p w14:paraId="06BA3B47"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180D94D" w14:textId="26D9EC4B" w:rsidR="00933812" w:rsidRPr="00E90046" w:rsidRDefault="00E90046">
            <w:pPr>
              <w:rPr>
                <w:rFonts w:eastAsia="宋体"/>
                <w:lang w:eastAsia="zh-CN"/>
              </w:rPr>
            </w:pPr>
            <w:r>
              <w:rPr>
                <w:rFonts w:eastAsia="宋体"/>
                <w:lang w:eastAsia="zh-CN"/>
              </w:rPr>
              <w:t>1,</w:t>
            </w:r>
            <w:r w:rsidR="008F717B">
              <w:rPr>
                <w:rFonts w:eastAsia="宋体"/>
                <w:lang w:eastAsia="zh-CN"/>
              </w:rPr>
              <w:t>1,</w:t>
            </w:r>
            <w:r w:rsidR="00F44CB9">
              <w:rPr>
                <w:rFonts w:eastAsia="宋体"/>
                <w:lang w:eastAsia="zh-CN"/>
              </w:rPr>
              <w:t>7,</w:t>
            </w:r>
            <w:r w:rsidR="00E36C87">
              <w:rPr>
                <w:rFonts w:eastAsia="宋体"/>
                <w:lang w:eastAsia="zh-CN"/>
              </w:rPr>
              <w:t>7,</w:t>
            </w:r>
            <w:r w:rsidR="00D94647">
              <w:rPr>
                <w:rFonts w:eastAsia="宋体"/>
                <w:lang w:eastAsia="zh-CN"/>
              </w:rPr>
              <w:t>7</w:t>
            </w:r>
          </w:p>
        </w:tc>
      </w:tr>
    </w:tbl>
    <w:p w14:paraId="76A93A46"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41"/>
        <w:gridCol w:w="5989"/>
      </w:tblGrid>
      <w:tr w:rsidR="00933812" w14:paraId="609050DC" w14:textId="77777777">
        <w:tc>
          <w:tcPr>
            <w:tcW w:w="4320" w:type="dxa"/>
          </w:tcPr>
          <w:p w14:paraId="552D9673" w14:textId="77777777" w:rsidR="00933812" w:rsidRDefault="00873D25">
            <w:r>
              <w:t>ID</w:t>
            </w:r>
          </w:p>
        </w:tc>
        <w:tc>
          <w:tcPr>
            <w:tcW w:w="10080" w:type="dxa"/>
          </w:tcPr>
          <w:p w14:paraId="50F19FE7" w14:textId="77777777" w:rsidR="00933812" w:rsidRDefault="00873D25">
            <w:r>
              <w:t>48(5)</w:t>
            </w:r>
          </w:p>
        </w:tc>
      </w:tr>
      <w:tr w:rsidR="00933812" w14:paraId="39BC5D35" w14:textId="77777777">
        <w:tc>
          <w:tcPr>
            <w:tcW w:w="4320" w:type="dxa"/>
          </w:tcPr>
          <w:p w14:paraId="1B7AF000" w14:textId="77777777" w:rsidR="00933812" w:rsidRDefault="00873D25">
            <w:r>
              <w:rPr>
                <w:rFonts w:ascii="仿宋" w:eastAsia="仿宋" w:hAnsi="仿宋"/>
              </w:rPr>
              <w:t>领域</w:t>
            </w:r>
          </w:p>
        </w:tc>
        <w:tc>
          <w:tcPr>
            <w:tcW w:w="4320" w:type="dxa"/>
          </w:tcPr>
          <w:p w14:paraId="5655EEF0" w14:textId="77777777" w:rsidR="00933812" w:rsidRDefault="00873D25">
            <w:r>
              <w:t>Science</w:t>
            </w:r>
          </w:p>
        </w:tc>
      </w:tr>
      <w:tr w:rsidR="00933812" w14:paraId="3D59D2C2" w14:textId="77777777">
        <w:tc>
          <w:tcPr>
            <w:tcW w:w="4320" w:type="dxa"/>
          </w:tcPr>
          <w:p w14:paraId="0A5082F0" w14:textId="77777777" w:rsidR="00933812" w:rsidRDefault="00873D25">
            <w:r>
              <w:rPr>
                <w:rFonts w:ascii="仿宋" w:eastAsia="仿宋" w:hAnsi="仿宋"/>
              </w:rPr>
              <w:lastRenderedPageBreak/>
              <w:t>用户问题</w:t>
            </w:r>
          </w:p>
        </w:tc>
        <w:tc>
          <w:tcPr>
            <w:tcW w:w="4320" w:type="dxa"/>
          </w:tcPr>
          <w:p w14:paraId="4DBBEC01" w14:textId="77777777" w:rsidR="00933812" w:rsidRDefault="00873D25">
            <w:r>
              <w:t>Can you clarify whether the claim "Active H. pylori urease has a polymeric structure consisting of five distinct subunits." is accurate or not? Build factual arguments about the claim.</w:t>
            </w:r>
          </w:p>
        </w:tc>
      </w:tr>
      <w:tr w:rsidR="00933812" w14:paraId="138CD5A7" w14:textId="77777777">
        <w:tc>
          <w:tcPr>
            <w:tcW w:w="4320" w:type="dxa"/>
          </w:tcPr>
          <w:p w14:paraId="39F721A3"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8D236CA" w14:textId="668AA52F" w:rsidR="00933812" w:rsidRPr="00B77818" w:rsidRDefault="00B77818">
            <w:pPr>
              <w:rPr>
                <w:rFonts w:eastAsia="宋体"/>
                <w:lang w:eastAsia="zh-CN"/>
              </w:rPr>
            </w:pPr>
            <w:r>
              <w:rPr>
                <w:rFonts w:eastAsia="宋体" w:hint="eastAsia"/>
                <w:lang w:eastAsia="zh-CN"/>
              </w:rPr>
              <w:t>4</w:t>
            </w:r>
            <w:r>
              <w:rPr>
                <w:rFonts w:eastAsia="宋体"/>
                <w:lang w:eastAsia="zh-CN"/>
              </w:rPr>
              <w:t>,</w:t>
            </w:r>
            <w:r w:rsidR="00A77A20">
              <w:rPr>
                <w:rFonts w:eastAsia="宋体"/>
                <w:lang w:eastAsia="zh-CN"/>
              </w:rPr>
              <w:t>5,</w:t>
            </w:r>
            <w:r w:rsidR="00704D54">
              <w:rPr>
                <w:rFonts w:eastAsia="宋体"/>
                <w:lang w:eastAsia="zh-CN"/>
              </w:rPr>
              <w:t>5</w:t>
            </w:r>
          </w:p>
        </w:tc>
      </w:tr>
      <w:tr w:rsidR="00933812" w14:paraId="00EA97D2" w14:textId="77777777">
        <w:tc>
          <w:tcPr>
            <w:tcW w:w="4320" w:type="dxa"/>
          </w:tcPr>
          <w:p w14:paraId="1CED1B39" w14:textId="77777777" w:rsidR="00933812" w:rsidRDefault="00873D25">
            <w:r>
              <w:rPr>
                <w:rFonts w:ascii="仿宋" w:eastAsia="仿宋" w:hAnsi="仿宋"/>
              </w:rPr>
              <w:t>模型回复</w:t>
            </w:r>
          </w:p>
        </w:tc>
        <w:tc>
          <w:tcPr>
            <w:tcW w:w="4320" w:type="dxa"/>
          </w:tcPr>
          <w:p w14:paraId="4F3A0BFC" w14:textId="77777777" w:rsidR="00933812" w:rsidRDefault="00873D25">
            <w:r>
              <w:t>The claim that "Active H. pylori urease has a polymeric structure consisting of five distinct subunits" is accurate. There are several factual arguments that support this claim:</w:t>
            </w:r>
            <w:r>
              <w:br/>
              <w:t>1. Structural studies: Extensive structural studies have been conducted on H. pylori urease using techniques like X-ray crystallography and cryo-electron microscopy. These studies have consistently shown that the active form of H. pylori urease is indeed a polymeric structure composed of five distinct subunits.</w:t>
            </w:r>
            <w:r>
              <w:br/>
              <w:t>2. Subunit composition: H. pylori urease is composed of three types of subunits - α, β, and γ. The α-subunit forms a homotrimer, while the β- and γ-subunits come together to form a trimeric complex. These two complexes then associate with each other to form the active holoenzyme with a 3:3:1 subunit stoichiometry.</w:t>
            </w:r>
            <w:r>
              <w:br/>
              <w:t>3. Enzyme activity: The active H. pylori urease has been extensively characterized for its enzymatic activity. Urease activity assays have consistently shown that the functional enzyme possesses the polymeric structure with five subunits. Mutagenesis studies targeting different subunits have also demonstrated the importance of each subunit in maintaining the enzyme activity.</w:t>
            </w:r>
            <w:r>
              <w:br/>
              <w:t>4. Conservation among urease enzymes: Urease is an enzyme that is found across various bacterial species, including different strains of H. pylori, as well as other pathogenic and non-pathogenic bacteria. Comparative studies of urease enzymes from different sources have revealed a high degree of conservation in their polymeric structure, particularly in the subunit composition. This further supports the claim about the five subunits in active H. pylori urease.</w:t>
            </w:r>
            <w:r>
              <w:br/>
              <w:t>Overall, the claim that "Active H. pylori urease has a polymeric structure consisting of five distinct subunits" is accurate and is supported by scientific evidence from structural studies, subunit composition analysis, enzyme activity assays, and comparative studies.</w:t>
            </w:r>
          </w:p>
        </w:tc>
      </w:tr>
      <w:tr w:rsidR="00933812" w14:paraId="655990A1" w14:textId="77777777">
        <w:tc>
          <w:tcPr>
            <w:tcW w:w="4320" w:type="dxa"/>
          </w:tcPr>
          <w:p w14:paraId="42CEFB87" w14:textId="77777777" w:rsidR="00933812" w:rsidRDefault="00873D25">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9943247" w14:textId="3082CC10" w:rsidR="00933812" w:rsidRPr="00374EE8" w:rsidRDefault="00374EE8">
            <w:pPr>
              <w:rPr>
                <w:rFonts w:eastAsia="宋体"/>
                <w:lang w:eastAsia="zh-CN"/>
              </w:rPr>
            </w:pPr>
            <w:r>
              <w:rPr>
                <w:rFonts w:eastAsia="宋体" w:hint="eastAsia"/>
                <w:lang w:eastAsia="zh-CN"/>
              </w:rPr>
              <w:t>1</w:t>
            </w:r>
          </w:p>
        </w:tc>
      </w:tr>
      <w:tr w:rsidR="00933812" w14:paraId="29E5E384" w14:textId="77777777">
        <w:tc>
          <w:tcPr>
            <w:tcW w:w="4320" w:type="dxa"/>
          </w:tcPr>
          <w:p w14:paraId="380E4B3A" w14:textId="77777777" w:rsidR="00933812" w:rsidRDefault="00873D25">
            <w:r>
              <w:rPr>
                <w:rFonts w:ascii="仿宋" w:eastAsia="仿宋" w:hAnsi="仿宋"/>
              </w:rPr>
              <w:t>提取的事实</w:t>
            </w:r>
          </w:p>
        </w:tc>
        <w:tc>
          <w:tcPr>
            <w:tcW w:w="4320" w:type="dxa"/>
          </w:tcPr>
          <w:p w14:paraId="1768C8A3" w14:textId="77777777" w:rsidR="00933812" w:rsidRDefault="00873D25">
            <w:r>
              <w:t>1. The active form of H. pylori urease is a polymeric structure composed of five distinct subunits.</w:t>
            </w:r>
            <w:r>
              <w:br/>
              <w:t>2. H. pylori urease is composed of three types of subunits - α, β, and γ.</w:t>
            </w:r>
            <w:r>
              <w:br/>
            </w:r>
            <w:r>
              <w:lastRenderedPageBreak/>
              <w:t>3. The α-subunit of H. pylori urease forms a homotrimer, and the β- and γ-subunits form a trimeric complex.</w:t>
            </w:r>
            <w:r>
              <w:br/>
              <w:t>4. The active H. pylori urease has been extensively characterized for its enzymatic activity.</w:t>
            </w:r>
            <w:r>
              <w:br/>
              <w:t>5. Urease is an enzyme found across various bacterial species.</w:t>
            </w:r>
          </w:p>
        </w:tc>
      </w:tr>
      <w:tr w:rsidR="00933812" w14:paraId="7F0F97B8" w14:textId="77777777">
        <w:tc>
          <w:tcPr>
            <w:tcW w:w="4320" w:type="dxa"/>
          </w:tcPr>
          <w:p w14:paraId="735611AC"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7F0E1B4" w14:textId="03A4098A" w:rsidR="00933812" w:rsidRPr="00B87509" w:rsidRDefault="00B87509">
            <w:pPr>
              <w:rPr>
                <w:rFonts w:eastAsia="宋体"/>
                <w:lang w:eastAsia="zh-CN"/>
              </w:rPr>
            </w:pPr>
            <w:r>
              <w:rPr>
                <w:rFonts w:eastAsia="宋体" w:hint="eastAsia"/>
                <w:lang w:eastAsia="zh-CN"/>
              </w:rPr>
              <w:t>7</w:t>
            </w:r>
            <w:r>
              <w:rPr>
                <w:rFonts w:eastAsia="宋体"/>
                <w:lang w:eastAsia="zh-CN"/>
              </w:rPr>
              <w:t>,2,</w:t>
            </w:r>
            <w:r w:rsidR="000F5EAE">
              <w:rPr>
                <w:rFonts w:eastAsia="宋体" w:hint="eastAsia"/>
                <w:lang w:eastAsia="zh-CN"/>
              </w:rPr>
              <w:t>2</w:t>
            </w:r>
            <w:r w:rsidR="00FC79E8">
              <w:rPr>
                <w:rFonts w:eastAsia="宋体" w:hint="eastAsia"/>
                <w:lang w:eastAsia="zh-CN"/>
              </w:rPr>
              <w:t>,</w:t>
            </w:r>
            <w:r w:rsidR="00B82376">
              <w:rPr>
                <w:rFonts w:eastAsia="宋体"/>
                <w:lang w:eastAsia="zh-CN"/>
              </w:rPr>
              <w:t>1,</w:t>
            </w:r>
            <w:r w:rsidR="00E16BDB">
              <w:rPr>
                <w:rFonts w:eastAsia="宋体"/>
                <w:lang w:eastAsia="zh-CN"/>
              </w:rPr>
              <w:t>1</w:t>
            </w:r>
          </w:p>
        </w:tc>
      </w:tr>
    </w:tbl>
    <w:p w14:paraId="143C6C2D"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01"/>
        <w:gridCol w:w="6029"/>
      </w:tblGrid>
      <w:tr w:rsidR="00933812" w14:paraId="3F51C0B2" w14:textId="77777777">
        <w:tc>
          <w:tcPr>
            <w:tcW w:w="4320" w:type="dxa"/>
          </w:tcPr>
          <w:p w14:paraId="6D0EB769" w14:textId="77777777" w:rsidR="00933812" w:rsidRDefault="00873D25">
            <w:r>
              <w:t>ID</w:t>
            </w:r>
          </w:p>
        </w:tc>
        <w:tc>
          <w:tcPr>
            <w:tcW w:w="10080" w:type="dxa"/>
          </w:tcPr>
          <w:p w14:paraId="689F38C5" w14:textId="77777777" w:rsidR="00933812" w:rsidRDefault="00873D25">
            <w:r>
              <w:t>51(6)</w:t>
            </w:r>
          </w:p>
        </w:tc>
      </w:tr>
      <w:tr w:rsidR="00933812" w14:paraId="0DBDE9C7" w14:textId="77777777">
        <w:tc>
          <w:tcPr>
            <w:tcW w:w="4320" w:type="dxa"/>
          </w:tcPr>
          <w:p w14:paraId="3E5A526B" w14:textId="77777777" w:rsidR="00933812" w:rsidRDefault="00873D25">
            <w:r>
              <w:rPr>
                <w:rFonts w:ascii="仿宋" w:eastAsia="仿宋" w:hAnsi="仿宋"/>
              </w:rPr>
              <w:t>领域</w:t>
            </w:r>
          </w:p>
        </w:tc>
        <w:tc>
          <w:tcPr>
            <w:tcW w:w="4320" w:type="dxa"/>
          </w:tcPr>
          <w:p w14:paraId="2A189FF9" w14:textId="77777777" w:rsidR="00933812" w:rsidRDefault="00873D25">
            <w:r>
              <w:t>Science</w:t>
            </w:r>
          </w:p>
        </w:tc>
      </w:tr>
      <w:tr w:rsidR="00933812" w14:paraId="06E7848F" w14:textId="77777777">
        <w:tc>
          <w:tcPr>
            <w:tcW w:w="4320" w:type="dxa"/>
          </w:tcPr>
          <w:p w14:paraId="49BE345C" w14:textId="77777777" w:rsidR="00933812" w:rsidRDefault="00873D25">
            <w:r>
              <w:rPr>
                <w:rFonts w:ascii="仿宋" w:eastAsia="仿宋" w:hAnsi="仿宋"/>
              </w:rPr>
              <w:t>用户问题</w:t>
            </w:r>
          </w:p>
        </w:tc>
        <w:tc>
          <w:tcPr>
            <w:tcW w:w="4320" w:type="dxa"/>
          </w:tcPr>
          <w:p w14:paraId="20EB88B0" w14:textId="77777777" w:rsidR="00933812" w:rsidRDefault="00873D25">
            <w:r>
              <w:t>Do you agree with the claim that "Active caspase-11 participate in regulating phagosome-lysosome fusion."? Provide factual statements about the claim.</w:t>
            </w:r>
          </w:p>
        </w:tc>
      </w:tr>
      <w:tr w:rsidR="00933812" w14:paraId="13D9AD7C" w14:textId="77777777">
        <w:tc>
          <w:tcPr>
            <w:tcW w:w="4320" w:type="dxa"/>
          </w:tcPr>
          <w:p w14:paraId="7AD51366"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B562BC3" w14:textId="5F727A4C" w:rsidR="00933812" w:rsidRPr="00CA5981" w:rsidRDefault="00CA5981">
            <w:pPr>
              <w:rPr>
                <w:rFonts w:eastAsia="宋体"/>
                <w:lang w:eastAsia="zh-CN"/>
              </w:rPr>
            </w:pPr>
            <w:r>
              <w:rPr>
                <w:rFonts w:eastAsia="宋体" w:hint="eastAsia"/>
                <w:lang w:eastAsia="zh-CN"/>
              </w:rPr>
              <w:t>2</w:t>
            </w:r>
            <w:r>
              <w:rPr>
                <w:rFonts w:eastAsia="宋体"/>
                <w:lang w:eastAsia="zh-CN"/>
              </w:rPr>
              <w:t>,5,</w:t>
            </w:r>
            <w:r w:rsidR="00FE6CA6">
              <w:rPr>
                <w:rFonts w:eastAsia="宋体"/>
                <w:lang w:eastAsia="zh-CN"/>
              </w:rPr>
              <w:t>4</w:t>
            </w:r>
          </w:p>
        </w:tc>
      </w:tr>
      <w:tr w:rsidR="00933812" w14:paraId="2DF618A5" w14:textId="77777777">
        <w:tc>
          <w:tcPr>
            <w:tcW w:w="4320" w:type="dxa"/>
          </w:tcPr>
          <w:p w14:paraId="20E13921" w14:textId="77777777" w:rsidR="00933812" w:rsidRDefault="00873D25">
            <w:r>
              <w:rPr>
                <w:rFonts w:ascii="仿宋" w:eastAsia="仿宋" w:hAnsi="仿宋"/>
              </w:rPr>
              <w:t>模型回复</w:t>
            </w:r>
          </w:p>
        </w:tc>
        <w:tc>
          <w:tcPr>
            <w:tcW w:w="4320" w:type="dxa"/>
          </w:tcPr>
          <w:p w14:paraId="7B595A9C" w14:textId="77777777" w:rsidR="00933812" w:rsidRDefault="00873D25">
            <w:r>
              <w:t>The claim states that active caspase-11 is involved in regulating phagosome-lysosome fusion. Here are some factual statements related to this claim:</w:t>
            </w:r>
            <w:r>
              <w:br/>
              <w:t>1. Caspase-11 is a protease enzyme that plays a role in the innate immune response, particularly in response to bacterial infection.</w:t>
            </w:r>
            <w:r>
              <w:br/>
              <w:t>2. Phagosome-lysosome fusion is a process by which phagosomes (which contain engulfed particles, such as bacteria) merge with lysosomes, leading to the degradation of the engulfed material.</w:t>
            </w:r>
            <w:r>
              <w:br/>
              <w:t>3. Research studies have demonstrated a connection between caspase-11 and the regulation of phagosome-lysosome fusion.</w:t>
            </w:r>
            <w:r>
              <w:br/>
              <w:t>4. A study published in 2019 titled "Caspase-11 regulates cell migration by promoting Aip1-Cofilin-mediated actin depolymerization" by Hu Z et al. suggested that caspase-11 promotes filopodia formation, which is involved in cell migration and phagosome-lysosome fusion.</w:t>
            </w:r>
            <w:r>
              <w:br/>
              <w:t xml:space="preserve">5. Another study published in 2021 titled "Caspase-11 and AIM2 Inflammasome Trigger Pyroptosis in Response to </w:t>
            </w:r>
            <w:r>
              <w:lastRenderedPageBreak/>
              <w:t>Acinetobacter baumannii Infection" by Wang S et al. showed that caspase-11-mediated pyroptosis promotes phagosome-lysosome fusion and bacterial clearance.</w:t>
            </w:r>
            <w:r>
              <w:br/>
              <w:t>6. Studies have also shown that caspase-11 activation can lead to the recruitment and fusion of lysosomes with Salmonella-containing vacuoles, promoting bacterial clearance.</w:t>
            </w:r>
            <w:r>
              <w:br/>
              <w:t>These statements indicate that there is evidence supporting the claim that active caspase-11 participates in regulating phagosome-lysosome fusion. However, further research is needed to fully understand the mechanisms involved in this process.</w:t>
            </w:r>
          </w:p>
        </w:tc>
      </w:tr>
      <w:tr w:rsidR="00933812" w14:paraId="074EB998" w14:textId="77777777">
        <w:tc>
          <w:tcPr>
            <w:tcW w:w="4320" w:type="dxa"/>
          </w:tcPr>
          <w:p w14:paraId="551C4316"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8469855" w14:textId="1E6AC237" w:rsidR="00933812" w:rsidRPr="00930F10" w:rsidRDefault="00930F10">
            <w:pPr>
              <w:rPr>
                <w:rFonts w:eastAsia="宋体"/>
                <w:lang w:eastAsia="zh-CN"/>
              </w:rPr>
            </w:pPr>
            <w:r>
              <w:rPr>
                <w:rFonts w:eastAsia="宋体" w:hint="eastAsia"/>
                <w:lang w:eastAsia="zh-CN"/>
              </w:rPr>
              <w:t>1</w:t>
            </w:r>
          </w:p>
        </w:tc>
      </w:tr>
      <w:tr w:rsidR="00933812" w14:paraId="6BCEAC16" w14:textId="77777777">
        <w:tc>
          <w:tcPr>
            <w:tcW w:w="4320" w:type="dxa"/>
          </w:tcPr>
          <w:p w14:paraId="72329EFC" w14:textId="77777777" w:rsidR="00933812" w:rsidRDefault="00873D25">
            <w:r>
              <w:rPr>
                <w:rFonts w:ascii="仿宋" w:eastAsia="仿宋" w:hAnsi="仿宋"/>
              </w:rPr>
              <w:t>提取的事实</w:t>
            </w:r>
          </w:p>
        </w:tc>
        <w:tc>
          <w:tcPr>
            <w:tcW w:w="4320" w:type="dxa"/>
          </w:tcPr>
          <w:p w14:paraId="1B0A0E2E" w14:textId="77777777" w:rsidR="00933812" w:rsidRDefault="00873D25">
            <w:r>
              <w:t>1. Caspase-11 is a protease enzyme involved in the innate immune response, especially in response to bacterial infection.</w:t>
            </w:r>
            <w:r>
              <w:br/>
              <w:t>2. Phagosome-lysosome fusion is a biological process where phagosomes merge with lysosomes, leading to the degradation of engulfed material such as bacteria.</w:t>
            </w:r>
            <w:r>
              <w:br/>
              <w:t>3. Scientific research has demonstrated a relationship between caspase-11 and the regulation of phagosome-lysosome fusion.</w:t>
            </w:r>
            <w:r>
              <w:br/>
              <w:t>4. The 2019 study "Caspase-11 regulates cell migration by promoting Aip1-Cofilin-mediated actin depolymerization" suggested that caspase-11 influences filopodia formation, which plays a role in cell migration and phagosome-lysosome fusion.</w:t>
            </w:r>
            <w:r>
              <w:br/>
              <w:t>5. The 2021 study "Caspase-11 and AIM2 Inflammasome Trigger Pyroptosis in Response to Acinetobacter baumannii Infection" presented evidence that caspase-11-mediated pyroptosis promotes phagosome-lysosome fusion and bacterial clearance.</w:t>
            </w:r>
          </w:p>
        </w:tc>
      </w:tr>
      <w:tr w:rsidR="00933812" w14:paraId="5E891CAD" w14:textId="77777777">
        <w:tc>
          <w:tcPr>
            <w:tcW w:w="4320" w:type="dxa"/>
          </w:tcPr>
          <w:p w14:paraId="72ACBCBA"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7D12BC5" w14:textId="1A6C1DEE" w:rsidR="00933812" w:rsidRPr="00A76743" w:rsidRDefault="00A76743">
            <w:pPr>
              <w:rPr>
                <w:rFonts w:eastAsia="宋体"/>
                <w:lang w:eastAsia="zh-CN"/>
              </w:rPr>
            </w:pPr>
            <w:r>
              <w:rPr>
                <w:rFonts w:eastAsia="宋体" w:hint="eastAsia"/>
                <w:lang w:eastAsia="zh-CN"/>
              </w:rPr>
              <w:t>1</w:t>
            </w:r>
            <w:r>
              <w:rPr>
                <w:rFonts w:eastAsia="宋体"/>
                <w:lang w:eastAsia="zh-CN"/>
              </w:rPr>
              <w:t>,</w:t>
            </w:r>
            <w:r w:rsidR="00A50B44">
              <w:rPr>
                <w:rFonts w:eastAsia="宋体"/>
                <w:lang w:eastAsia="zh-CN"/>
              </w:rPr>
              <w:t>1,</w:t>
            </w:r>
            <w:r w:rsidR="00711272">
              <w:rPr>
                <w:rFonts w:eastAsia="宋体"/>
                <w:lang w:eastAsia="zh-CN"/>
              </w:rPr>
              <w:t>1,</w:t>
            </w:r>
            <w:r w:rsidR="00355579">
              <w:rPr>
                <w:rFonts w:eastAsia="宋体"/>
                <w:lang w:eastAsia="zh-CN"/>
              </w:rPr>
              <w:t>2,</w:t>
            </w:r>
            <w:r w:rsidR="007B5872">
              <w:rPr>
                <w:rFonts w:eastAsia="宋体"/>
                <w:lang w:eastAsia="zh-CN"/>
              </w:rPr>
              <w:t>7</w:t>
            </w:r>
          </w:p>
        </w:tc>
      </w:tr>
    </w:tbl>
    <w:p w14:paraId="4D1DF934"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48"/>
        <w:gridCol w:w="5982"/>
      </w:tblGrid>
      <w:tr w:rsidR="00933812" w14:paraId="235BBAAE" w14:textId="77777777">
        <w:tc>
          <w:tcPr>
            <w:tcW w:w="4320" w:type="dxa"/>
          </w:tcPr>
          <w:p w14:paraId="11EE305C" w14:textId="77777777" w:rsidR="00933812" w:rsidRDefault="00873D25">
            <w:r>
              <w:t>ID</w:t>
            </w:r>
          </w:p>
        </w:tc>
        <w:tc>
          <w:tcPr>
            <w:tcW w:w="10080" w:type="dxa"/>
          </w:tcPr>
          <w:p w14:paraId="79C2058C" w14:textId="77777777" w:rsidR="00933812" w:rsidRDefault="00873D25">
            <w:r>
              <w:t>67(7)</w:t>
            </w:r>
          </w:p>
        </w:tc>
      </w:tr>
      <w:tr w:rsidR="00933812" w14:paraId="20B272C4" w14:textId="77777777">
        <w:tc>
          <w:tcPr>
            <w:tcW w:w="4320" w:type="dxa"/>
          </w:tcPr>
          <w:p w14:paraId="11157191" w14:textId="77777777" w:rsidR="00933812" w:rsidRDefault="00873D25">
            <w:r>
              <w:rPr>
                <w:rFonts w:ascii="仿宋" w:eastAsia="仿宋" w:hAnsi="仿宋"/>
              </w:rPr>
              <w:lastRenderedPageBreak/>
              <w:t>领域</w:t>
            </w:r>
          </w:p>
        </w:tc>
        <w:tc>
          <w:tcPr>
            <w:tcW w:w="4320" w:type="dxa"/>
          </w:tcPr>
          <w:p w14:paraId="7EB27EAB" w14:textId="77777777" w:rsidR="00933812" w:rsidRDefault="00873D25">
            <w:r>
              <w:t>Science</w:t>
            </w:r>
          </w:p>
        </w:tc>
      </w:tr>
      <w:tr w:rsidR="00933812" w14:paraId="25C57EC6" w14:textId="77777777">
        <w:tc>
          <w:tcPr>
            <w:tcW w:w="4320" w:type="dxa"/>
          </w:tcPr>
          <w:p w14:paraId="78E97A6E" w14:textId="77777777" w:rsidR="00933812" w:rsidRDefault="00873D25">
            <w:r>
              <w:rPr>
                <w:rFonts w:ascii="仿宋" w:eastAsia="仿宋" w:hAnsi="仿宋"/>
              </w:rPr>
              <w:t>用户问题</w:t>
            </w:r>
          </w:p>
        </w:tc>
        <w:tc>
          <w:tcPr>
            <w:tcW w:w="4320" w:type="dxa"/>
          </w:tcPr>
          <w:p w14:paraId="300AB4C4" w14:textId="77777777" w:rsidR="00933812" w:rsidRDefault="00873D25">
            <w:r>
              <w:t>What is the validity of the assertion that "Allogeneic mechanical circulatory support is not as effective as autologous mechanical circulatory support for treating acute myocardial infarction."? Outline fact-based statements about the assertion.</w:t>
            </w:r>
          </w:p>
        </w:tc>
      </w:tr>
      <w:tr w:rsidR="00933812" w14:paraId="355C52E6" w14:textId="77777777">
        <w:tc>
          <w:tcPr>
            <w:tcW w:w="4320" w:type="dxa"/>
          </w:tcPr>
          <w:p w14:paraId="249D34EB"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E03DDAF" w14:textId="6CED7CDE" w:rsidR="00933812" w:rsidRPr="009F38A5" w:rsidRDefault="009F38A5">
            <w:pPr>
              <w:rPr>
                <w:rFonts w:eastAsia="宋体"/>
                <w:lang w:eastAsia="zh-CN"/>
              </w:rPr>
            </w:pPr>
            <w:r>
              <w:rPr>
                <w:rFonts w:eastAsia="宋体" w:hint="eastAsia"/>
                <w:lang w:eastAsia="zh-CN"/>
              </w:rPr>
              <w:t>3</w:t>
            </w:r>
            <w:r>
              <w:rPr>
                <w:rFonts w:eastAsia="宋体"/>
                <w:lang w:eastAsia="zh-CN"/>
              </w:rPr>
              <w:t>,5,</w:t>
            </w:r>
            <w:r w:rsidR="004A3BD2">
              <w:rPr>
                <w:rFonts w:eastAsia="宋体"/>
                <w:lang w:eastAsia="zh-CN"/>
              </w:rPr>
              <w:t>4</w:t>
            </w:r>
          </w:p>
        </w:tc>
      </w:tr>
      <w:tr w:rsidR="00933812" w14:paraId="09B00FEC" w14:textId="77777777">
        <w:tc>
          <w:tcPr>
            <w:tcW w:w="4320" w:type="dxa"/>
          </w:tcPr>
          <w:p w14:paraId="31E5109B" w14:textId="77777777" w:rsidR="00933812" w:rsidRDefault="00873D25">
            <w:r>
              <w:rPr>
                <w:rFonts w:ascii="仿宋" w:eastAsia="仿宋" w:hAnsi="仿宋"/>
              </w:rPr>
              <w:t>模型回复</w:t>
            </w:r>
          </w:p>
        </w:tc>
        <w:tc>
          <w:tcPr>
            <w:tcW w:w="4320" w:type="dxa"/>
          </w:tcPr>
          <w:p w14:paraId="3BBAD5FD" w14:textId="77777777" w:rsidR="00933812" w:rsidRDefault="00873D25">
            <w:r>
              <w:t>As an AI language model, I can provide you with some fact-based statements about the assertion that "Allogeneic mechanical circulatory support is not as effective as autologous mechanical circulatory support for treating acute myocardial infarction." However, it's worth noting that the field of medical research is constantly evolving, and new studies may emerge that could alter the current understanding. Here are some statements based on the existing knowledge:</w:t>
            </w:r>
            <w:r>
              <w:br/>
              <w:t>1. Allogeneic mechanical circulatory support, which involves using devices or techniques from donors other than the patient, has been used in acute myocardial infarction (AMI) cases with varying results.</w:t>
            </w:r>
            <w:r>
              <w:br/>
              <w:t>2. Autologous mechanical circulatory support, which involves using the patient's own cells or tissues for support, has shown promise in the treatment of AMI.</w:t>
            </w:r>
            <w:r>
              <w:br/>
              <w:t>3. Several studies have suggested that autologous mechanical circulatory support, such as autologous stem cell therapy or tissue engineering approaches, may promote cardiac repair and improve myocardial function in AMI patients.</w:t>
            </w:r>
            <w:r>
              <w:br/>
              <w:t>4. Allogeneic mechanical circulatory support methods, such as ventricular assist devices or extracorporeal membrane oxygenation, have been commonly used in clinical practice as a potential therapy for AMI.</w:t>
            </w:r>
            <w:r>
              <w:br/>
              <w:t>5. There is ongoing research to compare the effectiveness of allogeneic and autologous mechanical circulatory support methods, but definitive conclusions regarding superiority have not yet been reached.</w:t>
            </w:r>
            <w:r>
              <w:br/>
              <w:t>6. The choice between allogeneic and autologous mechanical circulatory support may depend on various factors, including patient characteristics, available resources, disease severity, and individual treatment goals.</w:t>
            </w:r>
            <w:r>
              <w:br/>
              <w:t>It is essential to consult medical professionals or refer to peer-reviewed research studies for the most up-to-date and accurate information on this topic.</w:t>
            </w:r>
          </w:p>
        </w:tc>
      </w:tr>
      <w:tr w:rsidR="00933812" w14:paraId="58B4DAFB" w14:textId="77777777">
        <w:tc>
          <w:tcPr>
            <w:tcW w:w="4320" w:type="dxa"/>
          </w:tcPr>
          <w:p w14:paraId="425F8F60" w14:textId="77777777" w:rsidR="00933812" w:rsidRDefault="00873D25">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70C2A04" w14:textId="6817C794" w:rsidR="00933812" w:rsidRPr="00011D9F" w:rsidRDefault="00011D9F">
            <w:pPr>
              <w:rPr>
                <w:rFonts w:eastAsia="宋体"/>
                <w:lang w:eastAsia="zh-CN"/>
              </w:rPr>
            </w:pPr>
            <w:r>
              <w:rPr>
                <w:rFonts w:eastAsia="宋体" w:hint="eastAsia"/>
                <w:lang w:eastAsia="zh-CN"/>
              </w:rPr>
              <w:t>1</w:t>
            </w:r>
          </w:p>
        </w:tc>
      </w:tr>
      <w:tr w:rsidR="00933812" w14:paraId="2B19F40F" w14:textId="77777777">
        <w:tc>
          <w:tcPr>
            <w:tcW w:w="4320" w:type="dxa"/>
          </w:tcPr>
          <w:p w14:paraId="2D41AEDE" w14:textId="77777777" w:rsidR="00933812" w:rsidRDefault="00873D25">
            <w:r>
              <w:rPr>
                <w:rFonts w:ascii="仿宋" w:eastAsia="仿宋" w:hAnsi="仿宋"/>
              </w:rPr>
              <w:lastRenderedPageBreak/>
              <w:t>提取的事实</w:t>
            </w:r>
          </w:p>
        </w:tc>
        <w:tc>
          <w:tcPr>
            <w:tcW w:w="4320" w:type="dxa"/>
          </w:tcPr>
          <w:p w14:paraId="4BDE52C4" w14:textId="77777777" w:rsidR="00933812" w:rsidRDefault="00873D25">
            <w:r>
              <w:t>1. Allogeneic mechanical circulatory support involves using devices or techniques from donors other than the patient.</w:t>
            </w:r>
            <w:r>
              <w:br/>
              <w:t>2. Allogeneic mechanical circulatory support has been used in acute myocardial infarction (AMI) cases.</w:t>
            </w:r>
            <w:r>
              <w:br/>
              <w:t>3. Autologous mechanical circulatory support involves using the patient's own cells or tissues for support and has shown promise in the treatment of AMI.</w:t>
            </w:r>
            <w:r>
              <w:br/>
              <w:t>4. Some studies have suggested that autologous mechanical circulatory support may improve myocardial function in AMI patients.</w:t>
            </w:r>
            <w:r>
              <w:br/>
              <w:t>5. Allogeneic mechanical circulatory support methods, such as ventricular assist devices or extracorporeal membrane oxygenation, are used as potential therapies for AMI.</w:t>
            </w:r>
          </w:p>
        </w:tc>
      </w:tr>
      <w:tr w:rsidR="00933812" w14:paraId="72823A42" w14:textId="77777777">
        <w:tc>
          <w:tcPr>
            <w:tcW w:w="4320" w:type="dxa"/>
          </w:tcPr>
          <w:p w14:paraId="1DB4A889"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6B25561" w14:textId="606E99FB" w:rsidR="00933812" w:rsidRPr="008637ED" w:rsidRDefault="008637ED">
            <w:pPr>
              <w:rPr>
                <w:rFonts w:eastAsia="宋体"/>
                <w:lang w:eastAsia="zh-CN"/>
              </w:rPr>
            </w:pPr>
            <w:r>
              <w:rPr>
                <w:rFonts w:eastAsia="宋体" w:hint="eastAsia"/>
                <w:lang w:eastAsia="zh-CN"/>
              </w:rPr>
              <w:t>1</w:t>
            </w:r>
            <w:r w:rsidR="00C0578D">
              <w:rPr>
                <w:rFonts w:eastAsia="宋体"/>
                <w:lang w:eastAsia="zh-CN"/>
              </w:rPr>
              <w:t>,</w:t>
            </w:r>
            <w:r w:rsidR="00AD49AA">
              <w:rPr>
                <w:rFonts w:eastAsia="宋体"/>
                <w:lang w:eastAsia="zh-CN"/>
              </w:rPr>
              <w:t>1</w:t>
            </w:r>
            <w:r w:rsidR="00280605">
              <w:rPr>
                <w:rFonts w:eastAsia="宋体"/>
                <w:lang w:eastAsia="zh-CN"/>
              </w:rPr>
              <w:t>,</w:t>
            </w:r>
            <w:r w:rsidR="00AD49AA">
              <w:rPr>
                <w:rFonts w:eastAsia="宋体"/>
                <w:lang w:eastAsia="zh-CN"/>
              </w:rPr>
              <w:t>7</w:t>
            </w:r>
            <w:r w:rsidR="00E74755">
              <w:rPr>
                <w:rFonts w:eastAsia="宋体"/>
                <w:lang w:eastAsia="zh-CN"/>
              </w:rPr>
              <w:t>,1,</w:t>
            </w:r>
            <w:r w:rsidR="00D53DD9">
              <w:rPr>
                <w:rFonts w:eastAsia="宋体"/>
                <w:lang w:eastAsia="zh-CN"/>
              </w:rPr>
              <w:t>1</w:t>
            </w:r>
          </w:p>
        </w:tc>
      </w:tr>
    </w:tbl>
    <w:p w14:paraId="0901F5E2"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595"/>
        <w:gridCol w:w="6035"/>
      </w:tblGrid>
      <w:tr w:rsidR="00933812" w14:paraId="7C8A2393" w14:textId="77777777">
        <w:tc>
          <w:tcPr>
            <w:tcW w:w="4320" w:type="dxa"/>
          </w:tcPr>
          <w:p w14:paraId="2B4294FA" w14:textId="77777777" w:rsidR="00933812" w:rsidRDefault="00873D25">
            <w:r>
              <w:t>ID</w:t>
            </w:r>
          </w:p>
        </w:tc>
        <w:tc>
          <w:tcPr>
            <w:tcW w:w="10080" w:type="dxa"/>
          </w:tcPr>
          <w:p w14:paraId="345A054D" w14:textId="77777777" w:rsidR="00933812" w:rsidRDefault="00873D25">
            <w:r>
              <w:t>70(8)</w:t>
            </w:r>
          </w:p>
        </w:tc>
      </w:tr>
      <w:tr w:rsidR="00933812" w14:paraId="0F02B508" w14:textId="77777777">
        <w:tc>
          <w:tcPr>
            <w:tcW w:w="4320" w:type="dxa"/>
          </w:tcPr>
          <w:p w14:paraId="5A83BEFA" w14:textId="77777777" w:rsidR="00933812" w:rsidRDefault="00873D25">
            <w:r>
              <w:rPr>
                <w:rFonts w:ascii="仿宋" w:eastAsia="仿宋" w:hAnsi="仿宋"/>
              </w:rPr>
              <w:t>领域</w:t>
            </w:r>
          </w:p>
        </w:tc>
        <w:tc>
          <w:tcPr>
            <w:tcW w:w="4320" w:type="dxa"/>
          </w:tcPr>
          <w:p w14:paraId="0B427156" w14:textId="77777777" w:rsidR="00933812" w:rsidRDefault="00873D25">
            <w:r>
              <w:t>Science</w:t>
            </w:r>
          </w:p>
        </w:tc>
      </w:tr>
      <w:tr w:rsidR="00933812" w14:paraId="3BA68D09" w14:textId="77777777">
        <w:tc>
          <w:tcPr>
            <w:tcW w:w="4320" w:type="dxa"/>
          </w:tcPr>
          <w:p w14:paraId="75E79DA3" w14:textId="77777777" w:rsidR="00933812" w:rsidRDefault="00873D25">
            <w:r>
              <w:rPr>
                <w:rFonts w:ascii="仿宋" w:eastAsia="仿宋" w:hAnsi="仿宋"/>
              </w:rPr>
              <w:t>用户问题</w:t>
            </w:r>
          </w:p>
        </w:tc>
        <w:tc>
          <w:tcPr>
            <w:tcW w:w="4320" w:type="dxa"/>
          </w:tcPr>
          <w:p w14:paraId="51977D16" w14:textId="77777777" w:rsidR="00933812" w:rsidRDefault="00873D25">
            <w:r>
              <w:t>Consider the following statement: "Amitriptyline is an effective treatment for chronic tension-type headaches." Is it right? Present fact-based arguments about the statement.</w:t>
            </w:r>
          </w:p>
        </w:tc>
      </w:tr>
      <w:tr w:rsidR="00933812" w14:paraId="066BE8F9" w14:textId="77777777">
        <w:tc>
          <w:tcPr>
            <w:tcW w:w="4320" w:type="dxa"/>
          </w:tcPr>
          <w:p w14:paraId="7F7D5627"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65F05BD" w14:textId="4352FC71" w:rsidR="00933812" w:rsidRPr="00A64D78" w:rsidRDefault="00A64D78">
            <w:pPr>
              <w:rPr>
                <w:rFonts w:eastAsia="宋体"/>
                <w:lang w:eastAsia="zh-CN"/>
              </w:rPr>
            </w:pPr>
            <w:r>
              <w:rPr>
                <w:rFonts w:eastAsia="宋体" w:hint="eastAsia"/>
                <w:lang w:eastAsia="zh-CN"/>
              </w:rPr>
              <w:t>4</w:t>
            </w:r>
            <w:r w:rsidR="002C586B">
              <w:rPr>
                <w:rFonts w:eastAsia="宋体"/>
                <w:lang w:eastAsia="zh-CN"/>
              </w:rPr>
              <w:t>,</w:t>
            </w:r>
            <w:r w:rsidR="007C34A9">
              <w:rPr>
                <w:rFonts w:eastAsia="宋体"/>
                <w:lang w:eastAsia="zh-CN"/>
              </w:rPr>
              <w:t>5,</w:t>
            </w:r>
            <w:r w:rsidR="00E0559C">
              <w:rPr>
                <w:rFonts w:eastAsia="宋体"/>
                <w:lang w:eastAsia="zh-CN"/>
              </w:rPr>
              <w:t>4</w:t>
            </w:r>
          </w:p>
        </w:tc>
      </w:tr>
      <w:tr w:rsidR="00933812" w14:paraId="3D27579E" w14:textId="77777777">
        <w:tc>
          <w:tcPr>
            <w:tcW w:w="4320" w:type="dxa"/>
          </w:tcPr>
          <w:p w14:paraId="74D54C9B" w14:textId="77777777" w:rsidR="00933812" w:rsidRDefault="00873D25">
            <w:r>
              <w:rPr>
                <w:rFonts w:ascii="仿宋" w:eastAsia="仿宋" w:hAnsi="仿宋"/>
              </w:rPr>
              <w:t>模型回复</w:t>
            </w:r>
          </w:p>
        </w:tc>
        <w:tc>
          <w:tcPr>
            <w:tcW w:w="4320" w:type="dxa"/>
          </w:tcPr>
          <w:p w14:paraId="35E8C055" w14:textId="77777777" w:rsidR="00933812" w:rsidRDefault="00873D25">
            <w:r>
              <w:t>To determine the accuracy of the statement "Amitriptyline is an effective treatment for chronic tension-type headaches," let's consider fact-based arguments:</w:t>
            </w:r>
            <w:r>
              <w:br/>
              <w:t>1. Evidence supporting Amitriptyline's effectiveness: Several clinical trials and studies have found evidence supporting the use of Amitriptyline for chronic tension-type headaches. The American Academy of Neurology stated in its guidelines that Amitriptyline "is probably effective and should be offered for prophylactic treatment of chronic tension-type headache." This suggests that there is a statistical likelihood of positive results with Amitriptyline treatment.</w:t>
            </w:r>
            <w:r>
              <w:br/>
              <w:t xml:space="preserve">2. Mechanism of action: Amitriptyline is a tricyclic </w:t>
            </w:r>
            <w:r>
              <w:lastRenderedPageBreak/>
              <w:t>antidepressant that modulates certain neurotransmitters, such as serotonin and norepinephrine, which are involved in pain perception. By altering these neurotransmitters' levels, Amitriptyline can potentially reduce the frequency and severity of chronic tension-type headaches.</w:t>
            </w:r>
            <w:r>
              <w:br/>
              <w:t>3. Clinical recommendations: Numerous medical guidelines, including the British Association for the Study of Headache and the European Federation of Neurological Societies, recommend the use of Amitriptyline as a first-line treatment for chronic tension-type headache prevention. These recommendations are based on reviews of available scientific evidence.</w:t>
            </w:r>
            <w:r>
              <w:br/>
              <w:t>4. Individual variation: It is important to recognize that responses to medications can vary between individuals. While Amitriptyline may be effective for many patients, some individuals may not experience significant improvement in their headache symptoms or may experience intolerable side effects.</w:t>
            </w:r>
            <w:r>
              <w:br/>
              <w:t>5. Alternative treatments: Other treatments, such as cognitive-behavioral therapy, physical therapy, or other medications (e.g., selective serotonin reuptake inhibitors), have also shown effectiveness in managing chronic tension-type headaches. The choice of treatment may depend on individual patient characteristics, preferences, and the presence of comorbid conditions.</w:t>
            </w:r>
            <w:r>
              <w:br/>
              <w:t>Overall, based on scientific evidence, guidelines from reputable medical associations, and the mechanism of action of Amitriptyline, it can be argued that Amitriptyline is indeed an effective treatment option for chronic tension-type headaches for many individuals. However, individual variations and alternative treatment options suggest that it may not be effective for everyone. Consulting with a healthcare professional is crucial to determine the most appropriate treatment for each individual.</w:t>
            </w:r>
          </w:p>
        </w:tc>
      </w:tr>
      <w:tr w:rsidR="00933812" w14:paraId="04ED6FA2" w14:textId="77777777">
        <w:tc>
          <w:tcPr>
            <w:tcW w:w="4320" w:type="dxa"/>
          </w:tcPr>
          <w:p w14:paraId="295920F7"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B527207" w14:textId="2724C230" w:rsidR="00933812" w:rsidRPr="006D5C91" w:rsidRDefault="006D5C91">
            <w:pPr>
              <w:rPr>
                <w:rFonts w:eastAsia="宋体"/>
                <w:lang w:eastAsia="zh-CN"/>
              </w:rPr>
            </w:pPr>
            <w:r>
              <w:rPr>
                <w:rFonts w:eastAsia="宋体" w:hint="eastAsia"/>
                <w:lang w:eastAsia="zh-CN"/>
              </w:rPr>
              <w:t>1</w:t>
            </w:r>
          </w:p>
        </w:tc>
      </w:tr>
      <w:tr w:rsidR="00933812" w14:paraId="0DB10212" w14:textId="77777777">
        <w:tc>
          <w:tcPr>
            <w:tcW w:w="4320" w:type="dxa"/>
          </w:tcPr>
          <w:p w14:paraId="23E03B59" w14:textId="77777777" w:rsidR="00933812" w:rsidRDefault="00873D25">
            <w:r>
              <w:rPr>
                <w:rFonts w:ascii="仿宋" w:eastAsia="仿宋" w:hAnsi="仿宋"/>
              </w:rPr>
              <w:t>提取的事实</w:t>
            </w:r>
          </w:p>
        </w:tc>
        <w:tc>
          <w:tcPr>
            <w:tcW w:w="4320" w:type="dxa"/>
          </w:tcPr>
          <w:p w14:paraId="6C518039" w14:textId="77777777" w:rsidR="00933812" w:rsidRDefault="00873D25">
            <w:r>
              <w:t>1. Amitriptyline is a tricyclic antidepressant that alters certain neurotransmitters, such as serotonin and norepinephrine, which are involved in pain perception.</w:t>
            </w:r>
            <w:r>
              <w:br/>
              <w:t>2. Several clinical trials and studies have found evidence supporting the use of Amitriptyline for chronic tension-type headaches.</w:t>
            </w:r>
            <w:r>
              <w:br/>
              <w:t>3. The American Academy of Neurology has stated in its guidelines that Amitriptyline should be offered for prophylactic treatment of chronic tension-type headache.</w:t>
            </w:r>
            <w:r>
              <w:br/>
              <w:t xml:space="preserve">4. The British Association for the Study of Headache and the European Federation of Neurological Societies recommend using Amitriptyline as a first-line treatment for chronic </w:t>
            </w:r>
            <w:r>
              <w:lastRenderedPageBreak/>
              <w:t>tension-type headache prevention.</w:t>
            </w:r>
            <w:r>
              <w:br/>
              <w:t>5. Alternative treatments, such as cognitive-behavioral therapy, physical therapy, or other medications can also effectively manage chronic tension-type headaches.</w:t>
            </w:r>
          </w:p>
        </w:tc>
      </w:tr>
      <w:tr w:rsidR="00933812" w14:paraId="3E4CEC1E" w14:textId="77777777">
        <w:tc>
          <w:tcPr>
            <w:tcW w:w="4320" w:type="dxa"/>
          </w:tcPr>
          <w:p w14:paraId="5AA92DA7"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7493397" w14:textId="0B7FF7AC" w:rsidR="00933812" w:rsidRPr="000B13D8" w:rsidRDefault="000B13D8">
            <w:pPr>
              <w:rPr>
                <w:rFonts w:eastAsia="宋体"/>
                <w:lang w:eastAsia="zh-CN"/>
              </w:rPr>
            </w:pPr>
            <w:r>
              <w:rPr>
                <w:rFonts w:eastAsia="宋体" w:hint="eastAsia"/>
                <w:lang w:eastAsia="zh-CN"/>
              </w:rPr>
              <w:t>1</w:t>
            </w:r>
            <w:r>
              <w:rPr>
                <w:rFonts w:eastAsia="宋体"/>
                <w:lang w:eastAsia="zh-CN"/>
              </w:rPr>
              <w:t>,</w:t>
            </w:r>
            <w:r w:rsidR="00A219BD">
              <w:rPr>
                <w:rFonts w:eastAsia="宋体"/>
                <w:lang w:eastAsia="zh-CN"/>
              </w:rPr>
              <w:t>1,</w:t>
            </w:r>
            <w:r w:rsidR="004D4AD6">
              <w:rPr>
                <w:rFonts w:eastAsia="宋体"/>
                <w:lang w:eastAsia="zh-CN"/>
              </w:rPr>
              <w:t>1,</w:t>
            </w:r>
            <w:r w:rsidR="00F069DF">
              <w:rPr>
                <w:rFonts w:eastAsia="宋体"/>
                <w:lang w:eastAsia="zh-CN"/>
              </w:rPr>
              <w:t>1,</w:t>
            </w:r>
            <w:r w:rsidR="00CD1EFD">
              <w:rPr>
                <w:rFonts w:eastAsia="宋体"/>
                <w:lang w:eastAsia="zh-CN"/>
              </w:rPr>
              <w:t>1</w:t>
            </w:r>
          </w:p>
        </w:tc>
      </w:tr>
    </w:tbl>
    <w:p w14:paraId="280B0095"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69"/>
        <w:gridCol w:w="5961"/>
      </w:tblGrid>
      <w:tr w:rsidR="00933812" w14:paraId="432F04BF" w14:textId="77777777">
        <w:tc>
          <w:tcPr>
            <w:tcW w:w="4320" w:type="dxa"/>
          </w:tcPr>
          <w:p w14:paraId="49222B1F" w14:textId="77777777" w:rsidR="00933812" w:rsidRDefault="00873D25">
            <w:r>
              <w:t>ID</w:t>
            </w:r>
          </w:p>
        </w:tc>
        <w:tc>
          <w:tcPr>
            <w:tcW w:w="10080" w:type="dxa"/>
          </w:tcPr>
          <w:p w14:paraId="3EDD19AE" w14:textId="77777777" w:rsidR="00933812" w:rsidRDefault="00873D25">
            <w:r>
              <w:t>88(9)</w:t>
            </w:r>
          </w:p>
        </w:tc>
      </w:tr>
      <w:tr w:rsidR="00933812" w14:paraId="2324B53B" w14:textId="77777777">
        <w:tc>
          <w:tcPr>
            <w:tcW w:w="4320" w:type="dxa"/>
          </w:tcPr>
          <w:p w14:paraId="7DD5F9BC" w14:textId="77777777" w:rsidR="00933812" w:rsidRDefault="00873D25">
            <w:r>
              <w:rPr>
                <w:rFonts w:ascii="仿宋" w:eastAsia="仿宋" w:hAnsi="仿宋"/>
              </w:rPr>
              <w:t>领域</w:t>
            </w:r>
          </w:p>
        </w:tc>
        <w:tc>
          <w:tcPr>
            <w:tcW w:w="4320" w:type="dxa"/>
          </w:tcPr>
          <w:p w14:paraId="14DAA626" w14:textId="77777777" w:rsidR="00933812" w:rsidRDefault="00873D25">
            <w:r>
              <w:t>Science</w:t>
            </w:r>
          </w:p>
        </w:tc>
      </w:tr>
      <w:tr w:rsidR="00933812" w14:paraId="2C0D2148" w14:textId="77777777">
        <w:tc>
          <w:tcPr>
            <w:tcW w:w="4320" w:type="dxa"/>
          </w:tcPr>
          <w:p w14:paraId="52495F77" w14:textId="77777777" w:rsidR="00933812" w:rsidRDefault="00873D25">
            <w:r>
              <w:rPr>
                <w:rFonts w:ascii="仿宋" w:eastAsia="仿宋" w:hAnsi="仿宋"/>
              </w:rPr>
              <w:t>用户问题</w:t>
            </w:r>
          </w:p>
        </w:tc>
        <w:tc>
          <w:tcPr>
            <w:tcW w:w="4320" w:type="dxa"/>
          </w:tcPr>
          <w:p w14:paraId="63E0398F" w14:textId="77777777" w:rsidR="00933812" w:rsidRDefault="00873D25">
            <w:r>
              <w:t>Can you clarify whether the claim "B3-Galectin decreases cell resistance to tyrosine kinase inhibitors (TKIs) by engaging the alternate KRAS-RalB signaling complex downstream of EGFR." is accurate or not? Build factual arguments about the claim.</w:t>
            </w:r>
          </w:p>
        </w:tc>
      </w:tr>
      <w:tr w:rsidR="00933812" w14:paraId="70968E4A" w14:textId="77777777">
        <w:tc>
          <w:tcPr>
            <w:tcW w:w="4320" w:type="dxa"/>
          </w:tcPr>
          <w:p w14:paraId="0EC28414"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7519A3A" w14:textId="26AA27F8" w:rsidR="00933812" w:rsidRPr="001F185D" w:rsidRDefault="009D345E">
            <w:pPr>
              <w:rPr>
                <w:rFonts w:eastAsia="宋体"/>
                <w:lang w:eastAsia="zh-CN"/>
              </w:rPr>
            </w:pPr>
            <w:r>
              <w:rPr>
                <w:rFonts w:eastAsia="宋体" w:hint="eastAsia"/>
                <w:lang w:eastAsia="zh-CN"/>
              </w:rPr>
              <w:t>1</w:t>
            </w:r>
            <w:r>
              <w:rPr>
                <w:rFonts w:eastAsia="宋体"/>
                <w:lang w:eastAsia="zh-CN"/>
              </w:rPr>
              <w:t>,</w:t>
            </w:r>
            <w:r w:rsidR="00152B8E">
              <w:rPr>
                <w:rFonts w:eastAsia="宋体"/>
                <w:lang w:eastAsia="zh-CN"/>
              </w:rPr>
              <w:t>4,</w:t>
            </w:r>
            <w:r w:rsidR="00EE3B85">
              <w:rPr>
                <w:rFonts w:eastAsia="宋体"/>
                <w:lang w:eastAsia="zh-CN"/>
              </w:rPr>
              <w:t>5</w:t>
            </w:r>
          </w:p>
        </w:tc>
      </w:tr>
      <w:tr w:rsidR="00933812" w14:paraId="77ED22EE" w14:textId="77777777">
        <w:tc>
          <w:tcPr>
            <w:tcW w:w="4320" w:type="dxa"/>
          </w:tcPr>
          <w:p w14:paraId="5ADDAA50" w14:textId="77777777" w:rsidR="00933812" w:rsidRDefault="00873D25">
            <w:r>
              <w:rPr>
                <w:rFonts w:ascii="仿宋" w:eastAsia="仿宋" w:hAnsi="仿宋"/>
              </w:rPr>
              <w:t>模型回复</w:t>
            </w:r>
          </w:p>
        </w:tc>
        <w:tc>
          <w:tcPr>
            <w:tcW w:w="4320" w:type="dxa"/>
          </w:tcPr>
          <w:p w14:paraId="04DB9B9A" w14:textId="77777777" w:rsidR="00933812" w:rsidRDefault="00873D25">
            <w:r>
              <w:t>As an AI language model, I can provide an analysis of the claim, but I cannot access real-time data or specific studies. Based on the claim you presented, let's assess it and build factual arguments:</w:t>
            </w:r>
            <w:r>
              <w:br/>
              <w:t>1. The existence of B3-Galectin: It is important to determine whether B3-Galectin actually exists as a specific protein or molecule. Without evidence of its existence, it is difficult to evaluate the claim.</w:t>
            </w:r>
            <w:r>
              <w:br/>
              <w:t>2. Cell resistance to tyrosine kinase inhibitors (TKIs): TKIs are known to inhibit the activity of tyrosine kinases, which are involved in various cellular signaling pathways. If B3-Galectin decreases cell resistance to TKIs, it implies that B3-Galectin has an effect on those signaling pathways. This should be supported by experimental evidence.</w:t>
            </w:r>
            <w:r>
              <w:br/>
              <w:t>3. KRAS-RalB signaling complex: The claim suggests that B3-Galectin engages the alternate KRAS-RalB signaling complex downstream of the epidermal growth factor receptor (EGFR). This implies that B3-Galectin affects the signaling pathway involving EGFR, KRAS, and RalB. Experimental evidence should be provided to support this claim.</w:t>
            </w:r>
            <w:r>
              <w:br/>
            </w:r>
            <w:r>
              <w:lastRenderedPageBreak/>
              <w:t>4. Evidence of downstream effects: To evaluate the claim accurately, evidence should be presented regarding the actual downstream effects of B3-Galectin on the KRAS-RalB signaling complex. This can include specific changes in cellular behavior, alterations in protein expression, or other measurable effects.</w:t>
            </w:r>
            <w:r>
              <w:br/>
              <w:t>To definitively validate or refute the claim, it is important to consult scientific studies, peer-reviewed articles, or other reputable sources that provide experimental evidence supporting or contradicting the claim.</w:t>
            </w:r>
          </w:p>
        </w:tc>
      </w:tr>
      <w:tr w:rsidR="00933812" w14:paraId="19223D72" w14:textId="77777777">
        <w:tc>
          <w:tcPr>
            <w:tcW w:w="4320" w:type="dxa"/>
          </w:tcPr>
          <w:p w14:paraId="5F62094F"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F0BF77C" w14:textId="3372CC66" w:rsidR="00933812" w:rsidRPr="00F77CE0" w:rsidRDefault="00F77CE0">
            <w:pPr>
              <w:rPr>
                <w:rFonts w:eastAsia="宋体"/>
                <w:lang w:eastAsia="zh-CN"/>
              </w:rPr>
            </w:pPr>
            <w:r>
              <w:rPr>
                <w:rFonts w:eastAsia="宋体" w:hint="eastAsia"/>
                <w:lang w:eastAsia="zh-CN"/>
              </w:rPr>
              <w:t>1</w:t>
            </w:r>
          </w:p>
        </w:tc>
      </w:tr>
      <w:tr w:rsidR="00933812" w14:paraId="0B7829F6" w14:textId="77777777">
        <w:tc>
          <w:tcPr>
            <w:tcW w:w="4320" w:type="dxa"/>
          </w:tcPr>
          <w:p w14:paraId="519BF962" w14:textId="77777777" w:rsidR="00933812" w:rsidRDefault="00873D25">
            <w:r>
              <w:rPr>
                <w:rFonts w:ascii="仿宋" w:eastAsia="仿宋" w:hAnsi="仿宋"/>
              </w:rPr>
              <w:t>提取的事实</w:t>
            </w:r>
          </w:p>
        </w:tc>
        <w:tc>
          <w:tcPr>
            <w:tcW w:w="4320" w:type="dxa"/>
          </w:tcPr>
          <w:p w14:paraId="67BAFC91" w14:textId="77777777" w:rsidR="00933812" w:rsidRDefault="00873D25">
            <w:r>
              <w:t>1. Tyrosine kinase inhibitors (TKIs) are known to inhibit the activity of tyrosine kinases, which are involved in various cellular signaling pathways.</w:t>
            </w:r>
            <w:r>
              <w:br/>
              <w:t>2. The claim suggests that a supposed protein or molecule, B3-Galectin, can affect a signaling pathway involving EGFR, KRAS, and RalB.</w:t>
            </w:r>
            <w:r>
              <w:br/>
              <w:t>3. Scientific studies, peer-reviewed articles, or other reputable sources are often consulted to validate or refute scientific claims.</w:t>
            </w:r>
            <w:r>
              <w:br/>
              <w:t>4. The statement mentions that there may be evidence of downstream effects of B3-Galectin on the KRAS-RalB signaling complex.</w:t>
            </w:r>
            <w:r>
              <w:br/>
              <w:t>5. The claim posits that B3-Galectin has an impact on cell resistance to TKIs.</w:t>
            </w:r>
          </w:p>
        </w:tc>
      </w:tr>
      <w:tr w:rsidR="00933812" w14:paraId="054877BB" w14:textId="77777777">
        <w:tc>
          <w:tcPr>
            <w:tcW w:w="4320" w:type="dxa"/>
          </w:tcPr>
          <w:p w14:paraId="1BEE6955"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44BA6BD" w14:textId="77521E89" w:rsidR="00933812" w:rsidRPr="00E621AA" w:rsidRDefault="00E621AA">
            <w:pPr>
              <w:rPr>
                <w:rFonts w:eastAsia="宋体"/>
                <w:lang w:eastAsia="zh-CN"/>
              </w:rPr>
            </w:pPr>
            <w:r>
              <w:rPr>
                <w:rFonts w:eastAsia="宋体" w:hint="eastAsia"/>
                <w:lang w:eastAsia="zh-CN"/>
              </w:rPr>
              <w:t>1</w:t>
            </w:r>
            <w:r>
              <w:rPr>
                <w:rFonts w:eastAsia="宋体"/>
                <w:lang w:eastAsia="zh-CN"/>
              </w:rPr>
              <w:t>,</w:t>
            </w:r>
            <w:r w:rsidR="00E2082D">
              <w:rPr>
                <w:rFonts w:eastAsia="宋体"/>
                <w:lang w:eastAsia="zh-CN"/>
              </w:rPr>
              <w:t>7</w:t>
            </w:r>
            <w:r w:rsidR="009C2055">
              <w:rPr>
                <w:rFonts w:eastAsia="宋体"/>
                <w:lang w:eastAsia="zh-CN"/>
              </w:rPr>
              <w:t>,1</w:t>
            </w:r>
            <w:r w:rsidR="00B64F1F">
              <w:rPr>
                <w:rFonts w:eastAsia="宋体"/>
                <w:lang w:eastAsia="zh-CN"/>
              </w:rPr>
              <w:t>,</w:t>
            </w:r>
            <w:r w:rsidR="008E3772">
              <w:rPr>
                <w:rFonts w:eastAsia="宋体"/>
                <w:lang w:eastAsia="zh-CN"/>
              </w:rPr>
              <w:t>1,</w:t>
            </w:r>
            <w:r w:rsidR="00880E7E">
              <w:rPr>
                <w:rFonts w:eastAsia="宋体"/>
                <w:lang w:eastAsia="zh-CN"/>
              </w:rPr>
              <w:t>7</w:t>
            </w:r>
          </w:p>
        </w:tc>
      </w:tr>
    </w:tbl>
    <w:p w14:paraId="4825F6F5"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44"/>
        <w:gridCol w:w="5986"/>
      </w:tblGrid>
      <w:tr w:rsidR="00933812" w14:paraId="348AB09F" w14:textId="77777777">
        <w:tc>
          <w:tcPr>
            <w:tcW w:w="4320" w:type="dxa"/>
          </w:tcPr>
          <w:p w14:paraId="737FED6B" w14:textId="77777777" w:rsidR="00933812" w:rsidRDefault="00873D25">
            <w:r>
              <w:t>ID</w:t>
            </w:r>
          </w:p>
        </w:tc>
        <w:tc>
          <w:tcPr>
            <w:tcW w:w="10080" w:type="dxa"/>
          </w:tcPr>
          <w:p w14:paraId="0DC4089A" w14:textId="77777777" w:rsidR="00933812" w:rsidRDefault="00873D25">
            <w:r>
              <w:t>102(10)</w:t>
            </w:r>
          </w:p>
        </w:tc>
      </w:tr>
      <w:tr w:rsidR="00933812" w14:paraId="10B80BF5" w14:textId="77777777">
        <w:tc>
          <w:tcPr>
            <w:tcW w:w="4320" w:type="dxa"/>
          </w:tcPr>
          <w:p w14:paraId="47A691D6" w14:textId="77777777" w:rsidR="00933812" w:rsidRDefault="00873D25">
            <w:r>
              <w:rPr>
                <w:rFonts w:ascii="仿宋" w:eastAsia="仿宋" w:hAnsi="仿宋"/>
              </w:rPr>
              <w:t>领域</w:t>
            </w:r>
          </w:p>
        </w:tc>
        <w:tc>
          <w:tcPr>
            <w:tcW w:w="4320" w:type="dxa"/>
          </w:tcPr>
          <w:p w14:paraId="5C35A2EB" w14:textId="77777777" w:rsidR="00933812" w:rsidRDefault="00873D25">
            <w:r>
              <w:t>Science</w:t>
            </w:r>
          </w:p>
        </w:tc>
      </w:tr>
      <w:tr w:rsidR="00933812" w14:paraId="604DEC69" w14:textId="77777777">
        <w:tc>
          <w:tcPr>
            <w:tcW w:w="4320" w:type="dxa"/>
          </w:tcPr>
          <w:p w14:paraId="7FAF6FC5" w14:textId="77777777" w:rsidR="00933812" w:rsidRDefault="00873D25">
            <w:r>
              <w:rPr>
                <w:rFonts w:ascii="仿宋" w:eastAsia="仿宋" w:hAnsi="仿宋"/>
              </w:rPr>
              <w:t>用户问题</w:t>
            </w:r>
          </w:p>
        </w:tc>
        <w:tc>
          <w:tcPr>
            <w:tcW w:w="4320" w:type="dxa"/>
          </w:tcPr>
          <w:p w14:paraId="085FDA7F" w14:textId="77777777" w:rsidR="00933812" w:rsidRDefault="00873D25">
            <w:r>
              <w:t>What is the validity of the assertion that "Basophils promote disease development in patients with systemic lupus erythematosus (SLE)."? Outline fact-based statements about the assertion.</w:t>
            </w:r>
          </w:p>
        </w:tc>
      </w:tr>
      <w:tr w:rsidR="00933812" w14:paraId="18F7846D" w14:textId="77777777">
        <w:tc>
          <w:tcPr>
            <w:tcW w:w="4320" w:type="dxa"/>
          </w:tcPr>
          <w:p w14:paraId="287373C7"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702D67E4" w14:textId="73D6222F" w:rsidR="00933812" w:rsidRPr="00162224" w:rsidRDefault="004762D6">
            <w:pPr>
              <w:rPr>
                <w:rFonts w:eastAsia="宋体"/>
                <w:lang w:eastAsia="zh-CN"/>
              </w:rPr>
            </w:pPr>
            <w:r>
              <w:rPr>
                <w:rFonts w:eastAsia="宋体"/>
                <w:lang w:eastAsia="zh-CN"/>
              </w:rPr>
              <w:lastRenderedPageBreak/>
              <w:t>4,5</w:t>
            </w:r>
            <w:r w:rsidR="004263F5">
              <w:rPr>
                <w:rFonts w:eastAsia="宋体"/>
                <w:lang w:eastAsia="zh-CN"/>
              </w:rPr>
              <w:t>,</w:t>
            </w:r>
            <w:r>
              <w:rPr>
                <w:rFonts w:eastAsia="宋体" w:hint="eastAsia"/>
                <w:lang w:eastAsia="zh-CN"/>
              </w:rPr>
              <w:t>5</w:t>
            </w:r>
          </w:p>
        </w:tc>
      </w:tr>
      <w:tr w:rsidR="00933812" w14:paraId="41C3CA1B" w14:textId="77777777">
        <w:tc>
          <w:tcPr>
            <w:tcW w:w="4320" w:type="dxa"/>
          </w:tcPr>
          <w:p w14:paraId="6AA000F8" w14:textId="77777777" w:rsidR="00933812" w:rsidRDefault="00873D25">
            <w:r>
              <w:rPr>
                <w:rFonts w:ascii="仿宋" w:eastAsia="仿宋" w:hAnsi="仿宋"/>
              </w:rPr>
              <w:t>模型回复</w:t>
            </w:r>
          </w:p>
        </w:tc>
        <w:tc>
          <w:tcPr>
            <w:tcW w:w="4320" w:type="dxa"/>
          </w:tcPr>
          <w:p w14:paraId="17520CDA" w14:textId="77777777" w:rsidR="00933812" w:rsidRDefault="00873D25">
            <w:r>
              <w:t>To evaluate the validity of the assertion that "Basophils promote disease development in patients with systemic lupus erythematosus (SLE)," let's outline fact-based statements related to the topic:</w:t>
            </w:r>
            <w:r>
              <w:br/>
              <w:t>1. Basophils are a type of white blood cell derived from bone marrow and are involved in the immune response.</w:t>
            </w:r>
            <w:r>
              <w:br/>
              <w:t>2. Systemic lupus erythematosus (SLE) is an autoimmune disease characterized by the production of autoantibodies and chronic inflammation.</w:t>
            </w:r>
            <w:r>
              <w:br/>
              <w:t>3. Basophils have been implicated in autoimmune and allergic diseases due to their ability to secrete various immune mediators such as histamine, cytokines, and chemokines.</w:t>
            </w:r>
            <w:r>
              <w:br/>
              <w:t>4. SLE is associated with an increase in the number of basophils in the blood and tissues of affected individuals.</w:t>
            </w:r>
            <w:r>
              <w:br/>
              <w:t>5. Basophil activation markers, such as CD203c and CD63, have been found to be elevated in SLE patients compared to healthy individuals.</w:t>
            </w:r>
            <w:r>
              <w:br/>
              <w:t>6. Basophils can interact with immune cells, including B cells and T cells, and contribute to the production of autoantibodies.</w:t>
            </w:r>
            <w:r>
              <w:br/>
              <w:t>7. Basophils may facilitate the activation and differentiation of B cells, leading to the production of pathogenic autoantibodies in SLE.</w:t>
            </w:r>
            <w:r>
              <w:br/>
              <w:t>8. Studies have suggested that basophils can enhance the production of autoantibodies through interactions with plasmacytoid dendritic cells and the release of immune mediators.</w:t>
            </w:r>
            <w:r>
              <w:br/>
              <w:t>9. Basophils in SLE patients exhibit an enhanced ability to present antigens to T cells, which may further contribute to disease development.</w:t>
            </w:r>
            <w:r>
              <w:br/>
              <w:t>10. Basophils can also contribute to the recruitment of other immune cells, such as neutrophils and monocytes, which play a role in the pathogenesis of SLE.</w:t>
            </w:r>
            <w:r>
              <w:br/>
              <w:t>11. However, the exact role of basophils in SLE pathogenesis is still not fully understood, and further research is needed to elucidate their precise contributions to the disease.</w:t>
            </w:r>
            <w:r>
              <w:br/>
              <w:t>It is important to note that while these statements provide information about basophils and their potential involvement in SLE, the overall validity of the assertion depends on the weight of available evidence and ongoing scientific research in the field.</w:t>
            </w:r>
          </w:p>
        </w:tc>
      </w:tr>
      <w:tr w:rsidR="00933812" w14:paraId="1C02CABB" w14:textId="77777777">
        <w:tc>
          <w:tcPr>
            <w:tcW w:w="4320" w:type="dxa"/>
          </w:tcPr>
          <w:p w14:paraId="0F2D4F85" w14:textId="77777777" w:rsidR="00933812" w:rsidRDefault="00873D25">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8504F65" w14:textId="4CFFCF55" w:rsidR="00933812" w:rsidRPr="00CF512A" w:rsidRDefault="00CF512A">
            <w:pPr>
              <w:rPr>
                <w:rFonts w:eastAsia="宋体"/>
                <w:lang w:eastAsia="zh-CN"/>
              </w:rPr>
            </w:pPr>
            <w:r>
              <w:rPr>
                <w:rFonts w:eastAsia="宋体" w:hint="eastAsia"/>
                <w:lang w:eastAsia="zh-CN"/>
              </w:rPr>
              <w:t>1</w:t>
            </w:r>
          </w:p>
        </w:tc>
      </w:tr>
      <w:tr w:rsidR="00933812" w14:paraId="35AAA2DD" w14:textId="77777777">
        <w:tc>
          <w:tcPr>
            <w:tcW w:w="4320" w:type="dxa"/>
          </w:tcPr>
          <w:p w14:paraId="32283722" w14:textId="77777777" w:rsidR="00933812" w:rsidRDefault="00873D25">
            <w:r>
              <w:rPr>
                <w:rFonts w:ascii="仿宋" w:eastAsia="仿宋" w:hAnsi="仿宋"/>
              </w:rPr>
              <w:t>提取的事实</w:t>
            </w:r>
          </w:p>
        </w:tc>
        <w:tc>
          <w:tcPr>
            <w:tcW w:w="4320" w:type="dxa"/>
          </w:tcPr>
          <w:p w14:paraId="4BD7ECF7" w14:textId="77777777" w:rsidR="00933812" w:rsidRDefault="00873D25">
            <w:r>
              <w:t>1. Basophils are a type of white blood cell derived from bone marrow and involved in immune responses.</w:t>
            </w:r>
            <w:r>
              <w:br/>
            </w:r>
            <w:r>
              <w:lastRenderedPageBreak/>
              <w:t>2. Systemic lupus erythematosus (SLE) is an autoimmune disease associated with the production of autoantibodies and chronic inflammation.</w:t>
            </w:r>
            <w:r>
              <w:br/>
              <w:t>3. Basophils have a role in autoimmune and allergic diseases due to their ability to secrete immune mediators such as histamine, cytokines, and chemokines.</w:t>
            </w:r>
            <w:r>
              <w:br/>
              <w:t>4. An increased number of basophils is observed in the blood and tissues of individuals affected by SLE.</w:t>
            </w:r>
            <w:r>
              <w:br/>
              <w:t>5. Basophil activation markers, like CD203c and CD63, have higher levels in SLE patients than in healthy individuals.</w:t>
            </w:r>
          </w:p>
        </w:tc>
      </w:tr>
      <w:tr w:rsidR="00933812" w14:paraId="2EC924AC" w14:textId="77777777">
        <w:tc>
          <w:tcPr>
            <w:tcW w:w="4320" w:type="dxa"/>
          </w:tcPr>
          <w:p w14:paraId="6E36B7AC"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43134F3" w14:textId="56123A39" w:rsidR="00933812" w:rsidRPr="00B95425" w:rsidRDefault="00B95425">
            <w:pPr>
              <w:rPr>
                <w:rFonts w:eastAsia="宋体"/>
                <w:lang w:eastAsia="zh-CN"/>
              </w:rPr>
            </w:pPr>
            <w:r>
              <w:rPr>
                <w:rFonts w:eastAsia="宋体" w:hint="eastAsia"/>
                <w:lang w:eastAsia="zh-CN"/>
              </w:rPr>
              <w:t>1</w:t>
            </w:r>
            <w:r>
              <w:rPr>
                <w:rFonts w:eastAsia="宋体"/>
                <w:lang w:eastAsia="zh-CN"/>
              </w:rPr>
              <w:t>,</w:t>
            </w:r>
            <w:r w:rsidR="00A52A6D">
              <w:rPr>
                <w:rFonts w:eastAsia="宋体"/>
                <w:lang w:eastAsia="zh-CN"/>
              </w:rPr>
              <w:t>1,</w:t>
            </w:r>
            <w:r w:rsidR="007F74A5">
              <w:rPr>
                <w:rFonts w:eastAsia="宋体"/>
                <w:lang w:eastAsia="zh-CN"/>
              </w:rPr>
              <w:t>1,</w:t>
            </w:r>
            <w:r w:rsidR="00C16DE5">
              <w:rPr>
                <w:rFonts w:eastAsia="宋体"/>
                <w:lang w:eastAsia="zh-CN"/>
              </w:rPr>
              <w:t>1,</w:t>
            </w:r>
            <w:r w:rsidR="008C66C8">
              <w:rPr>
                <w:rFonts w:eastAsia="宋体"/>
                <w:lang w:eastAsia="zh-CN"/>
              </w:rPr>
              <w:t>1</w:t>
            </w:r>
          </w:p>
        </w:tc>
      </w:tr>
    </w:tbl>
    <w:p w14:paraId="75909E84"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933812" w14:paraId="738E4E16" w14:textId="77777777">
        <w:tc>
          <w:tcPr>
            <w:tcW w:w="4320" w:type="dxa"/>
          </w:tcPr>
          <w:p w14:paraId="481E2B75" w14:textId="77777777" w:rsidR="00933812" w:rsidRDefault="00873D25">
            <w:r>
              <w:t>ID</w:t>
            </w:r>
          </w:p>
        </w:tc>
        <w:tc>
          <w:tcPr>
            <w:tcW w:w="10080" w:type="dxa"/>
          </w:tcPr>
          <w:p w14:paraId="48760AEF" w14:textId="77777777" w:rsidR="00933812" w:rsidRDefault="00873D25">
            <w:r>
              <w:t>108(11)</w:t>
            </w:r>
          </w:p>
        </w:tc>
      </w:tr>
      <w:tr w:rsidR="00933812" w14:paraId="2AA45EA5" w14:textId="77777777">
        <w:tc>
          <w:tcPr>
            <w:tcW w:w="4320" w:type="dxa"/>
          </w:tcPr>
          <w:p w14:paraId="355684F9" w14:textId="77777777" w:rsidR="00933812" w:rsidRDefault="00873D25">
            <w:r>
              <w:rPr>
                <w:rFonts w:ascii="仿宋" w:eastAsia="仿宋" w:hAnsi="仿宋"/>
              </w:rPr>
              <w:t>领域</w:t>
            </w:r>
          </w:p>
        </w:tc>
        <w:tc>
          <w:tcPr>
            <w:tcW w:w="4320" w:type="dxa"/>
          </w:tcPr>
          <w:p w14:paraId="53381C59" w14:textId="77777777" w:rsidR="00933812" w:rsidRDefault="00873D25">
            <w:r>
              <w:t>Science</w:t>
            </w:r>
          </w:p>
        </w:tc>
      </w:tr>
      <w:tr w:rsidR="00933812" w14:paraId="087FBF4E" w14:textId="77777777">
        <w:tc>
          <w:tcPr>
            <w:tcW w:w="4320" w:type="dxa"/>
          </w:tcPr>
          <w:p w14:paraId="7ECFB163" w14:textId="77777777" w:rsidR="00933812" w:rsidRDefault="00873D25">
            <w:r>
              <w:rPr>
                <w:rFonts w:ascii="仿宋" w:eastAsia="仿宋" w:hAnsi="仿宋"/>
              </w:rPr>
              <w:t>用户问题</w:t>
            </w:r>
          </w:p>
        </w:tc>
        <w:tc>
          <w:tcPr>
            <w:tcW w:w="4320" w:type="dxa"/>
          </w:tcPr>
          <w:p w14:paraId="00D50DD1" w14:textId="77777777" w:rsidR="00933812" w:rsidRDefault="00873D25">
            <w:r>
              <w:t>Can you clarify whether the claim "Birth-weight is negatively associated with breast cancer." is accurate or not? Build factual arguments about the claim.</w:t>
            </w:r>
          </w:p>
        </w:tc>
      </w:tr>
      <w:tr w:rsidR="00933812" w14:paraId="399E6A32" w14:textId="77777777">
        <w:tc>
          <w:tcPr>
            <w:tcW w:w="4320" w:type="dxa"/>
          </w:tcPr>
          <w:p w14:paraId="27DAC58A"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ED918F0" w14:textId="792429A5" w:rsidR="00933812" w:rsidRPr="00A82197" w:rsidRDefault="00A82197">
            <w:pPr>
              <w:rPr>
                <w:rFonts w:eastAsia="宋体"/>
                <w:lang w:eastAsia="zh-CN"/>
              </w:rPr>
            </w:pPr>
            <w:r>
              <w:rPr>
                <w:rFonts w:eastAsia="宋体" w:hint="eastAsia"/>
                <w:lang w:eastAsia="zh-CN"/>
              </w:rPr>
              <w:t>5</w:t>
            </w:r>
            <w:r>
              <w:rPr>
                <w:rFonts w:eastAsia="宋体"/>
                <w:lang w:eastAsia="zh-CN"/>
              </w:rPr>
              <w:t>,5,5</w:t>
            </w:r>
          </w:p>
        </w:tc>
      </w:tr>
      <w:tr w:rsidR="00933812" w14:paraId="08EEE53D" w14:textId="77777777">
        <w:tc>
          <w:tcPr>
            <w:tcW w:w="4320" w:type="dxa"/>
          </w:tcPr>
          <w:p w14:paraId="0D5CC870" w14:textId="77777777" w:rsidR="00933812" w:rsidRDefault="00873D25">
            <w:r>
              <w:rPr>
                <w:rFonts w:ascii="仿宋" w:eastAsia="仿宋" w:hAnsi="仿宋"/>
              </w:rPr>
              <w:t>模型回复</w:t>
            </w:r>
          </w:p>
        </w:tc>
        <w:tc>
          <w:tcPr>
            <w:tcW w:w="4320" w:type="dxa"/>
          </w:tcPr>
          <w:p w14:paraId="3B821866" w14:textId="77777777" w:rsidR="00933812" w:rsidRDefault="00873D25">
            <w:r>
              <w:t>The claim "Birth-weight is negatively associated with breast cancer" is actually inaccurate. There is no established scientific consensus supporting a direct negative association between birth-weight and breast cancer risk. Here are some factual arguments to support this:</w:t>
            </w:r>
            <w:r>
              <w:br/>
              <w:t>1. Limited evidence: Several comprehensive studies and meta-analyses examining risk factors for breast cancer have not found a consistent or significant relationship between birth-weight and breast cancer development. Birth-weight is not generally considered a significant contributing factor in breast cancer risk assessment.</w:t>
            </w:r>
            <w:r>
              <w:br/>
              <w:t xml:space="preserve">2. Confounding factors: When investigating the association between birth-weight and breast cancer, it is crucial to consider potential confounding factors. Numerous variables, such as genetic predisposition, lifestyle choices, hormonal exposure, reproductive factors, and socioeconomic status, </w:t>
            </w:r>
            <w:r>
              <w:lastRenderedPageBreak/>
              <w:t>have a much more substantial impact on breast cancer development than birth-weight alone. Failing to account for these confounding factors could lead to misleading or inaccurate conclusions.</w:t>
            </w:r>
            <w:r>
              <w:br/>
              <w:t>3. Complex nature of breast cancer: Breast cancer is a multifactorial disease influenced by a combination of genetic, environmental, and lifestyle factors. Birth-weight alone cannot adequately capture the complexity of breast cancer development and progression.</w:t>
            </w:r>
            <w:r>
              <w:br/>
              <w:t>4. Inconsistent research findings: Studies exploring the relationship between birth-weight and breast cancer have yielded inconsistent and often contradictory results. Some studies suggest a weak association, while others find no significant correlation. These divergent findings further highlight the lack of a consistent and reliable association between birth-weight and breast cancer risk.</w:t>
            </w:r>
            <w:r>
              <w:br/>
              <w:t>It is important to rely on scientific consensus based on a substantial body of evidence. As of now, the claim that birth-weight is negatively associated with breast cancer lacks sufficient support from reliable research studies.</w:t>
            </w:r>
          </w:p>
        </w:tc>
      </w:tr>
      <w:tr w:rsidR="00933812" w14:paraId="0BBCA60F" w14:textId="77777777">
        <w:tc>
          <w:tcPr>
            <w:tcW w:w="4320" w:type="dxa"/>
          </w:tcPr>
          <w:p w14:paraId="4FDD0304"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CC99095" w14:textId="15C3A7CA" w:rsidR="00933812" w:rsidRPr="008D1FCD" w:rsidRDefault="008D1FCD">
            <w:pPr>
              <w:rPr>
                <w:rFonts w:eastAsia="宋体"/>
                <w:lang w:eastAsia="zh-CN"/>
              </w:rPr>
            </w:pPr>
            <w:r>
              <w:rPr>
                <w:rFonts w:eastAsia="宋体" w:hint="eastAsia"/>
                <w:lang w:eastAsia="zh-CN"/>
              </w:rPr>
              <w:t>1</w:t>
            </w:r>
          </w:p>
        </w:tc>
      </w:tr>
      <w:tr w:rsidR="00933812" w14:paraId="07B5E1B6" w14:textId="77777777">
        <w:tc>
          <w:tcPr>
            <w:tcW w:w="4320" w:type="dxa"/>
          </w:tcPr>
          <w:p w14:paraId="5F3B3FB9" w14:textId="77777777" w:rsidR="00933812" w:rsidRDefault="00873D25">
            <w:r>
              <w:rPr>
                <w:rFonts w:ascii="仿宋" w:eastAsia="仿宋" w:hAnsi="仿宋"/>
              </w:rPr>
              <w:t>提取的事实</w:t>
            </w:r>
          </w:p>
        </w:tc>
        <w:tc>
          <w:tcPr>
            <w:tcW w:w="4320" w:type="dxa"/>
          </w:tcPr>
          <w:p w14:paraId="7F0897D6" w14:textId="77777777" w:rsidR="00933812" w:rsidRDefault="00873D25">
            <w:r>
              <w:t>1. There is no recognized scientific consensus linking birth-weight to an increased or decreased risk of breast cancer.</w:t>
            </w:r>
            <w:r>
              <w:br/>
              <w:t>2. Various factors such as genetic predisposition, lifestyle choices, hormonal exposure, reproductive factors, and socioeconomic status impact breast cancer development more significantly than birth-weight.</w:t>
            </w:r>
            <w:r>
              <w:br/>
              <w:t>3. Breast cancer is considered a multifactorial disease, influenced by a combination of genetic, environmental, and lifestyle factors.</w:t>
            </w:r>
            <w:r>
              <w:br/>
              <w:t>4. Research studies have not consistently found a significant relationship between birth-weight and the development of breast cancer.</w:t>
            </w:r>
            <w:r>
              <w:br/>
              <w:t>5. The claim that birth-weight is negatively associated with breast cancer lacks support from reliable scientific studies.</w:t>
            </w:r>
          </w:p>
        </w:tc>
      </w:tr>
      <w:tr w:rsidR="00933812" w14:paraId="40DD57CD" w14:textId="77777777">
        <w:tc>
          <w:tcPr>
            <w:tcW w:w="4320" w:type="dxa"/>
          </w:tcPr>
          <w:p w14:paraId="67A0A50F"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8E91528" w14:textId="24E22737" w:rsidR="00933812" w:rsidRPr="001225EF" w:rsidRDefault="001225EF">
            <w:pPr>
              <w:rPr>
                <w:rFonts w:eastAsia="宋体"/>
                <w:lang w:eastAsia="zh-CN"/>
              </w:rPr>
            </w:pPr>
            <w:r>
              <w:rPr>
                <w:rFonts w:eastAsia="宋体" w:hint="eastAsia"/>
                <w:lang w:eastAsia="zh-CN"/>
              </w:rPr>
              <w:t>6</w:t>
            </w:r>
            <w:r>
              <w:rPr>
                <w:rFonts w:eastAsia="宋体"/>
                <w:lang w:eastAsia="zh-CN"/>
              </w:rPr>
              <w:t>,</w:t>
            </w:r>
            <w:r w:rsidR="00144C39">
              <w:rPr>
                <w:rFonts w:eastAsia="宋体"/>
                <w:lang w:eastAsia="zh-CN"/>
              </w:rPr>
              <w:t>1,</w:t>
            </w:r>
            <w:r w:rsidR="00960AA9">
              <w:rPr>
                <w:rFonts w:eastAsia="宋体"/>
                <w:lang w:eastAsia="zh-CN"/>
              </w:rPr>
              <w:t>1,</w:t>
            </w:r>
            <w:r w:rsidR="005876BA">
              <w:rPr>
                <w:rFonts w:eastAsia="宋体"/>
                <w:lang w:eastAsia="zh-CN"/>
              </w:rPr>
              <w:t>1,</w:t>
            </w:r>
            <w:r w:rsidR="00523133">
              <w:rPr>
                <w:rFonts w:eastAsia="宋体"/>
                <w:lang w:eastAsia="zh-CN"/>
              </w:rPr>
              <w:t>3</w:t>
            </w:r>
          </w:p>
        </w:tc>
      </w:tr>
    </w:tbl>
    <w:p w14:paraId="067E3D20" w14:textId="77777777" w:rsidR="00933812" w:rsidRDefault="00873D25">
      <w:pPr>
        <w:rPr>
          <w:lang w:eastAsia="zh-CN"/>
        </w:rPr>
      </w:pPr>
      <w:r>
        <w:rPr>
          <w:lang w:eastAsia="zh-CN"/>
        </w:rPr>
        <w:lastRenderedPageBreak/>
        <w:br/>
      </w:r>
    </w:p>
    <w:tbl>
      <w:tblPr>
        <w:tblStyle w:val="aff1"/>
        <w:tblW w:w="0" w:type="auto"/>
        <w:tblLook w:val="04A0" w:firstRow="1" w:lastRow="0" w:firstColumn="1" w:lastColumn="0" w:noHBand="0" w:noVBand="1"/>
      </w:tblPr>
      <w:tblGrid>
        <w:gridCol w:w="2673"/>
        <w:gridCol w:w="5957"/>
      </w:tblGrid>
      <w:tr w:rsidR="00933812" w14:paraId="5AE0B8F2" w14:textId="77777777">
        <w:tc>
          <w:tcPr>
            <w:tcW w:w="4320" w:type="dxa"/>
          </w:tcPr>
          <w:p w14:paraId="33FBAC73" w14:textId="77777777" w:rsidR="00933812" w:rsidRDefault="00873D25">
            <w:r>
              <w:t>ID</w:t>
            </w:r>
          </w:p>
        </w:tc>
        <w:tc>
          <w:tcPr>
            <w:tcW w:w="10080" w:type="dxa"/>
          </w:tcPr>
          <w:p w14:paraId="5913779D" w14:textId="77777777" w:rsidR="00933812" w:rsidRDefault="00873D25">
            <w:r>
              <w:t>112(12)</w:t>
            </w:r>
          </w:p>
        </w:tc>
      </w:tr>
      <w:tr w:rsidR="00933812" w14:paraId="0FA0D5BA" w14:textId="77777777">
        <w:tc>
          <w:tcPr>
            <w:tcW w:w="4320" w:type="dxa"/>
          </w:tcPr>
          <w:p w14:paraId="7A23FFDD" w14:textId="77777777" w:rsidR="00933812" w:rsidRDefault="00873D25">
            <w:r>
              <w:rPr>
                <w:rFonts w:ascii="仿宋" w:eastAsia="仿宋" w:hAnsi="仿宋"/>
              </w:rPr>
              <w:t>领域</w:t>
            </w:r>
          </w:p>
        </w:tc>
        <w:tc>
          <w:tcPr>
            <w:tcW w:w="4320" w:type="dxa"/>
          </w:tcPr>
          <w:p w14:paraId="521BCD53" w14:textId="77777777" w:rsidR="00933812" w:rsidRDefault="00873D25">
            <w:r>
              <w:t>Science</w:t>
            </w:r>
          </w:p>
        </w:tc>
      </w:tr>
      <w:tr w:rsidR="00933812" w14:paraId="1487CD41" w14:textId="77777777">
        <w:tc>
          <w:tcPr>
            <w:tcW w:w="4320" w:type="dxa"/>
          </w:tcPr>
          <w:p w14:paraId="2833FB9E" w14:textId="77777777" w:rsidR="00933812" w:rsidRDefault="00873D25">
            <w:r>
              <w:rPr>
                <w:rFonts w:ascii="仿宋" w:eastAsia="仿宋" w:hAnsi="仿宋"/>
              </w:rPr>
              <w:t>用户问题</w:t>
            </w:r>
          </w:p>
        </w:tc>
        <w:tc>
          <w:tcPr>
            <w:tcW w:w="4320" w:type="dxa"/>
          </w:tcPr>
          <w:p w14:paraId="6D4894F8" w14:textId="77777777" w:rsidR="00933812" w:rsidRDefault="00873D25">
            <w:r>
              <w:t>What is the validity of the assertion that "British female students are bullied more than British male students."? Outline fact-based statements about the assertion.</w:t>
            </w:r>
          </w:p>
        </w:tc>
      </w:tr>
      <w:tr w:rsidR="00933812" w14:paraId="15BAED73" w14:textId="77777777">
        <w:tc>
          <w:tcPr>
            <w:tcW w:w="4320" w:type="dxa"/>
          </w:tcPr>
          <w:p w14:paraId="38DA0477"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EEA1882" w14:textId="3CAC39A3" w:rsidR="00933812" w:rsidRPr="00A51963" w:rsidRDefault="001B5FC5">
            <w:pPr>
              <w:rPr>
                <w:rFonts w:eastAsia="宋体"/>
                <w:lang w:eastAsia="zh-CN"/>
              </w:rPr>
            </w:pPr>
            <w:r>
              <w:rPr>
                <w:rFonts w:eastAsia="宋体"/>
                <w:lang w:eastAsia="zh-CN"/>
              </w:rPr>
              <w:t>4</w:t>
            </w:r>
            <w:r w:rsidR="00A51963">
              <w:rPr>
                <w:rFonts w:eastAsia="宋体"/>
                <w:lang w:eastAsia="zh-CN"/>
              </w:rPr>
              <w:t>,5,</w:t>
            </w:r>
            <w:r w:rsidR="00F33C0F">
              <w:rPr>
                <w:rFonts w:eastAsia="宋体"/>
                <w:lang w:eastAsia="zh-CN"/>
              </w:rPr>
              <w:t>5</w:t>
            </w:r>
          </w:p>
        </w:tc>
      </w:tr>
      <w:tr w:rsidR="00933812" w14:paraId="06408F5E" w14:textId="77777777">
        <w:tc>
          <w:tcPr>
            <w:tcW w:w="4320" w:type="dxa"/>
          </w:tcPr>
          <w:p w14:paraId="3F340D6C" w14:textId="77777777" w:rsidR="00933812" w:rsidRDefault="00873D25">
            <w:r>
              <w:rPr>
                <w:rFonts w:ascii="仿宋" w:eastAsia="仿宋" w:hAnsi="仿宋"/>
              </w:rPr>
              <w:t>模型回复</w:t>
            </w:r>
          </w:p>
        </w:tc>
        <w:tc>
          <w:tcPr>
            <w:tcW w:w="4320" w:type="dxa"/>
          </w:tcPr>
          <w:p w14:paraId="4AF3CE5C" w14:textId="77777777" w:rsidR="00933812" w:rsidRDefault="00873D25">
            <w:r>
              <w:t>The validity of the assertion that "British female students are bullied more than British male students" can be evaluated by examining relevant data and research. Here are some fact-based statements that provide insights into this topic:</w:t>
            </w:r>
            <w:r>
              <w:br/>
              <w:t>1. Research studies consistently show that bullying occurs among both male and female students. However, the nature, types, and impacts of bullying can vary between genders.</w:t>
            </w:r>
            <w:r>
              <w:br/>
              <w:t>2. According to a 2019 report by the National Society for the Prevention of Cruelty to Children (NSPCC), girls aged 12-15 are more likely to experience bullying compared to boys in the same age group.</w:t>
            </w:r>
            <w:r>
              <w:br/>
              <w:t>3. The NSPCC report also highlighted that girls are more likely to be the target of indirect or relational aggression, such as spreading rumors or social exclusion, while boys are more likely to experience physical bullying.</w:t>
            </w:r>
            <w:r>
              <w:br/>
              <w:t>4. A study published in the journal School Psychology International in 2018 analyzed bullying among secondary school students in the UK. It found that both boys and girls reported being victims of bullying, but girls were more likely to be targeted by verbal and relational bullying than boys.</w:t>
            </w:r>
            <w:r>
              <w:br/>
              <w:t>5. The Annual Bullying Survey, conducted by a UK anti-bullying charity, Ditch the Label, in 2019, revealed that 52% of female respondents experienced bullying, while 38% of male respondents reported the same.</w:t>
            </w:r>
            <w:r>
              <w:br/>
              <w:t>6. However, it's important to note that bullying experiences can be greatly influenced by various factors, including socio-economic background, ethnicity, sexual orientation, and physical appearance. These factors may intersect with gender and contribute to different bullying patterns.</w:t>
            </w:r>
            <w:r>
              <w:br/>
              <w:t>7. Additionally, societal and cultural norms can influence reporting rates, as some individuals may be less likely to disclose their experiences due to perceptions of stigma or fear of retaliation.</w:t>
            </w:r>
            <w:r>
              <w:br/>
              <w:t xml:space="preserve">In conclusion, the assertion that "British female students are bullied more than British male students" has some validity based on available data and research. However, it is essential </w:t>
            </w:r>
            <w:r>
              <w:lastRenderedPageBreak/>
              <w:t>to consider the multifaceted nature of bullying experiences and the various factors that influence them.</w:t>
            </w:r>
          </w:p>
        </w:tc>
      </w:tr>
      <w:tr w:rsidR="00933812" w14:paraId="37555DBA" w14:textId="77777777">
        <w:tc>
          <w:tcPr>
            <w:tcW w:w="4320" w:type="dxa"/>
          </w:tcPr>
          <w:p w14:paraId="75C8CADC"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31B3F3A" w14:textId="6ED418E8" w:rsidR="00933812" w:rsidRPr="00656B73" w:rsidRDefault="00656B73">
            <w:pPr>
              <w:rPr>
                <w:rFonts w:eastAsia="宋体"/>
                <w:lang w:eastAsia="zh-CN"/>
              </w:rPr>
            </w:pPr>
            <w:r>
              <w:rPr>
                <w:rFonts w:eastAsia="宋体" w:hint="eastAsia"/>
                <w:lang w:eastAsia="zh-CN"/>
              </w:rPr>
              <w:t>1</w:t>
            </w:r>
          </w:p>
        </w:tc>
      </w:tr>
      <w:tr w:rsidR="00933812" w14:paraId="635DBD5A" w14:textId="77777777">
        <w:tc>
          <w:tcPr>
            <w:tcW w:w="4320" w:type="dxa"/>
          </w:tcPr>
          <w:p w14:paraId="60F97140" w14:textId="77777777" w:rsidR="00933812" w:rsidRDefault="00873D25">
            <w:r>
              <w:rPr>
                <w:rFonts w:ascii="仿宋" w:eastAsia="仿宋" w:hAnsi="仿宋"/>
              </w:rPr>
              <w:t>提取的事实</w:t>
            </w:r>
          </w:p>
        </w:tc>
        <w:tc>
          <w:tcPr>
            <w:tcW w:w="4320" w:type="dxa"/>
          </w:tcPr>
          <w:p w14:paraId="5C7A856E" w14:textId="77777777" w:rsidR="00933812" w:rsidRDefault="00873D25">
            <w:r>
              <w:t>1. Research shows that bullying occurs among both male and female students, and the nature, types, and impacts of bullying can vary between genders.</w:t>
            </w:r>
            <w:r>
              <w:br/>
              <w:t>2. According to a 2019 report by the NSPCC, girls aged 12-15 in Britain are more likely to experience bullying compared to boys in the same age group.</w:t>
            </w:r>
            <w:r>
              <w:br/>
              <w:t>3. The NSPCC report mentions that girls are more likely to experience indirect or relational aggression, such as spreading rumors or social exclusion, while boys are more likely to experience physical bullying.</w:t>
            </w:r>
            <w:r>
              <w:br/>
              <w:t>4. A 2018 study published in School Psychology International found that both boys and girls in UK secondary schools reported being victims of bullying, but girls were more likely to be targeted by verbal and relational bullying than boys.</w:t>
            </w:r>
            <w:r>
              <w:br/>
              <w:t>5. The Annual Bullying Survey conducted by Ditch the Label in 2019 revealed that 52% of female respondents and 38% of male respondents in the UK reported experiencing bullying.</w:t>
            </w:r>
          </w:p>
        </w:tc>
      </w:tr>
      <w:tr w:rsidR="00933812" w14:paraId="6902F2A2" w14:textId="77777777">
        <w:tc>
          <w:tcPr>
            <w:tcW w:w="4320" w:type="dxa"/>
          </w:tcPr>
          <w:p w14:paraId="1E361138"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B3F5DEC" w14:textId="7E0CF837" w:rsidR="00933812" w:rsidRPr="00F05B7C" w:rsidRDefault="00F05B7C">
            <w:pPr>
              <w:rPr>
                <w:rFonts w:eastAsia="宋体"/>
                <w:lang w:eastAsia="zh-CN"/>
              </w:rPr>
            </w:pPr>
            <w:r>
              <w:rPr>
                <w:rFonts w:eastAsia="宋体" w:hint="eastAsia"/>
                <w:lang w:eastAsia="zh-CN"/>
              </w:rPr>
              <w:t>1</w:t>
            </w:r>
            <w:r>
              <w:rPr>
                <w:rFonts w:eastAsia="宋体"/>
                <w:lang w:eastAsia="zh-CN"/>
              </w:rPr>
              <w:t>,</w:t>
            </w:r>
            <w:r w:rsidR="00380CB0">
              <w:rPr>
                <w:rFonts w:eastAsia="宋体"/>
                <w:lang w:eastAsia="zh-CN"/>
              </w:rPr>
              <w:t>7,2,7</w:t>
            </w:r>
            <w:r w:rsidR="00084AD1">
              <w:rPr>
                <w:rFonts w:eastAsia="宋体"/>
                <w:lang w:eastAsia="zh-CN"/>
              </w:rPr>
              <w:t>,</w:t>
            </w:r>
            <w:r w:rsidR="00020128">
              <w:rPr>
                <w:rFonts w:eastAsia="宋体"/>
                <w:lang w:eastAsia="zh-CN"/>
              </w:rPr>
              <w:t>7</w:t>
            </w:r>
          </w:p>
        </w:tc>
      </w:tr>
    </w:tbl>
    <w:p w14:paraId="31233121"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53"/>
        <w:gridCol w:w="5977"/>
      </w:tblGrid>
      <w:tr w:rsidR="00933812" w14:paraId="64067113" w14:textId="77777777">
        <w:tc>
          <w:tcPr>
            <w:tcW w:w="4320" w:type="dxa"/>
          </w:tcPr>
          <w:p w14:paraId="2E2097A1" w14:textId="77777777" w:rsidR="00933812" w:rsidRDefault="00873D25">
            <w:r>
              <w:t>ID</w:t>
            </w:r>
          </w:p>
        </w:tc>
        <w:tc>
          <w:tcPr>
            <w:tcW w:w="10080" w:type="dxa"/>
          </w:tcPr>
          <w:p w14:paraId="3365D0C2" w14:textId="77777777" w:rsidR="00933812" w:rsidRDefault="00873D25">
            <w:r>
              <w:t>113(13)</w:t>
            </w:r>
          </w:p>
        </w:tc>
      </w:tr>
      <w:tr w:rsidR="00933812" w14:paraId="2F78F2C5" w14:textId="77777777">
        <w:tc>
          <w:tcPr>
            <w:tcW w:w="4320" w:type="dxa"/>
          </w:tcPr>
          <w:p w14:paraId="662CD47F" w14:textId="77777777" w:rsidR="00933812" w:rsidRDefault="00873D25">
            <w:r>
              <w:rPr>
                <w:rFonts w:ascii="仿宋" w:eastAsia="仿宋" w:hAnsi="仿宋"/>
              </w:rPr>
              <w:t>领域</w:t>
            </w:r>
          </w:p>
        </w:tc>
        <w:tc>
          <w:tcPr>
            <w:tcW w:w="4320" w:type="dxa"/>
          </w:tcPr>
          <w:p w14:paraId="60E0E9DF" w14:textId="77777777" w:rsidR="00933812" w:rsidRDefault="00873D25">
            <w:r>
              <w:t>Science</w:t>
            </w:r>
          </w:p>
        </w:tc>
      </w:tr>
      <w:tr w:rsidR="00933812" w14:paraId="396364FD" w14:textId="77777777">
        <w:tc>
          <w:tcPr>
            <w:tcW w:w="4320" w:type="dxa"/>
          </w:tcPr>
          <w:p w14:paraId="4E06327A" w14:textId="77777777" w:rsidR="00933812" w:rsidRDefault="00873D25">
            <w:r>
              <w:rPr>
                <w:rFonts w:ascii="仿宋" w:eastAsia="仿宋" w:hAnsi="仿宋"/>
              </w:rPr>
              <w:t>用户问题</w:t>
            </w:r>
          </w:p>
        </w:tc>
        <w:tc>
          <w:tcPr>
            <w:tcW w:w="4320" w:type="dxa"/>
          </w:tcPr>
          <w:p w14:paraId="5ECB5406" w14:textId="77777777" w:rsidR="00933812" w:rsidRDefault="00873D25">
            <w:r>
              <w:t>Can you clarify whether the claim "British male students are bullied more than British female students." is accurate or not? Build factual arguments about the claim.</w:t>
            </w:r>
          </w:p>
        </w:tc>
      </w:tr>
      <w:tr w:rsidR="00933812" w14:paraId="798A50E9" w14:textId="77777777">
        <w:tc>
          <w:tcPr>
            <w:tcW w:w="4320" w:type="dxa"/>
          </w:tcPr>
          <w:p w14:paraId="35260C96"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FBDA5B2" w14:textId="455C1C6B" w:rsidR="00933812" w:rsidRPr="00C61A8D" w:rsidRDefault="00C61A8D">
            <w:pPr>
              <w:rPr>
                <w:rFonts w:eastAsia="宋体"/>
                <w:lang w:eastAsia="zh-CN"/>
              </w:rPr>
            </w:pPr>
            <w:r>
              <w:rPr>
                <w:rFonts w:eastAsia="宋体" w:hint="eastAsia"/>
                <w:lang w:eastAsia="zh-CN"/>
              </w:rPr>
              <w:t>3</w:t>
            </w:r>
            <w:r>
              <w:rPr>
                <w:rFonts w:eastAsia="宋体"/>
                <w:lang w:eastAsia="zh-CN"/>
              </w:rPr>
              <w:t>,5,5</w:t>
            </w:r>
          </w:p>
        </w:tc>
      </w:tr>
      <w:tr w:rsidR="00933812" w14:paraId="4C0EE091" w14:textId="77777777">
        <w:tc>
          <w:tcPr>
            <w:tcW w:w="4320" w:type="dxa"/>
          </w:tcPr>
          <w:p w14:paraId="4A4F0423" w14:textId="77777777" w:rsidR="00933812" w:rsidRDefault="00873D25">
            <w:r>
              <w:rPr>
                <w:rFonts w:ascii="仿宋" w:eastAsia="仿宋" w:hAnsi="仿宋"/>
              </w:rPr>
              <w:t>模型回复</w:t>
            </w:r>
          </w:p>
        </w:tc>
        <w:tc>
          <w:tcPr>
            <w:tcW w:w="4320" w:type="dxa"/>
          </w:tcPr>
          <w:p w14:paraId="545E988B" w14:textId="77777777" w:rsidR="00933812" w:rsidRDefault="00873D25">
            <w:r>
              <w:t xml:space="preserve">To determine whether the claim "British male students are bullied more than British female students" is accurate or not, </w:t>
            </w:r>
            <w:r>
              <w:lastRenderedPageBreak/>
              <w:t xml:space="preserve">it is important to consider factual arguments based on available data. However, it is crucial to note that the extent and prevalence of bullying can vary depending on numerous factors such as the specific population studied, the definition of bullying, and the methods used for data collection. </w:t>
            </w:r>
            <w:r>
              <w:br/>
              <w:t>1. Studies reporting higher bullying rates for male students:</w:t>
            </w:r>
            <w:r>
              <w:br/>
              <w:t xml:space="preserve">   - The 2017 School Health Research Network study in Wales found that a slightly higher proportion of boys (10.8%) reported being bullied compared to girls (9.8%).</w:t>
            </w:r>
            <w:r>
              <w:br/>
              <w:t xml:space="preserve">   - The 2016 Annual Bullying Survey conducted in the UK reported that 55% of males surveyed experienced bullying, compared to 45% of females.</w:t>
            </w:r>
            <w:r>
              <w:br/>
              <w:t xml:space="preserve">   - Some studies suggest that boy's bullying is often physical, involving direct confrontations and physical aggression, which may be more visible and noticeable.</w:t>
            </w:r>
            <w:r>
              <w:br/>
              <w:t>2. Studies reporting higher bullying rates for female students:</w:t>
            </w:r>
            <w:r>
              <w:br/>
              <w:t xml:space="preserve">   - The 2019 Annual Bullying Survey found that 51% of females experienced bullying, compared to 43% of males.</w:t>
            </w:r>
            <w:r>
              <w:br/>
              <w:t xml:space="preserve">   - Research from the University of Hertfordshire in 2014 revealed that girls were more likely than boys to report being victims of relational aggression, which includes actions like exclusion, rumor spreading, and social manipulation.</w:t>
            </w:r>
            <w:r>
              <w:br/>
              <w:t>3. Variations and limitations in studies:</w:t>
            </w:r>
            <w:r>
              <w:br/>
              <w:t xml:space="preserve">   - Statistical variations across studies can be attributed to differences in methodology, sample size, geographical location, and cultural factors. Consequently, it is challenging to make a definitive statement.</w:t>
            </w:r>
            <w:r>
              <w:br/>
              <w:t xml:space="preserve">   - Bullying is a complex issue, and different studies examine various aspects of bullying, including physical, verbal, relational, and cyberbullying. Rates may differ based on the type of bullying considered.</w:t>
            </w:r>
            <w:r>
              <w:br/>
              <w:t>In conclusion, it is difficult to definitively assert whether British male students are bullied more than British female students. While some studies suggest higher rates for boys, others indicate higher rates for girls. However, it is crucial to remember that every case is unique, and the experience of bullying should not be reduced to a simple comparison between the sexes.</w:t>
            </w:r>
          </w:p>
        </w:tc>
      </w:tr>
      <w:tr w:rsidR="00933812" w14:paraId="5958CBAA" w14:textId="77777777">
        <w:tc>
          <w:tcPr>
            <w:tcW w:w="4320" w:type="dxa"/>
          </w:tcPr>
          <w:p w14:paraId="71C9ECDF"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A910AD0" w14:textId="39D17646" w:rsidR="00933812" w:rsidRPr="00A15C4A" w:rsidRDefault="00A15C4A">
            <w:pPr>
              <w:rPr>
                <w:rFonts w:eastAsia="宋体"/>
                <w:lang w:eastAsia="zh-CN"/>
              </w:rPr>
            </w:pPr>
            <w:r>
              <w:rPr>
                <w:rFonts w:eastAsia="宋体" w:hint="eastAsia"/>
                <w:lang w:eastAsia="zh-CN"/>
              </w:rPr>
              <w:t>1</w:t>
            </w:r>
          </w:p>
        </w:tc>
      </w:tr>
      <w:tr w:rsidR="00933812" w14:paraId="61DD9AC0" w14:textId="77777777">
        <w:tc>
          <w:tcPr>
            <w:tcW w:w="4320" w:type="dxa"/>
          </w:tcPr>
          <w:p w14:paraId="3E8A2D7F" w14:textId="77777777" w:rsidR="00933812" w:rsidRDefault="00873D25">
            <w:r>
              <w:rPr>
                <w:rFonts w:ascii="仿宋" w:eastAsia="仿宋" w:hAnsi="仿宋"/>
              </w:rPr>
              <w:t>提取的事实</w:t>
            </w:r>
          </w:p>
        </w:tc>
        <w:tc>
          <w:tcPr>
            <w:tcW w:w="4320" w:type="dxa"/>
          </w:tcPr>
          <w:p w14:paraId="56003AD3" w14:textId="77777777" w:rsidR="00933812" w:rsidRDefault="00873D25">
            <w:r>
              <w:t>1. The 2017 School Health Research Network study in Wales reported that a slightly higher proportion of boys (10.8%) reported being bullied compared to girls (9.8%).</w:t>
            </w:r>
            <w:r>
              <w:br/>
              <w:t>2. According to the 2016 Annual Bullying Survey conducted in the UK, 55% of males surveyed experienced bullying, compared to 45% of females.</w:t>
            </w:r>
            <w:r>
              <w:br/>
              <w:t xml:space="preserve">3. Research from the University of Hertfordshire in 2014 </w:t>
            </w:r>
            <w:r>
              <w:lastRenderedPageBreak/>
              <w:t>revealed that girls were more likely than boys to report being victims of relational aggression.</w:t>
            </w:r>
            <w:r>
              <w:br/>
              <w:t>4. The 2019 Annual Bullying Survey found that 51% of females experienced bullying, compared to 43% of males.</w:t>
            </w:r>
            <w:r>
              <w:br/>
              <w:t>5. The definition of bullying, methods of data collection, geographical location, and cultural factors can contribute to variations in the reported prevalence of bullying.</w:t>
            </w:r>
          </w:p>
        </w:tc>
      </w:tr>
      <w:tr w:rsidR="00933812" w14:paraId="2D3D5C10" w14:textId="77777777">
        <w:tc>
          <w:tcPr>
            <w:tcW w:w="4320" w:type="dxa"/>
          </w:tcPr>
          <w:p w14:paraId="0D869963"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FB71213" w14:textId="3882E946" w:rsidR="00933812" w:rsidRPr="00441540" w:rsidRDefault="00441540">
            <w:pPr>
              <w:rPr>
                <w:rFonts w:eastAsia="宋体"/>
                <w:lang w:eastAsia="zh-CN"/>
              </w:rPr>
            </w:pPr>
            <w:r>
              <w:rPr>
                <w:rFonts w:eastAsia="宋体" w:hint="eastAsia"/>
                <w:lang w:eastAsia="zh-CN"/>
              </w:rPr>
              <w:t>7</w:t>
            </w:r>
            <w:r>
              <w:rPr>
                <w:rFonts w:eastAsia="宋体"/>
                <w:lang w:eastAsia="zh-CN"/>
              </w:rPr>
              <w:t>,</w:t>
            </w:r>
            <w:r w:rsidR="000A3A73">
              <w:rPr>
                <w:rFonts w:eastAsia="宋体"/>
                <w:lang w:eastAsia="zh-CN"/>
              </w:rPr>
              <w:t>7,</w:t>
            </w:r>
            <w:r w:rsidR="00834F03">
              <w:rPr>
                <w:rFonts w:eastAsia="宋体"/>
                <w:lang w:eastAsia="zh-CN"/>
              </w:rPr>
              <w:t>7,</w:t>
            </w:r>
            <w:r w:rsidR="005722E4">
              <w:rPr>
                <w:rFonts w:eastAsia="宋体"/>
                <w:lang w:eastAsia="zh-CN"/>
              </w:rPr>
              <w:t>7,</w:t>
            </w:r>
            <w:r w:rsidR="00E43B96">
              <w:rPr>
                <w:rFonts w:eastAsia="宋体"/>
                <w:lang w:eastAsia="zh-CN"/>
              </w:rPr>
              <w:t>1</w:t>
            </w:r>
          </w:p>
        </w:tc>
      </w:tr>
    </w:tbl>
    <w:p w14:paraId="2601A0B7"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58"/>
        <w:gridCol w:w="5972"/>
      </w:tblGrid>
      <w:tr w:rsidR="00933812" w14:paraId="4F6F5042" w14:textId="77777777">
        <w:tc>
          <w:tcPr>
            <w:tcW w:w="4320" w:type="dxa"/>
          </w:tcPr>
          <w:p w14:paraId="277F4A39" w14:textId="77777777" w:rsidR="00933812" w:rsidRDefault="00873D25">
            <w:r>
              <w:t>ID</w:t>
            </w:r>
          </w:p>
        </w:tc>
        <w:tc>
          <w:tcPr>
            <w:tcW w:w="10080" w:type="dxa"/>
          </w:tcPr>
          <w:p w14:paraId="594F39F5" w14:textId="77777777" w:rsidR="00933812" w:rsidRDefault="00873D25">
            <w:r>
              <w:t>126(14)</w:t>
            </w:r>
          </w:p>
        </w:tc>
      </w:tr>
      <w:tr w:rsidR="00933812" w14:paraId="4D61E501" w14:textId="77777777">
        <w:tc>
          <w:tcPr>
            <w:tcW w:w="4320" w:type="dxa"/>
          </w:tcPr>
          <w:p w14:paraId="7C66CF29" w14:textId="77777777" w:rsidR="00933812" w:rsidRDefault="00873D25">
            <w:r>
              <w:rPr>
                <w:rFonts w:ascii="仿宋" w:eastAsia="仿宋" w:hAnsi="仿宋"/>
              </w:rPr>
              <w:t>领域</w:t>
            </w:r>
          </w:p>
        </w:tc>
        <w:tc>
          <w:tcPr>
            <w:tcW w:w="4320" w:type="dxa"/>
          </w:tcPr>
          <w:p w14:paraId="0F265A46" w14:textId="77777777" w:rsidR="00933812" w:rsidRDefault="00873D25">
            <w:r>
              <w:t>Science</w:t>
            </w:r>
          </w:p>
        </w:tc>
      </w:tr>
      <w:tr w:rsidR="00933812" w14:paraId="13ECAFD0" w14:textId="77777777">
        <w:tc>
          <w:tcPr>
            <w:tcW w:w="4320" w:type="dxa"/>
          </w:tcPr>
          <w:p w14:paraId="3F9B2C55" w14:textId="77777777" w:rsidR="00933812" w:rsidRDefault="00873D25">
            <w:r>
              <w:rPr>
                <w:rFonts w:ascii="仿宋" w:eastAsia="仿宋" w:hAnsi="仿宋"/>
              </w:rPr>
              <w:t>用户问题</w:t>
            </w:r>
          </w:p>
        </w:tc>
        <w:tc>
          <w:tcPr>
            <w:tcW w:w="4320" w:type="dxa"/>
          </w:tcPr>
          <w:p w14:paraId="3F0091F8" w14:textId="77777777" w:rsidR="00933812" w:rsidRDefault="00873D25">
            <w:r>
              <w:t>Do you agree with the claim that "CRP is positively correlated with postoperative mortality following Coronary Artery Bypass Graft (CABG) surgery."? Provide factual statements about the claim.</w:t>
            </w:r>
          </w:p>
        </w:tc>
      </w:tr>
      <w:tr w:rsidR="00933812" w14:paraId="7B8BB560" w14:textId="77777777">
        <w:tc>
          <w:tcPr>
            <w:tcW w:w="4320" w:type="dxa"/>
          </w:tcPr>
          <w:p w14:paraId="7A21746F"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07CB72A" w14:textId="4A43BC9C" w:rsidR="00933812" w:rsidRPr="00DA509C" w:rsidRDefault="00DA509C">
            <w:pPr>
              <w:rPr>
                <w:rFonts w:eastAsia="宋体"/>
                <w:lang w:eastAsia="zh-CN"/>
              </w:rPr>
            </w:pPr>
            <w:r>
              <w:rPr>
                <w:rFonts w:eastAsia="宋体" w:hint="eastAsia"/>
                <w:lang w:eastAsia="zh-CN"/>
              </w:rPr>
              <w:t>3</w:t>
            </w:r>
            <w:r>
              <w:rPr>
                <w:rFonts w:eastAsia="宋体"/>
                <w:lang w:eastAsia="zh-CN"/>
              </w:rPr>
              <w:t>,5,</w:t>
            </w:r>
            <w:r w:rsidR="00FD716C">
              <w:rPr>
                <w:rFonts w:eastAsia="宋体"/>
                <w:lang w:eastAsia="zh-CN"/>
              </w:rPr>
              <w:t>3</w:t>
            </w:r>
          </w:p>
        </w:tc>
      </w:tr>
      <w:tr w:rsidR="00933812" w14:paraId="0C882770" w14:textId="77777777">
        <w:tc>
          <w:tcPr>
            <w:tcW w:w="4320" w:type="dxa"/>
          </w:tcPr>
          <w:p w14:paraId="39BA0C1A" w14:textId="77777777" w:rsidR="00933812" w:rsidRDefault="00873D25">
            <w:r>
              <w:rPr>
                <w:rFonts w:ascii="仿宋" w:eastAsia="仿宋" w:hAnsi="仿宋"/>
              </w:rPr>
              <w:t>模型回复</w:t>
            </w:r>
          </w:p>
        </w:tc>
        <w:tc>
          <w:tcPr>
            <w:tcW w:w="4320" w:type="dxa"/>
          </w:tcPr>
          <w:p w14:paraId="316F0E66" w14:textId="77777777" w:rsidR="00933812" w:rsidRDefault="00873D25">
            <w:r>
              <w:t xml:space="preserve">As an AI language model, I can provide you with factual information related to your query. </w:t>
            </w:r>
            <w:r>
              <w:br/>
              <w:t>C-reactive protein (CRP) is an acute-phase plasma protein that is commonly used as a marker of inflammation. Various studies have explored the relationship between CRP levels and postoperative mortality following Coronary Artery Bypass Graft (CABG) surgery. Here are some factual statements:</w:t>
            </w:r>
            <w:r>
              <w:br/>
              <w:t>1. Several studies have suggested a positive correlation between CRP levels and postoperative mortality following CABG surgery. Higher CRP levels have been associated with increased mortality risk.</w:t>
            </w:r>
            <w:r>
              <w:br/>
              <w:t>2. A study published in The Annals of Thoracic Surgery in 2003 assessed 761 patients undergoing CABG surgery. It concluded that elevated CRP levels were an independent predictor of increased postoperative mortality.</w:t>
            </w:r>
            <w:r>
              <w:br/>
              <w:t xml:space="preserve">3. A review published in the European Heart Journal in 2010 analyzed a broad range of studies and found consistent </w:t>
            </w:r>
            <w:r>
              <w:lastRenderedPageBreak/>
              <w:t>evidence supporting the correlation between high CRP levels and postoperative mortality after CABG surgery.</w:t>
            </w:r>
            <w:r>
              <w:br/>
              <w:t>4. CRP levels can provide valuable prognostic information for identifying patients at higher risk of adverse outcomes following CABG surgery.</w:t>
            </w:r>
            <w:r>
              <w:br/>
              <w:t>5. However, it is worth noting that CRP alone cannot determine the cause of postoperative mortality, and other factors such as patient age, comorbidities, and surgical complications also contribute to the overall risk.</w:t>
            </w:r>
            <w:r>
              <w:br/>
              <w:t>While these factual statements support the claim that CRP is positively correlated with postoperative mortality following CABG surgery, it is important to note that individual studies may have specific limitations, and further research is always needed to corroborate findings.</w:t>
            </w:r>
          </w:p>
        </w:tc>
      </w:tr>
      <w:tr w:rsidR="00933812" w14:paraId="219340D5" w14:textId="77777777">
        <w:tc>
          <w:tcPr>
            <w:tcW w:w="4320" w:type="dxa"/>
          </w:tcPr>
          <w:p w14:paraId="5E5DB8FF"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C8EE926" w14:textId="22942B1F" w:rsidR="00933812" w:rsidRPr="0047361C" w:rsidRDefault="0047361C">
            <w:pPr>
              <w:rPr>
                <w:rFonts w:eastAsia="宋体"/>
                <w:lang w:eastAsia="zh-CN"/>
              </w:rPr>
            </w:pPr>
            <w:r>
              <w:rPr>
                <w:rFonts w:eastAsia="宋体" w:hint="eastAsia"/>
                <w:lang w:eastAsia="zh-CN"/>
              </w:rPr>
              <w:t>1</w:t>
            </w:r>
          </w:p>
        </w:tc>
      </w:tr>
      <w:tr w:rsidR="00933812" w14:paraId="1870C2A0" w14:textId="77777777">
        <w:tc>
          <w:tcPr>
            <w:tcW w:w="4320" w:type="dxa"/>
          </w:tcPr>
          <w:p w14:paraId="292ADFAE" w14:textId="77777777" w:rsidR="00933812" w:rsidRDefault="00873D25">
            <w:r>
              <w:rPr>
                <w:rFonts w:ascii="仿宋" w:eastAsia="仿宋" w:hAnsi="仿宋"/>
              </w:rPr>
              <w:t>提取的事实</w:t>
            </w:r>
          </w:p>
        </w:tc>
        <w:tc>
          <w:tcPr>
            <w:tcW w:w="4320" w:type="dxa"/>
          </w:tcPr>
          <w:p w14:paraId="6CD3E7CE" w14:textId="77777777" w:rsidR="00933812" w:rsidRDefault="00873D25">
            <w:r>
              <w:t>1. C-reactive protein (CRP) is an acute-phase plasma protein used as a marker of inflammation.</w:t>
            </w:r>
            <w:r>
              <w:br/>
              <w:t>2. Several studies suggest a positive correlation between CRP levels and postoperative mortality following Coronary Artery Bypass Graft (CABG) surgery.</w:t>
            </w:r>
            <w:r>
              <w:br/>
              <w:t>3. A study in The Annals of Thoracic Surgery in 2003 concluded that elevated CRP levels were an independent predictor of increased postoperative mortality after analyzing 761 patients undergoing CABG surgery.</w:t>
            </w:r>
            <w:r>
              <w:br/>
              <w:t>4. A review in the European Heart Journal in 2010 reported supporting evidence for the correlation between high CRP levels and postoperative mortality after CABG surgery from a broad range of studies.</w:t>
            </w:r>
            <w:r>
              <w:br/>
              <w:t>5. Besides CRP, other factors like patient age, comorbidities, and surgical complications also contribute to the overall risk of postoperative mortality.</w:t>
            </w:r>
          </w:p>
        </w:tc>
      </w:tr>
      <w:tr w:rsidR="00933812" w14:paraId="25F3F9B9" w14:textId="77777777">
        <w:tc>
          <w:tcPr>
            <w:tcW w:w="4320" w:type="dxa"/>
          </w:tcPr>
          <w:p w14:paraId="38E7201C"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5C79D8D" w14:textId="0682586A" w:rsidR="00933812" w:rsidRPr="00E6137A" w:rsidRDefault="00E6137A">
            <w:pPr>
              <w:rPr>
                <w:rFonts w:eastAsia="宋体"/>
                <w:lang w:eastAsia="zh-CN"/>
              </w:rPr>
            </w:pPr>
            <w:r>
              <w:rPr>
                <w:rFonts w:eastAsia="宋体" w:hint="eastAsia"/>
                <w:lang w:eastAsia="zh-CN"/>
              </w:rPr>
              <w:t>1</w:t>
            </w:r>
            <w:r>
              <w:rPr>
                <w:rFonts w:eastAsia="宋体"/>
                <w:lang w:eastAsia="zh-CN"/>
              </w:rPr>
              <w:t>,</w:t>
            </w:r>
            <w:r w:rsidR="00232DC4">
              <w:rPr>
                <w:rFonts w:eastAsia="宋体"/>
                <w:lang w:eastAsia="zh-CN"/>
              </w:rPr>
              <w:t>1,</w:t>
            </w:r>
            <w:r w:rsidR="00040758">
              <w:rPr>
                <w:rFonts w:eastAsia="宋体"/>
                <w:lang w:eastAsia="zh-CN"/>
              </w:rPr>
              <w:t>2,</w:t>
            </w:r>
            <w:r w:rsidR="00135991">
              <w:rPr>
                <w:rFonts w:eastAsia="宋体"/>
                <w:lang w:eastAsia="zh-CN"/>
              </w:rPr>
              <w:t>2,</w:t>
            </w:r>
            <w:r w:rsidR="00CD1AC1">
              <w:rPr>
                <w:rFonts w:eastAsia="宋体"/>
                <w:lang w:eastAsia="zh-CN"/>
              </w:rPr>
              <w:t>1</w:t>
            </w:r>
          </w:p>
        </w:tc>
      </w:tr>
    </w:tbl>
    <w:p w14:paraId="1BBFFD55"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41"/>
        <w:gridCol w:w="5989"/>
      </w:tblGrid>
      <w:tr w:rsidR="00933812" w14:paraId="4179F6D7" w14:textId="77777777">
        <w:tc>
          <w:tcPr>
            <w:tcW w:w="4320" w:type="dxa"/>
          </w:tcPr>
          <w:p w14:paraId="2F667887" w14:textId="77777777" w:rsidR="00933812" w:rsidRDefault="00873D25">
            <w:r>
              <w:t>ID</w:t>
            </w:r>
          </w:p>
        </w:tc>
        <w:tc>
          <w:tcPr>
            <w:tcW w:w="10080" w:type="dxa"/>
          </w:tcPr>
          <w:p w14:paraId="092A93EF" w14:textId="77777777" w:rsidR="00933812" w:rsidRDefault="00873D25">
            <w:r>
              <w:t>137(15)</w:t>
            </w:r>
          </w:p>
        </w:tc>
      </w:tr>
      <w:tr w:rsidR="00933812" w14:paraId="65C23B67" w14:textId="77777777">
        <w:tc>
          <w:tcPr>
            <w:tcW w:w="4320" w:type="dxa"/>
          </w:tcPr>
          <w:p w14:paraId="7EFF66BA" w14:textId="77777777" w:rsidR="00933812" w:rsidRDefault="00873D25">
            <w:r>
              <w:rPr>
                <w:rFonts w:ascii="仿宋" w:eastAsia="仿宋" w:hAnsi="仿宋"/>
              </w:rPr>
              <w:t>领域</w:t>
            </w:r>
          </w:p>
        </w:tc>
        <w:tc>
          <w:tcPr>
            <w:tcW w:w="4320" w:type="dxa"/>
          </w:tcPr>
          <w:p w14:paraId="2714D87F" w14:textId="77777777" w:rsidR="00933812" w:rsidRDefault="00873D25">
            <w:r>
              <w:t>Science</w:t>
            </w:r>
          </w:p>
        </w:tc>
      </w:tr>
      <w:tr w:rsidR="00933812" w14:paraId="48B27AC1" w14:textId="77777777">
        <w:tc>
          <w:tcPr>
            <w:tcW w:w="4320" w:type="dxa"/>
          </w:tcPr>
          <w:p w14:paraId="676DD241" w14:textId="77777777" w:rsidR="00933812" w:rsidRDefault="00873D25">
            <w:r>
              <w:rPr>
                <w:rFonts w:ascii="仿宋" w:eastAsia="仿宋" w:hAnsi="仿宋"/>
              </w:rPr>
              <w:lastRenderedPageBreak/>
              <w:t>用户问题</w:t>
            </w:r>
          </w:p>
        </w:tc>
        <w:tc>
          <w:tcPr>
            <w:tcW w:w="4320" w:type="dxa"/>
          </w:tcPr>
          <w:p w14:paraId="7B2800C5" w14:textId="77777777" w:rsidR="00933812" w:rsidRDefault="00873D25">
            <w:r>
              <w:t>What is the validity of the assertion that "Cell autonomous sex determination in somatic cells occurs in Galliformes."? Outline fact-based statements about the assertion.</w:t>
            </w:r>
          </w:p>
        </w:tc>
      </w:tr>
      <w:tr w:rsidR="00933812" w14:paraId="52B8B2A5" w14:textId="77777777">
        <w:tc>
          <w:tcPr>
            <w:tcW w:w="4320" w:type="dxa"/>
          </w:tcPr>
          <w:p w14:paraId="021C1B41"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B4E37A0" w14:textId="3F138AE9" w:rsidR="00933812" w:rsidRPr="00FA58C1" w:rsidRDefault="004E6432">
            <w:pPr>
              <w:rPr>
                <w:rFonts w:eastAsia="宋体"/>
                <w:lang w:eastAsia="zh-CN"/>
              </w:rPr>
            </w:pPr>
            <w:r>
              <w:rPr>
                <w:rFonts w:eastAsia="宋体"/>
                <w:lang w:eastAsia="zh-CN"/>
              </w:rPr>
              <w:t>4</w:t>
            </w:r>
            <w:r w:rsidR="00FA58C1">
              <w:rPr>
                <w:rFonts w:eastAsia="宋体"/>
                <w:lang w:eastAsia="zh-CN"/>
              </w:rPr>
              <w:t>,</w:t>
            </w:r>
            <w:r w:rsidR="008D0248">
              <w:rPr>
                <w:rFonts w:eastAsia="宋体"/>
                <w:lang w:eastAsia="zh-CN"/>
              </w:rPr>
              <w:t>5,</w:t>
            </w:r>
            <w:r w:rsidR="00F27706">
              <w:rPr>
                <w:rFonts w:eastAsia="宋体"/>
                <w:lang w:eastAsia="zh-CN"/>
              </w:rPr>
              <w:t>5</w:t>
            </w:r>
          </w:p>
        </w:tc>
      </w:tr>
      <w:tr w:rsidR="00933812" w14:paraId="5107ED06" w14:textId="77777777">
        <w:tc>
          <w:tcPr>
            <w:tcW w:w="4320" w:type="dxa"/>
          </w:tcPr>
          <w:p w14:paraId="12AA3349" w14:textId="77777777" w:rsidR="00933812" w:rsidRDefault="00873D25">
            <w:r>
              <w:rPr>
                <w:rFonts w:ascii="仿宋" w:eastAsia="仿宋" w:hAnsi="仿宋"/>
              </w:rPr>
              <w:t>模型回复</w:t>
            </w:r>
          </w:p>
        </w:tc>
        <w:tc>
          <w:tcPr>
            <w:tcW w:w="4320" w:type="dxa"/>
          </w:tcPr>
          <w:p w14:paraId="267E296C" w14:textId="77777777" w:rsidR="00933812" w:rsidRDefault="00873D25">
            <w:r>
              <w:t>The assertion that "Cell autonomous sex determination in somatic cells occurs in Galliformes" has some validity based on the following fact-based statements:</w:t>
            </w:r>
            <w:r>
              <w:br/>
              <w:t>1. Genetic Sex Determination in Birds: In general, birds exhibit genetic sex determination, meaning that their sex is determined by their genetic makeup. The presence of two sex chromosomes, Z and W, determines the sex of an individual bird. Males have two Z chromosomes (ZZ), while females have one Z and one W chromosome (ZW).</w:t>
            </w:r>
            <w:r>
              <w:br/>
              <w:t>2. Cell Autonomous Sex Determination: In some species, including humans and many mammals, sex determination is cell autonomous, meaning that individual cells within an organism have the ability to determine their own sex. This determination can occur through the expression of specific genes or signaling pathways that influence the development of male or female characteristics.</w:t>
            </w:r>
            <w:r>
              <w:br/>
              <w:t>3. Galliformes: Galliformes is an order of bird species that includes chickens, turkeys, quails, and pheasants, among others. Some studies suggest that sex determination in Galliformes might involve cell autonomous mechanisms.</w:t>
            </w:r>
            <w:r>
              <w:br/>
              <w:t>4. Experimental Evidence: Research has shown that in some Galliformes species, such as chickens, the genetic cascade of sex determination occurs in somatic cells during embryogenesis. The activation of specific genes on the Z chromosome, such as DMRT1 and DMRT2, influences the development of maleness. These genes are expressed in every cell during embryonic development, suggesting cell autonomy in sex determination.</w:t>
            </w:r>
            <w:r>
              <w:br/>
              <w:t>5. Somatic Cell Lineages: Somatic cells refer to all non-reproductive cells in an organism. The assertion suggests that even these non-reproductive cells have the ability to determine their own sex in Galliformes. Studies have indicated that the sex of somatic cells in Galliformes can be influenced by the Z and W chromosomes' presence within each cell.</w:t>
            </w:r>
            <w:r>
              <w:br/>
              <w:t>While the assertion has some validity and is supported by experimental evidence, it is important to note that further research is needed to fully understand the mechanisms of cell autonomous sex determination in Galliformes and how it compares to other systems of sex determination in birds and animals.</w:t>
            </w:r>
          </w:p>
        </w:tc>
      </w:tr>
      <w:tr w:rsidR="00933812" w14:paraId="0CD05723" w14:textId="77777777">
        <w:tc>
          <w:tcPr>
            <w:tcW w:w="4320" w:type="dxa"/>
          </w:tcPr>
          <w:p w14:paraId="381CE263"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725B653" w14:textId="695D57DE" w:rsidR="00933812" w:rsidRPr="00BF2503" w:rsidRDefault="00BF2503">
            <w:pPr>
              <w:rPr>
                <w:rFonts w:eastAsia="宋体"/>
                <w:lang w:eastAsia="zh-CN"/>
              </w:rPr>
            </w:pPr>
            <w:r>
              <w:rPr>
                <w:rFonts w:eastAsia="宋体" w:hint="eastAsia"/>
                <w:lang w:eastAsia="zh-CN"/>
              </w:rPr>
              <w:t>1</w:t>
            </w:r>
          </w:p>
        </w:tc>
      </w:tr>
      <w:tr w:rsidR="00933812" w14:paraId="1FC535F1" w14:textId="77777777">
        <w:tc>
          <w:tcPr>
            <w:tcW w:w="4320" w:type="dxa"/>
          </w:tcPr>
          <w:p w14:paraId="2FAB8A0B" w14:textId="77777777" w:rsidR="00933812" w:rsidRDefault="00873D25">
            <w:r>
              <w:rPr>
                <w:rFonts w:ascii="仿宋" w:eastAsia="仿宋" w:hAnsi="仿宋"/>
              </w:rPr>
              <w:t>提取的事实</w:t>
            </w:r>
          </w:p>
        </w:tc>
        <w:tc>
          <w:tcPr>
            <w:tcW w:w="4320" w:type="dxa"/>
          </w:tcPr>
          <w:p w14:paraId="62DBA7E7" w14:textId="77777777" w:rsidR="00933812" w:rsidRDefault="00873D25">
            <w:r>
              <w:t>1. Birds typically exhibit genetic sex determination, with the presence of two sex chromosomes, Z and W, determining the sex of an individual bird.</w:t>
            </w:r>
            <w:r>
              <w:br/>
              <w:t>2. Cell Autonomous Sex Determination refers to the capability of individual cells within an organism to determine their own sex, a phenomenon that can be seen in humans and many mammalian species.</w:t>
            </w:r>
            <w:r>
              <w:br/>
              <w:t>3. Galliformes is an order of bird species that encompasses chickens, turkeys, quails, and pheasants.</w:t>
            </w:r>
            <w:r>
              <w:br/>
              <w:t>4. In some Galliformes species, the genetic cascade of sex determination occurs in somatic cells during embryogenesis, with genes on the Z chromosome playing a major role.</w:t>
            </w:r>
            <w:r>
              <w:br/>
              <w:t>5. Somatic cells refer to all non-reproductive cells in an organism, and in the context of Galliformes, these cells are reported to have the ability to determine their own sex.</w:t>
            </w:r>
          </w:p>
        </w:tc>
      </w:tr>
      <w:tr w:rsidR="00933812" w14:paraId="0264AD60" w14:textId="77777777">
        <w:tc>
          <w:tcPr>
            <w:tcW w:w="4320" w:type="dxa"/>
          </w:tcPr>
          <w:p w14:paraId="6BB31D0A"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16DF534" w14:textId="38B39A0B" w:rsidR="00933812" w:rsidRPr="00EE20A8" w:rsidRDefault="00EE20A8">
            <w:pPr>
              <w:rPr>
                <w:rFonts w:eastAsia="宋体"/>
                <w:lang w:eastAsia="zh-CN"/>
              </w:rPr>
            </w:pPr>
            <w:r>
              <w:rPr>
                <w:rFonts w:eastAsia="宋体" w:hint="eastAsia"/>
                <w:lang w:eastAsia="zh-CN"/>
              </w:rPr>
              <w:t>1</w:t>
            </w:r>
            <w:r>
              <w:rPr>
                <w:rFonts w:eastAsia="宋体"/>
                <w:lang w:eastAsia="zh-CN"/>
              </w:rPr>
              <w:t>,</w:t>
            </w:r>
            <w:r w:rsidR="00762FA8">
              <w:rPr>
                <w:rFonts w:eastAsia="宋体"/>
                <w:lang w:eastAsia="zh-CN"/>
              </w:rPr>
              <w:t>2,</w:t>
            </w:r>
            <w:r w:rsidR="00E84E98">
              <w:rPr>
                <w:rFonts w:eastAsia="宋体" w:hint="eastAsia"/>
                <w:lang w:eastAsia="zh-CN"/>
              </w:rPr>
              <w:t>1</w:t>
            </w:r>
            <w:r w:rsidR="007F57AB">
              <w:rPr>
                <w:rFonts w:eastAsia="宋体"/>
                <w:lang w:eastAsia="zh-CN"/>
              </w:rPr>
              <w:t>,</w:t>
            </w:r>
            <w:r w:rsidR="00E84E98">
              <w:rPr>
                <w:rFonts w:eastAsia="宋体" w:hint="eastAsia"/>
                <w:lang w:eastAsia="zh-CN"/>
              </w:rPr>
              <w:t>1</w:t>
            </w:r>
            <w:r w:rsidR="00B508C4">
              <w:rPr>
                <w:rFonts w:eastAsia="宋体"/>
                <w:lang w:eastAsia="zh-CN"/>
              </w:rPr>
              <w:t>,</w:t>
            </w:r>
            <w:r w:rsidR="00710829">
              <w:rPr>
                <w:rFonts w:eastAsia="宋体"/>
                <w:lang w:eastAsia="zh-CN"/>
              </w:rPr>
              <w:t>1</w:t>
            </w:r>
          </w:p>
        </w:tc>
      </w:tr>
    </w:tbl>
    <w:p w14:paraId="6B5BFB69"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540"/>
        <w:gridCol w:w="6090"/>
      </w:tblGrid>
      <w:tr w:rsidR="00933812" w14:paraId="5796214D" w14:textId="77777777">
        <w:tc>
          <w:tcPr>
            <w:tcW w:w="4320" w:type="dxa"/>
          </w:tcPr>
          <w:p w14:paraId="42C8EC8C" w14:textId="77777777" w:rsidR="00933812" w:rsidRDefault="00873D25">
            <w:r>
              <w:t>ID</w:t>
            </w:r>
          </w:p>
        </w:tc>
        <w:tc>
          <w:tcPr>
            <w:tcW w:w="10080" w:type="dxa"/>
          </w:tcPr>
          <w:p w14:paraId="31279BF0" w14:textId="77777777" w:rsidR="00933812" w:rsidRDefault="00873D25">
            <w:r>
              <w:t>141(16)</w:t>
            </w:r>
          </w:p>
        </w:tc>
      </w:tr>
      <w:tr w:rsidR="00933812" w14:paraId="46F7A72F" w14:textId="77777777">
        <w:tc>
          <w:tcPr>
            <w:tcW w:w="4320" w:type="dxa"/>
          </w:tcPr>
          <w:p w14:paraId="35885C04" w14:textId="77777777" w:rsidR="00933812" w:rsidRDefault="00873D25">
            <w:r>
              <w:rPr>
                <w:rFonts w:ascii="仿宋" w:eastAsia="仿宋" w:hAnsi="仿宋"/>
              </w:rPr>
              <w:t>领域</w:t>
            </w:r>
          </w:p>
        </w:tc>
        <w:tc>
          <w:tcPr>
            <w:tcW w:w="4320" w:type="dxa"/>
          </w:tcPr>
          <w:p w14:paraId="4B3EE583" w14:textId="77777777" w:rsidR="00933812" w:rsidRDefault="00873D25">
            <w:r>
              <w:t>Science</w:t>
            </w:r>
          </w:p>
        </w:tc>
      </w:tr>
      <w:tr w:rsidR="00933812" w14:paraId="17859B8F" w14:textId="77777777">
        <w:tc>
          <w:tcPr>
            <w:tcW w:w="4320" w:type="dxa"/>
          </w:tcPr>
          <w:p w14:paraId="25D592B0" w14:textId="77777777" w:rsidR="00933812" w:rsidRDefault="00873D25">
            <w:r>
              <w:rPr>
                <w:rFonts w:ascii="仿宋" w:eastAsia="仿宋" w:hAnsi="仿宋"/>
              </w:rPr>
              <w:t>用户问题</w:t>
            </w:r>
          </w:p>
        </w:tc>
        <w:tc>
          <w:tcPr>
            <w:tcW w:w="4320" w:type="dxa"/>
          </w:tcPr>
          <w:p w14:paraId="0D6930E6" w14:textId="77777777" w:rsidR="00933812" w:rsidRDefault="00873D25">
            <w:r>
              <w:t>Do you agree with the claim that "Certain immunomodulator-human dialyzable leukocyte extract (hDLE) peptides are recognized by toll-like receptors (TLRs) on macrophages and dendritic cells."? Provide factual statements about the claim.</w:t>
            </w:r>
          </w:p>
        </w:tc>
      </w:tr>
      <w:tr w:rsidR="00933812" w14:paraId="6B95B42C" w14:textId="77777777">
        <w:tc>
          <w:tcPr>
            <w:tcW w:w="4320" w:type="dxa"/>
          </w:tcPr>
          <w:p w14:paraId="7BAD72AB"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8151364" w14:textId="64720F5D" w:rsidR="00933812" w:rsidRPr="00E72D30" w:rsidRDefault="00E72D30">
            <w:pPr>
              <w:rPr>
                <w:rFonts w:eastAsia="宋体"/>
                <w:lang w:eastAsia="zh-CN"/>
              </w:rPr>
            </w:pPr>
            <w:r>
              <w:rPr>
                <w:rFonts w:eastAsia="宋体" w:hint="eastAsia"/>
                <w:lang w:eastAsia="zh-CN"/>
              </w:rPr>
              <w:t>2</w:t>
            </w:r>
            <w:r>
              <w:rPr>
                <w:rFonts w:eastAsia="宋体"/>
                <w:lang w:eastAsia="zh-CN"/>
              </w:rPr>
              <w:t>,4,</w:t>
            </w:r>
            <w:r w:rsidR="00E01D44">
              <w:rPr>
                <w:rFonts w:eastAsia="宋体"/>
                <w:lang w:eastAsia="zh-CN"/>
              </w:rPr>
              <w:t>5</w:t>
            </w:r>
          </w:p>
        </w:tc>
      </w:tr>
      <w:tr w:rsidR="00933812" w14:paraId="4E94ACD9" w14:textId="77777777">
        <w:tc>
          <w:tcPr>
            <w:tcW w:w="4320" w:type="dxa"/>
          </w:tcPr>
          <w:p w14:paraId="692DFBCF" w14:textId="77777777" w:rsidR="00933812" w:rsidRDefault="00873D25">
            <w:r>
              <w:rPr>
                <w:rFonts w:ascii="仿宋" w:eastAsia="仿宋" w:hAnsi="仿宋"/>
              </w:rPr>
              <w:t>模型回复</w:t>
            </w:r>
          </w:p>
        </w:tc>
        <w:tc>
          <w:tcPr>
            <w:tcW w:w="4320" w:type="dxa"/>
          </w:tcPr>
          <w:p w14:paraId="24222FE8" w14:textId="77777777" w:rsidR="00933812" w:rsidRDefault="00873D25">
            <w:r>
              <w:t xml:space="preserve">As an AI language model, I can provide factual information about the claim but cannot express agreement or disagreement. </w:t>
            </w:r>
            <w:r>
              <w:br/>
              <w:t xml:space="preserve">Regarding the claim that certain immunomodulator-human dialyzable leukocyte extract (hDLE) peptides are recognized </w:t>
            </w:r>
            <w:r>
              <w:lastRenderedPageBreak/>
              <w:t>by toll-like receptors (TLRs) on macrophages and dendritic cells, here are some factual statements:</w:t>
            </w:r>
            <w:r>
              <w:br/>
              <w:t>1. Toll-like receptors (TLRs) are a class of proteins that play a crucial role in the recognition and activation of innate immune responses.</w:t>
            </w:r>
            <w:r>
              <w:br/>
              <w:t>2. Macrophages and dendritic cells are types of immune cells involved in innate immunity and antigen presentation, respectively.</w:t>
            </w:r>
            <w:r>
              <w:br/>
              <w:t>3. Human dialyzable leukocyte extract (hDLE) is a preparation derived from human leukocytes that contains low molecular weight peptides and has been used as an immunomodulator.</w:t>
            </w:r>
            <w:r>
              <w:br/>
              <w:t>4. Multiple studies have investigated the interaction between hDLE peptides and toll-like receptors on immune cells. For example:</w:t>
            </w:r>
            <w:r>
              <w:br/>
              <w:t xml:space="preserve">   a. A 2004 study published in the Journal of Immunology found that hDLE activates human macrophages via TLR-2 and TLR-4.</w:t>
            </w:r>
            <w:r>
              <w:br/>
              <w:t xml:space="preserve">   b. Another study published in The Journal of Infectious Diseases in 2005 demonstrated that hDLE induced cytokine production in human dendritic cells, primarily via the TLR-4 pathway.</w:t>
            </w:r>
            <w:r>
              <w:br/>
              <w:t xml:space="preserve">   c. A 2010 study in the journal Immunopharmacology and Immunotoxicology showed that specific peptides from hDLE stimulated murine macrophages through TLR-4.</w:t>
            </w:r>
            <w:r>
              <w:br/>
              <w:t xml:space="preserve">   d. Additional research has also highlighted the interaction between hDLE and other TLRs, such as TLR-7 and TLR-9.</w:t>
            </w:r>
            <w:r>
              <w:br/>
              <w:t>It is worth noting that while these studies indicate that certain hDLE peptides can interact with toll-like receptors on macrophages and dendritic cells, further research may be required to fully understand the mechanisms and potential therapeutic implications.</w:t>
            </w:r>
          </w:p>
        </w:tc>
      </w:tr>
      <w:tr w:rsidR="00933812" w14:paraId="3E040DA6" w14:textId="77777777">
        <w:tc>
          <w:tcPr>
            <w:tcW w:w="4320" w:type="dxa"/>
          </w:tcPr>
          <w:p w14:paraId="38B7EB4E"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2CAED73" w14:textId="0278E77E" w:rsidR="00933812" w:rsidRPr="00BA4B39" w:rsidRDefault="00BA4B39">
            <w:pPr>
              <w:rPr>
                <w:rFonts w:eastAsia="宋体"/>
                <w:lang w:eastAsia="zh-CN"/>
              </w:rPr>
            </w:pPr>
            <w:r>
              <w:rPr>
                <w:rFonts w:eastAsia="宋体" w:hint="eastAsia"/>
                <w:lang w:eastAsia="zh-CN"/>
              </w:rPr>
              <w:t>1</w:t>
            </w:r>
          </w:p>
        </w:tc>
      </w:tr>
      <w:tr w:rsidR="00933812" w14:paraId="7D3033C3" w14:textId="77777777">
        <w:tc>
          <w:tcPr>
            <w:tcW w:w="4320" w:type="dxa"/>
          </w:tcPr>
          <w:p w14:paraId="3C8C6DFA" w14:textId="77777777" w:rsidR="00933812" w:rsidRDefault="00873D25">
            <w:r>
              <w:rPr>
                <w:rFonts w:ascii="仿宋" w:eastAsia="仿宋" w:hAnsi="仿宋"/>
              </w:rPr>
              <w:t>提取的事实</w:t>
            </w:r>
          </w:p>
        </w:tc>
        <w:tc>
          <w:tcPr>
            <w:tcW w:w="4320" w:type="dxa"/>
          </w:tcPr>
          <w:p w14:paraId="7263E409" w14:textId="77777777" w:rsidR="00933812" w:rsidRDefault="00873D25">
            <w:r>
              <w:t>1. Toll-like receptors (TLRs) are a class of proteins that play a key role in the activation of innate immune responses.</w:t>
            </w:r>
            <w:r>
              <w:br/>
              <w:t>2. Macrophages and dendritic cells are types of immune cells that are involved in innate immunity and antigen presentation.</w:t>
            </w:r>
            <w:r>
              <w:br/>
              <w:t>3. Human dialyzable leukocyte extract (hDLE) is a preparation derived from human leukocytes that has been used as an immunomodulator.</w:t>
            </w:r>
            <w:r>
              <w:br/>
              <w:t>4. A study published in the Journal of Immunology in 2004 found that hDLE activates human macrophages via TLR-2 and TLR-4.</w:t>
            </w:r>
            <w:r>
              <w:br/>
              <w:t>5. A study published in The Journal of Infectious Diseases in 2005 demonstrated that hDLE induced cytokine production in human dendritic cells, mainly through the TLR-4 pathway.</w:t>
            </w:r>
          </w:p>
        </w:tc>
      </w:tr>
      <w:tr w:rsidR="00933812" w14:paraId="15B341C3" w14:textId="77777777">
        <w:tc>
          <w:tcPr>
            <w:tcW w:w="4320" w:type="dxa"/>
          </w:tcPr>
          <w:p w14:paraId="3D3EC1D7"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B9F34A4" w14:textId="0BBF0103" w:rsidR="00933812" w:rsidRPr="00FF7A09" w:rsidRDefault="00FF7A09">
            <w:pPr>
              <w:rPr>
                <w:rFonts w:eastAsia="宋体"/>
                <w:lang w:eastAsia="zh-CN"/>
              </w:rPr>
            </w:pPr>
            <w:r>
              <w:rPr>
                <w:rFonts w:eastAsia="宋体" w:hint="eastAsia"/>
                <w:lang w:eastAsia="zh-CN"/>
              </w:rPr>
              <w:t>1</w:t>
            </w:r>
            <w:r>
              <w:rPr>
                <w:rFonts w:eastAsia="宋体"/>
                <w:lang w:eastAsia="zh-CN"/>
              </w:rPr>
              <w:t>,</w:t>
            </w:r>
            <w:r w:rsidR="00116C8A">
              <w:rPr>
                <w:rFonts w:eastAsia="宋体"/>
                <w:lang w:eastAsia="zh-CN"/>
              </w:rPr>
              <w:t>1,</w:t>
            </w:r>
            <w:r w:rsidR="009E7042">
              <w:rPr>
                <w:rFonts w:eastAsia="宋体"/>
                <w:lang w:eastAsia="zh-CN"/>
              </w:rPr>
              <w:t>1,</w:t>
            </w:r>
            <w:r w:rsidR="00E13233">
              <w:rPr>
                <w:rFonts w:eastAsia="宋体"/>
                <w:lang w:eastAsia="zh-CN"/>
              </w:rPr>
              <w:t>7</w:t>
            </w:r>
            <w:r w:rsidR="00347F5C">
              <w:rPr>
                <w:rFonts w:eastAsia="宋体"/>
                <w:lang w:eastAsia="zh-CN"/>
              </w:rPr>
              <w:t>,7</w:t>
            </w:r>
          </w:p>
        </w:tc>
      </w:tr>
    </w:tbl>
    <w:p w14:paraId="18EE8293"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09"/>
        <w:gridCol w:w="6021"/>
      </w:tblGrid>
      <w:tr w:rsidR="00933812" w14:paraId="7F0BFFEE" w14:textId="77777777">
        <w:tc>
          <w:tcPr>
            <w:tcW w:w="4320" w:type="dxa"/>
          </w:tcPr>
          <w:p w14:paraId="111405BD" w14:textId="77777777" w:rsidR="00933812" w:rsidRDefault="00873D25">
            <w:r>
              <w:t>ID</w:t>
            </w:r>
          </w:p>
        </w:tc>
        <w:tc>
          <w:tcPr>
            <w:tcW w:w="10080" w:type="dxa"/>
          </w:tcPr>
          <w:p w14:paraId="482CF050" w14:textId="77777777" w:rsidR="00933812" w:rsidRDefault="00873D25">
            <w:r>
              <w:t>144(17)</w:t>
            </w:r>
          </w:p>
        </w:tc>
      </w:tr>
      <w:tr w:rsidR="00933812" w14:paraId="087C9321" w14:textId="77777777">
        <w:tc>
          <w:tcPr>
            <w:tcW w:w="4320" w:type="dxa"/>
          </w:tcPr>
          <w:p w14:paraId="0A66499F" w14:textId="77777777" w:rsidR="00933812" w:rsidRDefault="00873D25">
            <w:r>
              <w:rPr>
                <w:rFonts w:ascii="仿宋" w:eastAsia="仿宋" w:hAnsi="仿宋"/>
              </w:rPr>
              <w:t>领域</w:t>
            </w:r>
          </w:p>
        </w:tc>
        <w:tc>
          <w:tcPr>
            <w:tcW w:w="4320" w:type="dxa"/>
          </w:tcPr>
          <w:p w14:paraId="11230B7E" w14:textId="77777777" w:rsidR="00933812" w:rsidRDefault="00873D25">
            <w:r>
              <w:t>Science</w:t>
            </w:r>
          </w:p>
        </w:tc>
      </w:tr>
      <w:tr w:rsidR="00933812" w14:paraId="53B56DCF" w14:textId="77777777">
        <w:tc>
          <w:tcPr>
            <w:tcW w:w="4320" w:type="dxa"/>
          </w:tcPr>
          <w:p w14:paraId="2E250EDD" w14:textId="77777777" w:rsidR="00933812" w:rsidRDefault="00873D25">
            <w:r>
              <w:rPr>
                <w:rFonts w:ascii="仿宋" w:eastAsia="仿宋" w:hAnsi="仿宋"/>
              </w:rPr>
              <w:t>用户问题</w:t>
            </w:r>
          </w:p>
        </w:tc>
        <w:tc>
          <w:tcPr>
            <w:tcW w:w="4320" w:type="dxa"/>
          </w:tcPr>
          <w:p w14:paraId="5EB7FEC3" w14:textId="77777777" w:rsidR="00933812" w:rsidRDefault="00873D25">
            <w:r>
              <w:t>How truthful is the statement that "Chemical injury represses transglutaminase 2 activity."? Present a series of factual points about the statement.</w:t>
            </w:r>
          </w:p>
        </w:tc>
      </w:tr>
      <w:tr w:rsidR="00933812" w14:paraId="077A4042" w14:textId="77777777">
        <w:tc>
          <w:tcPr>
            <w:tcW w:w="4320" w:type="dxa"/>
          </w:tcPr>
          <w:p w14:paraId="72427869"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B1248A8" w14:textId="45F609D0" w:rsidR="00933812" w:rsidRPr="00B66F14" w:rsidRDefault="00B66F14">
            <w:pPr>
              <w:rPr>
                <w:rFonts w:eastAsia="宋体"/>
                <w:lang w:eastAsia="zh-CN"/>
              </w:rPr>
            </w:pPr>
            <w:r>
              <w:rPr>
                <w:rFonts w:eastAsia="宋体" w:hint="eastAsia"/>
                <w:lang w:eastAsia="zh-CN"/>
              </w:rPr>
              <w:t>5</w:t>
            </w:r>
            <w:r>
              <w:rPr>
                <w:rFonts w:eastAsia="宋体"/>
                <w:lang w:eastAsia="zh-CN"/>
              </w:rPr>
              <w:t>,</w:t>
            </w:r>
            <w:r w:rsidR="005B17E6">
              <w:rPr>
                <w:rFonts w:eastAsia="宋体"/>
                <w:lang w:eastAsia="zh-CN"/>
              </w:rPr>
              <w:t>5,</w:t>
            </w:r>
            <w:r w:rsidR="005D3DD2">
              <w:rPr>
                <w:rFonts w:eastAsia="宋体"/>
                <w:lang w:eastAsia="zh-CN"/>
              </w:rPr>
              <w:t>5</w:t>
            </w:r>
          </w:p>
        </w:tc>
      </w:tr>
      <w:tr w:rsidR="00933812" w14:paraId="716A7709" w14:textId="77777777">
        <w:tc>
          <w:tcPr>
            <w:tcW w:w="4320" w:type="dxa"/>
          </w:tcPr>
          <w:p w14:paraId="77FFD4C0" w14:textId="77777777" w:rsidR="00933812" w:rsidRDefault="00873D25">
            <w:r>
              <w:rPr>
                <w:rFonts w:ascii="仿宋" w:eastAsia="仿宋" w:hAnsi="仿宋"/>
              </w:rPr>
              <w:t>模型回复</w:t>
            </w:r>
          </w:p>
        </w:tc>
        <w:tc>
          <w:tcPr>
            <w:tcW w:w="4320" w:type="dxa"/>
          </w:tcPr>
          <w:p w14:paraId="2C91D378" w14:textId="77777777" w:rsidR="00933812" w:rsidRDefault="00873D25">
            <w:r>
              <w:t>The statement that "Chemical injury represses transglutaminase 2 activity" generally holds true, as chemical injuries can indeed have inhibitory effects on transglutaminase 2 (TG2) activity. Here are some factual points about this statement:</w:t>
            </w:r>
            <w:r>
              <w:br/>
              <w:t>1. Transglutaminase 2 (TG2): TG2 is an enzyme that belongs to the transglutaminase family and plays a crucial role in various cellular processes, including wound healing, tissue repair, and cell adhesion.</w:t>
            </w:r>
            <w:r>
              <w:br/>
              <w:t>2. Chemical injury: Chemical injuries refer to damage or harm caused to living tissues by exposure to various chemical substances. Examples of chemical injuries can include exposure to corrosive chemicals, toxic substances, or environmental pollutants.</w:t>
            </w:r>
            <w:r>
              <w:br/>
              <w:t>3. Repression of TG2 activity: Several studies have shown that the activity of TG2 can be repressed or inhibited under conditions of chemical injury. The specific mechanisms by which this repression occurs can vary depending on the underlying chemical and cellular context.</w:t>
            </w:r>
            <w:r>
              <w:br/>
              <w:t>4. Oxidative stress: Chemical injuries often induce oxidative stress, which can occur due to the generation of reactive oxygen species (ROS) or disruption of the balance between oxidative and antioxidative processes. Oxidative stress has been reported to negatively affect the activity of TG2.</w:t>
            </w:r>
            <w:r>
              <w:br/>
              <w:t xml:space="preserve">5. Activation of inflammatory pathways: Chemical injuries </w:t>
            </w:r>
            <w:r>
              <w:lastRenderedPageBreak/>
              <w:t>can trigger inflammatory responses in the affected tissues. Inflammation has been shown to modulate TG2 activity through various signaling pathways, often resulting in its repression.</w:t>
            </w:r>
            <w:r>
              <w:br/>
              <w:t>6. Altered redox state: Chemical injuries can disrupt the normal redox state within cells and tissues. TG2 activity is modulated by the redox state, and any disturbance can lead to decreased enzyme activity.</w:t>
            </w:r>
            <w:r>
              <w:br/>
              <w:t>7. Dysregulated calcium homeostasis: TG2 is calcium-dependent, and its activity is tightly regulated by calcium levels within cells. Chemical injuries may disrupt calcium homeostasis, compromising TG2 activity in the process.</w:t>
            </w:r>
            <w:r>
              <w:br/>
              <w:t>8. Positivity of injury-induced TG2 regulation: While chemical injury typically represses TG2 activity, it is important to note that injury-induced TG2 regulation can also result in tissue repair and wound healing. TG2 has been shown to be involved in the formation of fibrin clots, extracellular matrix remodeling, and immune cell responses, which are essential in tissue repair processes.</w:t>
            </w:r>
            <w:r>
              <w:br/>
              <w:t>In summary, while the statement "Chemical injury represses transglutaminase 2 activity" is generally valid, it is essential to consider the specific chemical and cellular context, as well as potential injury-induced positive regulatory mechanisms, when discussing the impact of chemical injuries on TG2 activity.</w:t>
            </w:r>
          </w:p>
        </w:tc>
      </w:tr>
      <w:tr w:rsidR="00933812" w14:paraId="148492EA" w14:textId="77777777">
        <w:tc>
          <w:tcPr>
            <w:tcW w:w="4320" w:type="dxa"/>
          </w:tcPr>
          <w:p w14:paraId="1C65894F"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E516B0B" w14:textId="4498F97F" w:rsidR="00933812" w:rsidRPr="003C014D" w:rsidRDefault="003C014D">
            <w:pPr>
              <w:rPr>
                <w:rFonts w:eastAsia="宋体"/>
                <w:lang w:eastAsia="zh-CN"/>
              </w:rPr>
            </w:pPr>
            <w:r>
              <w:rPr>
                <w:rFonts w:eastAsia="宋体" w:hint="eastAsia"/>
                <w:lang w:eastAsia="zh-CN"/>
              </w:rPr>
              <w:t>1</w:t>
            </w:r>
          </w:p>
        </w:tc>
      </w:tr>
      <w:tr w:rsidR="00933812" w14:paraId="29F6D67C" w14:textId="77777777">
        <w:tc>
          <w:tcPr>
            <w:tcW w:w="4320" w:type="dxa"/>
          </w:tcPr>
          <w:p w14:paraId="3D04CFAF" w14:textId="77777777" w:rsidR="00933812" w:rsidRDefault="00873D25">
            <w:r>
              <w:rPr>
                <w:rFonts w:ascii="仿宋" w:eastAsia="仿宋" w:hAnsi="仿宋"/>
              </w:rPr>
              <w:t>提取的事实</w:t>
            </w:r>
          </w:p>
        </w:tc>
        <w:tc>
          <w:tcPr>
            <w:tcW w:w="4320" w:type="dxa"/>
          </w:tcPr>
          <w:p w14:paraId="7CA03AA5" w14:textId="77777777" w:rsidR="00933812" w:rsidRDefault="00873D25">
            <w:r>
              <w:t>1. Transglutaminase 2 (TG2) is an enzyme that belongs to the transglutaminase family and plays a role in various cellular processes, including wound healing, tissue repair, and cell adhesion.</w:t>
            </w:r>
            <w:r>
              <w:br/>
              <w:t>2. Chemical injuries refer to harm caused to living tissues by exposure to various chemical substances.</w:t>
            </w:r>
            <w:r>
              <w:br/>
              <w:t>3. Several studies have shown that the activity of TG2 can be repressed or inhibited under conditions of chemical injury.</w:t>
            </w:r>
            <w:r>
              <w:br/>
              <w:t>4. Oxidative stress, which can occur due to the generation of reactive oxygen species (ROS) or disruption of the balance between oxidative and antioxidative processes, has been reported to negatively affect the activity of TG2.</w:t>
            </w:r>
            <w:r>
              <w:br/>
              <w:t>5. Chemical injuries can trigger inflammatory responses in the affected tissues, which has been shown to modulate TG2 activity through various signaling pathways.</w:t>
            </w:r>
          </w:p>
        </w:tc>
      </w:tr>
      <w:tr w:rsidR="00933812" w14:paraId="2B64C632" w14:textId="77777777">
        <w:tc>
          <w:tcPr>
            <w:tcW w:w="4320" w:type="dxa"/>
          </w:tcPr>
          <w:p w14:paraId="7D8F2756"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7E51BB4" w14:textId="6C690140" w:rsidR="00933812" w:rsidRPr="0041526E" w:rsidRDefault="0041526E">
            <w:pPr>
              <w:rPr>
                <w:rFonts w:eastAsia="宋体"/>
                <w:lang w:eastAsia="zh-CN"/>
              </w:rPr>
            </w:pPr>
            <w:r>
              <w:rPr>
                <w:rFonts w:eastAsia="宋体" w:hint="eastAsia"/>
                <w:lang w:eastAsia="zh-CN"/>
              </w:rPr>
              <w:lastRenderedPageBreak/>
              <w:t>1</w:t>
            </w:r>
            <w:r>
              <w:rPr>
                <w:rFonts w:eastAsia="宋体"/>
                <w:lang w:eastAsia="zh-CN"/>
              </w:rPr>
              <w:t>,</w:t>
            </w:r>
            <w:r w:rsidR="00D67E4E">
              <w:rPr>
                <w:rFonts w:eastAsia="宋体"/>
                <w:lang w:eastAsia="zh-CN"/>
              </w:rPr>
              <w:t>1,</w:t>
            </w:r>
            <w:r w:rsidR="00D3436D">
              <w:rPr>
                <w:rFonts w:eastAsia="宋体"/>
                <w:lang w:eastAsia="zh-CN"/>
              </w:rPr>
              <w:t>1,</w:t>
            </w:r>
            <w:r w:rsidR="00A36353">
              <w:rPr>
                <w:rFonts w:eastAsia="宋体"/>
                <w:lang w:eastAsia="zh-CN"/>
              </w:rPr>
              <w:t>6</w:t>
            </w:r>
            <w:r w:rsidR="009D763D">
              <w:rPr>
                <w:rFonts w:eastAsia="宋体"/>
                <w:lang w:eastAsia="zh-CN"/>
              </w:rPr>
              <w:t>,</w:t>
            </w:r>
            <w:r w:rsidR="00E41DC0">
              <w:rPr>
                <w:rFonts w:eastAsia="宋体" w:hint="eastAsia"/>
                <w:lang w:eastAsia="zh-CN"/>
              </w:rPr>
              <w:t>1</w:t>
            </w:r>
          </w:p>
        </w:tc>
      </w:tr>
    </w:tbl>
    <w:p w14:paraId="5414451A"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594"/>
        <w:gridCol w:w="6036"/>
      </w:tblGrid>
      <w:tr w:rsidR="00933812" w14:paraId="68829F2F" w14:textId="77777777">
        <w:tc>
          <w:tcPr>
            <w:tcW w:w="4320" w:type="dxa"/>
          </w:tcPr>
          <w:p w14:paraId="28ABE797" w14:textId="77777777" w:rsidR="00933812" w:rsidRDefault="00873D25">
            <w:r>
              <w:t>ID</w:t>
            </w:r>
          </w:p>
        </w:tc>
        <w:tc>
          <w:tcPr>
            <w:tcW w:w="10080" w:type="dxa"/>
          </w:tcPr>
          <w:p w14:paraId="65E049F8" w14:textId="77777777" w:rsidR="00933812" w:rsidRDefault="00873D25">
            <w:r>
              <w:t>146(18)</w:t>
            </w:r>
          </w:p>
        </w:tc>
      </w:tr>
      <w:tr w:rsidR="00933812" w14:paraId="403AACA4" w14:textId="77777777">
        <w:tc>
          <w:tcPr>
            <w:tcW w:w="4320" w:type="dxa"/>
          </w:tcPr>
          <w:p w14:paraId="7621C415" w14:textId="77777777" w:rsidR="00933812" w:rsidRDefault="00873D25">
            <w:r>
              <w:rPr>
                <w:rFonts w:ascii="仿宋" w:eastAsia="仿宋" w:hAnsi="仿宋"/>
              </w:rPr>
              <w:t>领域</w:t>
            </w:r>
          </w:p>
        </w:tc>
        <w:tc>
          <w:tcPr>
            <w:tcW w:w="4320" w:type="dxa"/>
          </w:tcPr>
          <w:p w14:paraId="086C5D0F" w14:textId="77777777" w:rsidR="00933812" w:rsidRDefault="00873D25">
            <w:r>
              <w:t>Science</w:t>
            </w:r>
          </w:p>
        </w:tc>
      </w:tr>
      <w:tr w:rsidR="00933812" w14:paraId="59AB25DD" w14:textId="77777777">
        <w:tc>
          <w:tcPr>
            <w:tcW w:w="4320" w:type="dxa"/>
          </w:tcPr>
          <w:p w14:paraId="25FDDF27" w14:textId="77777777" w:rsidR="00933812" w:rsidRDefault="00873D25">
            <w:r>
              <w:rPr>
                <w:rFonts w:ascii="仿宋" w:eastAsia="仿宋" w:hAnsi="仿宋"/>
              </w:rPr>
              <w:t>用户问题</w:t>
            </w:r>
          </w:p>
        </w:tc>
        <w:tc>
          <w:tcPr>
            <w:tcW w:w="4320" w:type="dxa"/>
          </w:tcPr>
          <w:p w14:paraId="1766B143" w14:textId="77777777" w:rsidR="00933812" w:rsidRDefault="00873D25">
            <w:r>
              <w:t>Do you agree with the claim that "Chenodeoxycholic acid treatment increases brown adipose tissue activity."? Provide factual statements about the claim.</w:t>
            </w:r>
          </w:p>
        </w:tc>
      </w:tr>
      <w:tr w:rsidR="00933812" w14:paraId="13D7D2E2" w14:textId="77777777">
        <w:tc>
          <w:tcPr>
            <w:tcW w:w="4320" w:type="dxa"/>
          </w:tcPr>
          <w:p w14:paraId="15D876EA"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C56AA81" w14:textId="2B30F7B7" w:rsidR="00933812" w:rsidRPr="00C37363" w:rsidRDefault="00C37363">
            <w:pPr>
              <w:rPr>
                <w:rFonts w:eastAsia="宋体"/>
                <w:lang w:eastAsia="zh-CN"/>
              </w:rPr>
            </w:pPr>
            <w:r>
              <w:rPr>
                <w:rFonts w:eastAsia="宋体" w:hint="eastAsia"/>
                <w:lang w:eastAsia="zh-CN"/>
              </w:rPr>
              <w:t>4</w:t>
            </w:r>
            <w:r>
              <w:rPr>
                <w:rFonts w:eastAsia="宋体"/>
                <w:lang w:eastAsia="zh-CN"/>
              </w:rPr>
              <w:t>,</w:t>
            </w:r>
            <w:r w:rsidR="000E43B8">
              <w:rPr>
                <w:rFonts w:eastAsia="宋体"/>
                <w:lang w:eastAsia="zh-CN"/>
              </w:rPr>
              <w:t>5,</w:t>
            </w:r>
            <w:r w:rsidR="0002288F">
              <w:rPr>
                <w:rFonts w:eastAsia="宋体"/>
                <w:lang w:eastAsia="zh-CN"/>
              </w:rPr>
              <w:t>4</w:t>
            </w:r>
          </w:p>
        </w:tc>
      </w:tr>
      <w:tr w:rsidR="00933812" w14:paraId="2128DE6B" w14:textId="77777777">
        <w:tc>
          <w:tcPr>
            <w:tcW w:w="4320" w:type="dxa"/>
          </w:tcPr>
          <w:p w14:paraId="59C1EE88" w14:textId="77777777" w:rsidR="00933812" w:rsidRDefault="00873D25">
            <w:r>
              <w:rPr>
                <w:rFonts w:ascii="仿宋" w:eastAsia="仿宋" w:hAnsi="仿宋"/>
              </w:rPr>
              <w:t>模型回复</w:t>
            </w:r>
          </w:p>
        </w:tc>
        <w:tc>
          <w:tcPr>
            <w:tcW w:w="4320" w:type="dxa"/>
          </w:tcPr>
          <w:p w14:paraId="7FE8CDB7" w14:textId="77777777" w:rsidR="00933812" w:rsidRDefault="00873D25">
            <w:r>
              <w:t>As an AI language model, I can provide some factual statements regarding the claim you mentioned. However, it's important to note that I cannot have personal opinions or beliefs.</w:t>
            </w:r>
            <w:r>
              <w:br/>
              <w:t>Statement 1: Chenodeoxycholic acid (CDCA) is a bile acid primarily produced in the liver from cholesterol metabolism.</w:t>
            </w:r>
            <w:r>
              <w:br/>
              <w:t>Statement 2: Brown adipose tissue (BAT), often referred to as brown fat, is a specialized fat tissue with high thermogenic capacity due to its dense content of mitochondria and uncoupling protein 1 (UCP1).</w:t>
            </w:r>
            <w:r>
              <w:br/>
              <w:t xml:space="preserve">Statement 3: Several studies have investigated the potential effect of CDCA on BAT activity in animals and humans. </w:t>
            </w:r>
            <w:r>
              <w:br/>
              <w:t>Statement 4: One study published in the Journal of Clinical Investigation in 2015 reported that CDCA administration led to increased BAT activity and improved glucose and lipid metabolism in mice.</w:t>
            </w:r>
            <w:r>
              <w:br/>
              <w:t>Statement 5: Another study published in the same journal in 2017 found that CDCA treatment increased BAT activity and energy expenditure in both mice and humans.</w:t>
            </w:r>
            <w:r>
              <w:br/>
              <w:t>Statement 6: However, it is worth noting that not all studies have shown consistent results, and more research is needed to establish the exact mechanisms and effects of CDCA on brown adipose tissue activity in different populations.</w:t>
            </w:r>
            <w:r>
              <w:br/>
              <w:t>These statements provide factual information about chenodeoxycholic acid and its potential impact on brown adipose tissue activity. It's important to explore scientific literature and consult experts for a comprehensive understanding and up-to-date information on this topic.</w:t>
            </w:r>
          </w:p>
        </w:tc>
      </w:tr>
      <w:tr w:rsidR="00933812" w14:paraId="0F49E022" w14:textId="77777777">
        <w:tc>
          <w:tcPr>
            <w:tcW w:w="4320" w:type="dxa"/>
          </w:tcPr>
          <w:p w14:paraId="37E968F1" w14:textId="77777777" w:rsidR="00933812" w:rsidRDefault="00873D25">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06BB6A0" w14:textId="057CF846" w:rsidR="00933812" w:rsidRPr="006A07D5" w:rsidRDefault="006A07D5">
            <w:pPr>
              <w:rPr>
                <w:rFonts w:eastAsia="宋体"/>
                <w:lang w:eastAsia="zh-CN"/>
              </w:rPr>
            </w:pPr>
            <w:r>
              <w:rPr>
                <w:rFonts w:eastAsia="宋体" w:hint="eastAsia"/>
                <w:lang w:eastAsia="zh-CN"/>
              </w:rPr>
              <w:t>1</w:t>
            </w:r>
          </w:p>
        </w:tc>
      </w:tr>
      <w:tr w:rsidR="00933812" w14:paraId="594A5D2A" w14:textId="77777777">
        <w:tc>
          <w:tcPr>
            <w:tcW w:w="4320" w:type="dxa"/>
          </w:tcPr>
          <w:p w14:paraId="2028412F" w14:textId="77777777" w:rsidR="00933812" w:rsidRDefault="00873D25">
            <w:r>
              <w:rPr>
                <w:rFonts w:ascii="仿宋" w:eastAsia="仿宋" w:hAnsi="仿宋"/>
              </w:rPr>
              <w:lastRenderedPageBreak/>
              <w:t>提取的事实</w:t>
            </w:r>
          </w:p>
        </w:tc>
        <w:tc>
          <w:tcPr>
            <w:tcW w:w="4320" w:type="dxa"/>
          </w:tcPr>
          <w:p w14:paraId="435970D4" w14:textId="77777777" w:rsidR="00933812" w:rsidRDefault="00873D25">
            <w:r>
              <w:t>1. Chenodeoxycholic acid (CDCA) is a bile acid primarily produced in the liver from cholesterol metabolism.</w:t>
            </w:r>
            <w:r>
              <w:br/>
              <w:t>2. Brown adipose tissue (BAT), often referred to as brown fat, is a specialized fat tissue with high thermogenic capacity due to its dense content of mitochondria and uncoupling protein 1 (UCP1).</w:t>
            </w:r>
            <w:r>
              <w:br/>
              <w:t>3. Several studies have investigated the potential effect of CDCA on BAT activity in animals and humans.</w:t>
            </w:r>
            <w:r>
              <w:br/>
              <w:t>4. A 2015 study published in the Journal of Clinical Investigation reported that CDCA administration increased BAT activity and improved glucose and lipid metabolism in mice.</w:t>
            </w:r>
            <w:r>
              <w:br/>
              <w:t>5. A separate study published in 2017 in the same journal found that CDCA treatment increased BAT activity and energy expenditure in both mice and humans.</w:t>
            </w:r>
          </w:p>
        </w:tc>
      </w:tr>
      <w:tr w:rsidR="00933812" w14:paraId="5AACB49B" w14:textId="77777777">
        <w:tc>
          <w:tcPr>
            <w:tcW w:w="4320" w:type="dxa"/>
          </w:tcPr>
          <w:p w14:paraId="14E50088"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05226F1" w14:textId="52105F73" w:rsidR="00933812" w:rsidRPr="00041F30" w:rsidRDefault="00041F30">
            <w:pPr>
              <w:rPr>
                <w:rFonts w:eastAsia="宋体"/>
                <w:lang w:eastAsia="zh-CN"/>
              </w:rPr>
            </w:pPr>
            <w:r>
              <w:rPr>
                <w:rFonts w:eastAsia="宋体" w:hint="eastAsia"/>
                <w:lang w:eastAsia="zh-CN"/>
              </w:rPr>
              <w:t>1</w:t>
            </w:r>
            <w:r>
              <w:rPr>
                <w:rFonts w:eastAsia="宋体"/>
                <w:lang w:eastAsia="zh-CN"/>
              </w:rPr>
              <w:t>,</w:t>
            </w:r>
            <w:r w:rsidR="00E051A1">
              <w:rPr>
                <w:rFonts w:eastAsia="宋体"/>
                <w:lang w:eastAsia="zh-CN"/>
              </w:rPr>
              <w:t>1,</w:t>
            </w:r>
            <w:r w:rsidR="00B90540">
              <w:rPr>
                <w:rFonts w:eastAsia="宋体"/>
                <w:lang w:eastAsia="zh-CN"/>
              </w:rPr>
              <w:t>1,</w:t>
            </w:r>
            <w:r w:rsidR="00122425">
              <w:rPr>
                <w:rFonts w:eastAsia="宋体"/>
                <w:lang w:eastAsia="zh-CN"/>
              </w:rPr>
              <w:t>7,</w:t>
            </w:r>
            <w:r w:rsidR="00062BAA">
              <w:rPr>
                <w:rFonts w:eastAsia="宋体"/>
                <w:lang w:eastAsia="zh-CN"/>
              </w:rPr>
              <w:t>2</w:t>
            </w:r>
          </w:p>
        </w:tc>
      </w:tr>
    </w:tbl>
    <w:p w14:paraId="2E997BF8"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474"/>
        <w:gridCol w:w="6156"/>
      </w:tblGrid>
      <w:tr w:rsidR="00933812" w14:paraId="1C903EB0" w14:textId="77777777">
        <w:tc>
          <w:tcPr>
            <w:tcW w:w="4320" w:type="dxa"/>
          </w:tcPr>
          <w:p w14:paraId="5135B4E1" w14:textId="77777777" w:rsidR="00933812" w:rsidRDefault="00873D25">
            <w:r>
              <w:t>ID</w:t>
            </w:r>
          </w:p>
        </w:tc>
        <w:tc>
          <w:tcPr>
            <w:tcW w:w="10080" w:type="dxa"/>
          </w:tcPr>
          <w:p w14:paraId="14690923" w14:textId="77777777" w:rsidR="00933812" w:rsidRDefault="00873D25">
            <w:r>
              <w:t>147(19)</w:t>
            </w:r>
          </w:p>
        </w:tc>
      </w:tr>
      <w:tr w:rsidR="00933812" w14:paraId="234EEBD6" w14:textId="77777777">
        <w:tc>
          <w:tcPr>
            <w:tcW w:w="4320" w:type="dxa"/>
          </w:tcPr>
          <w:p w14:paraId="64C1978A" w14:textId="77777777" w:rsidR="00933812" w:rsidRDefault="00873D25">
            <w:r>
              <w:rPr>
                <w:rFonts w:ascii="仿宋" w:eastAsia="仿宋" w:hAnsi="仿宋"/>
              </w:rPr>
              <w:t>领域</w:t>
            </w:r>
          </w:p>
        </w:tc>
        <w:tc>
          <w:tcPr>
            <w:tcW w:w="4320" w:type="dxa"/>
          </w:tcPr>
          <w:p w14:paraId="71DF6C69" w14:textId="77777777" w:rsidR="00933812" w:rsidRDefault="00873D25">
            <w:r>
              <w:t>Science</w:t>
            </w:r>
          </w:p>
        </w:tc>
      </w:tr>
      <w:tr w:rsidR="00933812" w14:paraId="6F504B79" w14:textId="77777777">
        <w:tc>
          <w:tcPr>
            <w:tcW w:w="4320" w:type="dxa"/>
          </w:tcPr>
          <w:p w14:paraId="25BA359A" w14:textId="77777777" w:rsidR="00933812" w:rsidRDefault="00873D25">
            <w:r>
              <w:rPr>
                <w:rFonts w:ascii="仿宋" w:eastAsia="仿宋" w:hAnsi="仿宋"/>
              </w:rPr>
              <w:t>用户问题</w:t>
            </w:r>
          </w:p>
        </w:tc>
        <w:tc>
          <w:tcPr>
            <w:tcW w:w="4320" w:type="dxa"/>
          </w:tcPr>
          <w:p w14:paraId="73A72C02" w14:textId="77777777" w:rsidR="00933812" w:rsidRDefault="00873D25">
            <w:r>
              <w:t>What is the validity of the assertion that "Chinese individuals with TT homozygosity in the MTHFR gene are less vulnerable to strokes caused by low levels of folate intake."? Outline fact-based statements about the assertion.</w:t>
            </w:r>
          </w:p>
        </w:tc>
      </w:tr>
      <w:tr w:rsidR="00933812" w14:paraId="5E4E88FA" w14:textId="77777777">
        <w:tc>
          <w:tcPr>
            <w:tcW w:w="4320" w:type="dxa"/>
          </w:tcPr>
          <w:p w14:paraId="766C5FCF"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6A475F8" w14:textId="08CD924D" w:rsidR="00933812" w:rsidRPr="00E04906" w:rsidRDefault="00E04906">
            <w:pPr>
              <w:rPr>
                <w:rFonts w:eastAsia="宋体"/>
                <w:lang w:eastAsia="zh-CN"/>
              </w:rPr>
            </w:pPr>
            <w:r>
              <w:rPr>
                <w:rFonts w:eastAsia="宋体" w:hint="eastAsia"/>
                <w:lang w:eastAsia="zh-CN"/>
              </w:rPr>
              <w:t>4</w:t>
            </w:r>
            <w:r>
              <w:rPr>
                <w:rFonts w:eastAsia="宋体"/>
                <w:lang w:eastAsia="zh-CN"/>
              </w:rPr>
              <w:t>,5,</w:t>
            </w:r>
            <w:r w:rsidR="004F239C">
              <w:rPr>
                <w:rFonts w:eastAsia="宋体"/>
                <w:lang w:eastAsia="zh-CN"/>
              </w:rPr>
              <w:t>4</w:t>
            </w:r>
          </w:p>
        </w:tc>
      </w:tr>
      <w:tr w:rsidR="00933812" w14:paraId="7CA67737" w14:textId="77777777">
        <w:tc>
          <w:tcPr>
            <w:tcW w:w="4320" w:type="dxa"/>
          </w:tcPr>
          <w:p w14:paraId="05E9CF84" w14:textId="77777777" w:rsidR="00933812" w:rsidRDefault="00873D25">
            <w:r>
              <w:rPr>
                <w:rFonts w:ascii="仿宋" w:eastAsia="仿宋" w:hAnsi="仿宋"/>
              </w:rPr>
              <w:t>模型回复</w:t>
            </w:r>
          </w:p>
        </w:tc>
        <w:tc>
          <w:tcPr>
            <w:tcW w:w="4320" w:type="dxa"/>
          </w:tcPr>
          <w:p w14:paraId="75CAB59E" w14:textId="77777777" w:rsidR="00933812" w:rsidRDefault="00873D25">
            <w:r>
              <w:t>1. The MTHFR gene is responsible for producing an enzyme called methylenetetrahydrofolate reductase, which plays a crucial role in folate metabolism.</w:t>
            </w:r>
            <w:r>
              <w:br/>
              <w:t>2. Studies have found that variations in the MTHFR gene, specifically the TT genotype, can lead to decreased enzyme activity and impaired folate metabolism.</w:t>
            </w:r>
            <w:r>
              <w:br/>
              <w:t>3. Folate is an essential nutrient that plays a critical role in various biological functions, including DNA synthesis and repair, homocysteine metabolism, and neurological health.</w:t>
            </w:r>
            <w:r>
              <w:br/>
            </w:r>
            <w:r>
              <w:lastRenderedPageBreak/>
              <w:t>4. Low levels of folate intake have been associated with an increased risk of strokes, as folate deficiency can lead to elevated levels of homocysteine, a known risk factor for cardiovascular diseases.</w:t>
            </w:r>
            <w:r>
              <w:br/>
              <w:t>5. Some research studies have suggested that individuals with the TT homozygosity in the MTHFR gene may have a reduced risk of strokes caused by low levels of folate intake.</w:t>
            </w:r>
            <w:r>
              <w:br/>
              <w:t>6. A study published in the journal Stroke in 2001 found that Chinese individuals with the TT genotype had a lower risk of stroke associated with low folate intake compared to those with other genotypes.</w:t>
            </w:r>
            <w:r>
              <w:br/>
              <w:t>7. Another study published in the American Journal of Clinical Nutrition in 2003 indicated that the TT genotype was associated with a reduced risk of thromboembolic stroke, specifically in Chinese men, when folate intake was low.</w:t>
            </w:r>
            <w:r>
              <w:br/>
              <w:t>8. However, it is important to note that the relationship between MTHFR gene variations, folate intake, and stroke risk is complex and can be influenced by several factors, including ethnicity and other genetic variations.</w:t>
            </w:r>
            <w:r>
              <w:br/>
              <w:t>9. Further research is needed to determine the precise mechanisms through which the MTHFR gene and folate intake interact to influence stroke vulnerability in different populations.</w:t>
            </w:r>
          </w:p>
        </w:tc>
      </w:tr>
      <w:tr w:rsidR="00933812" w14:paraId="049B6F95" w14:textId="77777777">
        <w:tc>
          <w:tcPr>
            <w:tcW w:w="4320" w:type="dxa"/>
          </w:tcPr>
          <w:p w14:paraId="19386CE6"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4B66708" w14:textId="10BF1614" w:rsidR="00933812" w:rsidRPr="004C2701" w:rsidRDefault="004C2701">
            <w:pPr>
              <w:rPr>
                <w:rFonts w:eastAsia="宋体"/>
                <w:lang w:eastAsia="zh-CN"/>
              </w:rPr>
            </w:pPr>
            <w:r>
              <w:rPr>
                <w:rFonts w:eastAsia="宋体" w:hint="eastAsia"/>
                <w:lang w:eastAsia="zh-CN"/>
              </w:rPr>
              <w:t>1</w:t>
            </w:r>
          </w:p>
        </w:tc>
      </w:tr>
      <w:tr w:rsidR="00933812" w14:paraId="21B2A43B" w14:textId="77777777">
        <w:tc>
          <w:tcPr>
            <w:tcW w:w="4320" w:type="dxa"/>
          </w:tcPr>
          <w:p w14:paraId="5A145A27" w14:textId="77777777" w:rsidR="00933812" w:rsidRDefault="00873D25">
            <w:r>
              <w:rPr>
                <w:rFonts w:ascii="仿宋" w:eastAsia="仿宋" w:hAnsi="仿宋"/>
              </w:rPr>
              <w:t>提取的事实</w:t>
            </w:r>
          </w:p>
        </w:tc>
        <w:tc>
          <w:tcPr>
            <w:tcW w:w="4320" w:type="dxa"/>
          </w:tcPr>
          <w:p w14:paraId="59D37EC1" w14:textId="77777777" w:rsidR="00933812" w:rsidRDefault="00873D25">
            <w:r>
              <w:t>1. The MTHFR gene is responsible for producing an enzyme called methylenetetrahydrofolate reductase, which plays a role in folate metabolism.</w:t>
            </w:r>
            <w:r>
              <w:br/>
              <w:t>2. Variations in the MTHFR gene, specifically the TT genotype, can lead to decreased enzyme activity and impaired folate metabolism.</w:t>
            </w:r>
            <w:r>
              <w:br/>
              <w:t>3. Folate is an nutrient that plays a role in various biological functions, including DNA synthesis and repair, homocysteine metabolism, and neurological health.</w:t>
            </w:r>
            <w:r>
              <w:br/>
              <w:t>4. Low levels of folate intake have been associated with an increased risk of strokes.</w:t>
            </w:r>
            <w:r>
              <w:br/>
              <w:t>5. The TT genotype was associated with a reduced risk of thromboembolic stroke, specifically in Chinese men, when folate intake was low according to a study published in the American Journal of Clinical Nutrition in 2003.</w:t>
            </w:r>
          </w:p>
        </w:tc>
      </w:tr>
      <w:tr w:rsidR="00933812" w14:paraId="72B2190F" w14:textId="77777777">
        <w:tc>
          <w:tcPr>
            <w:tcW w:w="4320" w:type="dxa"/>
          </w:tcPr>
          <w:p w14:paraId="5D533769"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C819807" w14:textId="07DD7F1A" w:rsidR="00933812" w:rsidRPr="00FC4B9C" w:rsidRDefault="00FC4B9C">
            <w:pPr>
              <w:rPr>
                <w:rFonts w:eastAsia="宋体"/>
                <w:lang w:eastAsia="zh-CN"/>
              </w:rPr>
            </w:pPr>
            <w:r>
              <w:rPr>
                <w:rFonts w:eastAsia="宋体" w:hint="eastAsia"/>
                <w:lang w:eastAsia="zh-CN"/>
              </w:rPr>
              <w:lastRenderedPageBreak/>
              <w:t>1</w:t>
            </w:r>
            <w:r>
              <w:rPr>
                <w:rFonts w:eastAsia="宋体"/>
                <w:lang w:eastAsia="zh-CN"/>
              </w:rPr>
              <w:t>,</w:t>
            </w:r>
            <w:r w:rsidR="00A76684">
              <w:rPr>
                <w:rFonts w:eastAsia="宋体"/>
                <w:lang w:eastAsia="zh-CN"/>
              </w:rPr>
              <w:t>1,</w:t>
            </w:r>
            <w:r w:rsidR="00AA1BA8">
              <w:rPr>
                <w:rFonts w:eastAsia="宋体"/>
                <w:lang w:eastAsia="zh-CN"/>
              </w:rPr>
              <w:t>1,</w:t>
            </w:r>
            <w:r w:rsidR="00E13039">
              <w:rPr>
                <w:rFonts w:eastAsia="宋体"/>
                <w:lang w:eastAsia="zh-CN"/>
              </w:rPr>
              <w:t>1,</w:t>
            </w:r>
            <w:r w:rsidR="00D04B3C">
              <w:rPr>
                <w:rFonts w:eastAsia="宋体" w:hint="eastAsia"/>
                <w:lang w:eastAsia="zh-CN"/>
              </w:rPr>
              <w:t>7</w:t>
            </w:r>
          </w:p>
        </w:tc>
      </w:tr>
    </w:tbl>
    <w:p w14:paraId="35785075"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48"/>
        <w:gridCol w:w="5982"/>
      </w:tblGrid>
      <w:tr w:rsidR="00933812" w14:paraId="32E33966" w14:textId="77777777">
        <w:tc>
          <w:tcPr>
            <w:tcW w:w="4320" w:type="dxa"/>
          </w:tcPr>
          <w:p w14:paraId="63B363A8" w14:textId="77777777" w:rsidR="00933812" w:rsidRDefault="00873D25">
            <w:r>
              <w:t>ID</w:t>
            </w:r>
          </w:p>
        </w:tc>
        <w:tc>
          <w:tcPr>
            <w:tcW w:w="10080" w:type="dxa"/>
          </w:tcPr>
          <w:p w14:paraId="740304FC" w14:textId="77777777" w:rsidR="00933812" w:rsidRDefault="00873D25">
            <w:r>
              <w:t>156(20)</w:t>
            </w:r>
          </w:p>
        </w:tc>
      </w:tr>
      <w:tr w:rsidR="00933812" w14:paraId="0240A0B5" w14:textId="77777777">
        <w:tc>
          <w:tcPr>
            <w:tcW w:w="4320" w:type="dxa"/>
          </w:tcPr>
          <w:p w14:paraId="521DCFA7" w14:textId="77777777" w:rsidR="00933812" w:rsidRDefault="00873D25">
            <w:r>
              <w:rPr>
                <w:rFonts w:ascii="仿宋" w:eastAsia="仿宋" w:hAnsi="仿宋"/>
              </w:rPr>
              <w:t>领域</w:t>
            </w:r>
          </w:p>
        </w:tc>
        <w:tc>
          <w:tcPr>
            <w:tcW w:w="4320" w:type="dxa"/>
          </w:tcPr>
          <w:p w14:paraId="5CB40C16" w14:textId="77777777" w:rsidR="00933812" w:rsidRDefault="00873D25">
            <w:r>
              <w:t>Science</w:t>
            </w:r>
          </w:p>
        </w:tc>
      </w:tr>
      <w:tr w:rsidR="00933812" w14:paraId="143E574C" w14:textId="77777777">
        <w:tc>
          <w:tcPr>
            <w:tcW w:w="4320" w:type="dxa"/>
          </w:tcPr>
          <w:p w14:paraId="0461E4C6" w14:textId="77777777" w:rsidR="00933812" w:rsidRDefault="00873D25">
            <w:r>
              <w:rPr>
                <w:rFonts w:ascii="仿宋" w:eastAsia="仿宋" w:hAnsi="仿宋"/>
              </w:rPr>
              <w:t>用户问题</w:t>
            </w:r>
          </w:p>
        </w:tc>
        <w:tc>
          <w:tcPr>
            <w:tcW w:w="4320" w:type="dxa"/>
          </w:tcPr>
          <w:p w14:paraId="3A922911" w14:textId="77777777" w:rsidR="00933812" w:rsidRDefault="00873D25">
            <w:r>
              <w:t>Do you agree with the claim that "Clathrin stabilizes the spindle fiber apparatus during mitosis."? Provide factual statements about the claim.</w:t>
            </w:r>
          </w:p>
        </w:tc>
      </w:tr>
      <w:tr w:rsidR="00933812" w14:paraId="0D6B4233" w14:textId="77777777">
        <w:tc>
          <w:tcPr>
            <w:tcW w:w="4320" w:type="dxa"/>
          </w:tcPr>
          <w:p w14:paraId="36A7B8E8"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B6D5BE5" w14:textId="691E2BC1" w:rsidR="00933812" w:rsidRPr="00410CCE" w:rsidRDefault="00410CCE">
            <w:pPr>
              <w:rPr>
                <w:rFonts w:eastAsia="宋体"/>
                <w:lang w:eastAsia="zh-CN"/>
              </w:rPr>
            </w:pPr>
            <w:r>
              <w:rPr>
                <w:rFonts w:eastAsia="宋体" w:hint="eastAsia"/>
                <w:lang w:eastAsia="zh-CN"/>
              </w:rPr>
              <w:t>3</w:t>
            </w:r>
            <w:r>
              <w:rPr>
                <w:rFonts w:eastAsia="宋体"/>
                <w:lang w:eastAsia="zh-CN"/>
              </w:rPr>
              <w:t>,5,5</w:t>
            </w:r>
          </w:p>
        </w:tc>
      </w:tr>
      <w:tr w:rsidR="00933812" w14:paraId="7AB1C3DB" w14:textId="77777777">
        <w:tc>
          <w:tcPr>
            <w:tcW w:w="4320" w:type="dxa"/>
          </w:tcPr>
          <w:p w14:paraId="66D7687B" w14:textId="77777777" w:rsidR="00933812" w:rsidRDefault="00873D25">
            <w:r>
              <w:rPr>
                <w:rFonts w:ascii="仿宋" w:eastAsia="仿宋" w:hAnsi="仿宋"/>
              </w:rPr>
              <w:t>模型回复</w:t>
            </w:r>
          </w:p>
        </w:tc>
        <w:tc>
          <w:tcPr>
            <w:tcW w:w="4320" w:type="dxa"/>
          </w:tcPr>
          <w:p w14:paraId="70D01B3C" w14:textId="77777777" w:rsidR="00933812" w:rsidRDefault="00873D25">
            <w:r>
              <w:t>As an AI language model, I can provide information about clathrin and its role during mitosis, but I cannot form personal opinions or claim agreement or disagreement.</w:t>
            </w:r>
            <w:r>
              <w:br/>
              <w:t>Claim: "Clathrin stabilizes the spindle fiber apparatus during mitosis."</w:t>
            </w:r>
            <w:r>
              <w:br/>
              <w:t>Factual statements about the claim:</w:t>
            </w:r>
            <w:r>
              <w:br/>
              <w:t>1. Clathrin is a protein that plays a crucial role in intracellular vesicle formation and trafficking.</w:t>
            </w:r>
            <w:r>
              <w:br/>
              <w:t>2. During mitosis, the spindle fiber apparatus is responsible for separating chromosomes during cell division.</w:t>
            </w:r>
            <w:r>
              <w:br/>
              <w:t>3. Clathrin has been observed to associate with the mitotic spindle and certain regions of the centrosomes, which are involved in spindle formation.</w:t>
            </w:r>
            <w:r>
              <w:br/>
              <w:t>4. In a study published in the Journal of Cell Science in 2013, researchers investigated the role of clathrin in mitosis using RNA interference (RNAi) to inhibit clathrin expression. They reported that the absence of clathrin resulted in abnormal spindle morphology, causing errors in chromosome segregation.</w:t>
            </w:r>
            <w:r>
              <w:br/>
              <w:t>5. Another study published in Developmental Cell in 2020 found that clathrin interacts with the cytokinetic machinery and influences the proper assembly of the mitotic spindle, contributing to accurate chromosome segregation.</w:t>
            </w:r>
            <w:r>
              <w:br/>
              <w:t>6. During mitosis, clathrin has been shown to accumulate at the spindle poles and centromeric regions, overlapping with key spindle assembly factors.</w:t>
            </w:r>
            <w:r>
              <w:br/>
              <w:t>7. Clathrin depletion or disruption can affect mitotic spindle stability, leading to aberrant mitotic progression and potentially causing genetic instability.</w:t>
            </w:r>
            <w:r>
              <w:br/>
              <w:t>While these statements indicate a potential role of clathrin in stabilizing the spindle apparatus during mitosis, further research is necessary to fully understand the mechanisms and dynamics of this interaction.</w:t>
            </w:r>
          </w:p>
        </w:tc>
      </w:tr>
      <w:tr w:rsidR="00933812" w14:paraId="76B94D9F" w14:textId="77777777">
        <w:tc>
          <w:tcPr>
            <w:tcW w:w="4320" w:type="dxa"/>
          </w:tcPr>
          <w:p w14:paraId="10B39A87"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53BEB28" w14:textId="741CC08F" w:rsidR="00933812" w:rsidRPr="00F329CE" w:rsidRDefault="00F329CE">
            <w:pPr>
              <w:rPr>
                <w:rFonts w:eastAsia="宋体"/>
                <w:lang w:eastAsia="zh-CN"/>
              </w:rPr>
            </w:pPr>
            <w:r>
              <w:rPr>
                <w:rFonts w:eastAsia="宋体" w:hint="eastAsia"/>
                <w:lang w:eastAsia="zh-CN"/>
              </w:rPr>
              <w:t>1</w:t>
            </w:r>
          </w:p>
        </w:tc>
      </w:tr>
      <w:tr w:rsidR="00933812" w14:paraId="45E6748C" w14:textId="77777777">
        <w:tc>
          <w:tcPr>
            <w:tcW w:w="4320" w:type="dxa"/>
          </w:tcPr>
          <w:p w14:paraId="3DE3C2C6" w14:textId="77777777" w:rsidR="00933812" w:rsidRDefault="00873D25">
            <w:r>
              <w:rPr>
                <w:rFonts w:ascii="仿宋" w:eastAsia="仿宋" w:hAnsi="仿宋"/>
              </w:rPr>
              <w:t>提取的事实</w:t>
            </w:r>
          </w:p>
        </w:tc>
        <w:tc>
          <w:tcPr>
            <w:tcW w:w="4320" w:type="dxa"/>
          </w:tcPr>
          <w:p w14:paraId="65B40310" w14:textId="77777777" w:rsidR="00933812" w:rsidRDefault="00873D25">
            <w:r>
              <w:t>1. Clathrin is a protein that plays significant roles in intracellular vesicle formation and trafficking.</w:t>
            </w:r>
            <w:r>
              <w:br/>
              <w:t>2. The spindle fiber apparatus is responsible for separating chromosomes during cell division.</w:t>
            </w:r>
            <w:r>
              <w:br/>
              <w:t>3. Clathrin is associated with the mitotic spindle and centrosomes during mitosis.</w:t>
            </w:r>
            <w:r>
              <w:br/>
              <w:t>4. A 2013 study in the Journal of Cell Science reported errors in chromosome segregation due to abnormal spindle morphology when clathrin expression was inhibited.</w:t>
            </w:r>
            <w:r>
              <w:br/>
              <w:t>5. A 2020 study in Developmental Cell found that clathrin interacts with cytokinetic machinery, affecting the proper assembly of the mitotic spindle and thereby contributing to accurate chromosome segregation.</w:t>
            </w:r>
          </w:p>
        </w:tc>
      </w:tr>
      <w:tr w:rsidR="00933812" w14:paraId="0AF565C5" w14:textId="77777777">
        <w:tc>
          <w:tcPr>
            <w:tcW w:w="4320" w:type="dxa"/>
          </w:tcPr>
          <w:p w14:paraId="351202BD"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EFFEB5F" w14:textId="4678FFE5" w:rsidR="00933812" w:rsidRPr="004E3E66" w:rsidRDefault="004E3E66">
            <w:pPr>
              <w:rPr>
                <w:rFonts w:eastAsia="宋体"/>
                <w:lang w:eastAsia="zh-CN"/>
              </w:rPr>
            </w:pPr>
            <w:r>
              <w:rPr>
                <w:rFonts w:eastAsia="宋体" w:hint="eastAsia"/>
                <w:lang w:eastAsia="zh-CN"/>
              </w:rPr>
              <w:t>1</w:t>
            </w:r>
            <w:r w:rsidR="001830FE">
              <w:rPr>
                <w:rFonts w:eastAsia="宋体"/>
                <w:lang w:eastAsia="zh-CN"/>
              </w:rPr>
              <w:t>,</w:t>
            </w:r>
            <w:r w:rsidR="00F2228E">
              <w:rPr>
                <w:rFonts w:eastAsia="宋体"/>
                <w:lang w:eastAsia="zh-CN"/>
              </w:rPr>
              <w:t>1,</w:t>
            </w:r>
            <w:r w:rsidR="00F17847">
              <w:rPr>
                <w:rFonts w:eastAsia="宋体"/>
                <w:lang w:eastAsia="zh-CN"/>
              </w:rPr>
              <w:t>1,</w:t>
            </w:r>
            <w:r w:rsidR="00A402DC">
              <w:rPr>
                <w:rFonts w:eastAsia="宋体"/>
                <w:lang w:eastAsia="zh-CN"/>
              </w:rPr>
              <w:t>7,</w:t>
            </w:r>
            <w:r w:rsidR="00294FCA">
              <w:rPr>
                <w:rFonts w:eastAsia="宋体"/>
                <w:lang w:eastAsia="zh-CN"/>
              </w:rPr>
              <w:t>7</w:t>
            </w:r>
          </w:p>
        </w:tc>
      </w:tr>
    </w:tbl>
    <w:p w14:paraId="034DEA45"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64"/>
        <w:gridCol w:w="5966"/>
      </w:tblGrid>
      <w:tr w:rsidR="00933812" w14:paraId="3A816D6D" w14:textId="77777777">
        <w:tc>
          <w:tcPr>
            <w:tcW w:w="4320" w:type="dxa"/>
          </w:tcPr>
          <w:p w14:paraId="5F211947" w14:textId="77777777" w:rsidR="00933812" w:rsidRDefault="00873D25">
            <w:r>
              <w:t>ID</w:t>
            </w:r>
          </w:p>
        </w:tc>
        <w:tc>
          <w:tcPr>
            <w:tcW w:w="10080" w:type="dxa"/>
          </w:tcPr>
          <w:p w14:paraId="13D3AC30" w14:textId="77777777" w:rsidR="00933812" w:rsidRDefault="00873D25">
            <w:r>
              <w:t>157(21)</w:t>
            </w:r>
          </w:p>
        </w:tc>
      </w:tr>
      <w:tr w:rsidR="00933812" w14:paraId="0E114209" w14:textId="77777777">
        <w:tc>
          <w:tcPr>
            <w:tcW w:w="4320" w:type="dxa"/>
          </w:tcPr>
          <w:p w14:paraId="124FCD16" w14:textId="77777777" w:rsidR="00933812" w:rsidRDefault="00873D25">
            <w:r>
              <w:rPr>
                <w:rFonts w:ascii="仿宋" w:eastAsia="仿宋" w:hAnsi="仿宋"/>
              </w:rPr>
              <w:t>领域</w:t>
            </w:r>
          </w:p>
        </w:tc>
        <w:tc>
          <w:tcPr>
            <w:tcW w:w="4320" w:type="dxa"/>
          </w:tcPr>
          <w:p w14:paraId="1A7B7A58" w14:textId="77777777" w:rsidR="00933812" w:rsidRDefault="00873D25">
            <w:r>
              <w:t>Science</w:t>
            </w:r>
          </w:p>
        </w:tc>
      </w:tr>
      <w:tr w:rsidR="00933812" w14:paraId="1D4EF8E5" w14:textId="77777777">
        <w:tc>
          <w:tcPr>
            <w:tcW w:w="4320" w:type="dxa"/>
          </w:tcPr>
          <w:p w14:paraId="471F125C" w14:textId="77777777" w:rsidR="00933812" w:rsidRDefault="00873D25">
            <w:r>
              <w:rPr>
                <w:rFonts w:ascii="仿宋" w:eastAsia="仿宋" w:hAnsi="仿宋"/>
              </w:rPr>
              <w:t>用户问题</w:t>
            </w:r>
          </w:p>
        </w:tc>
        <w:tc>
          <w:tcPr>
            <w:tcW w:w="4320" w:type="dxa"/>
          </w:tcPr>
          <w:p w14:paraId="0E102B04" w14:textId="77777777" w:rsidR="00933812" w:rsidRDefault="00873D25">
            <w:r>
              <w:t>What is the validity of the assertion that "Cnn1 recruitment varies with cell cycle timing."? Outline fact-based statements about the assertion.</w:t>
            </w:r>
          </w:p>
        </w:tc>
      </w:tr>
      <w:tr w:rsidR="00933812" w14:paraId="68C5FA7A" w14:textId="77777777">
        <w:tc>
          <w:tcPr>
            <w:tcW w:w="4320" w:type="dxa"/>
          </w:tcPr>
          <w:p w14:paraId="79AF24C2"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F220FD3" w14:textId="1BB341C3" w:rsidR="00933812" w:rsidRPr="00E34BCA" w:rsidRDefault="00E34BCA">
            <w:pPr>
              <w:rPr>
                <w:rFonts w:eastAsia="宋体"/>
                <w:lang w:eastAsia="zh-CN"/>
              </w:rPr>
            </w:pPr>
            <w:r>
              <w:rPr>
                <w:rFonts w:eastAsia="宋体" w:hint="eastAsia"/>
                <w:lang w:eastAsia="zh-CN"/>
              </w:rPr>
              <w:t>5</w:t>
            </w:r>
            <w:r>
              <w:rPr>
                <w:rFonts w:eastAsia="宋体"/>
                <w:lang w:eastAsia="zh-CN"/>
              </w:rPr>
              <w:t>,</w:t>
            </w:r>
            <w:r w:rsidR="004E4159">
              <w:rPr>
                <w:rFonts w:eastAsia="宋体"/>
                <w:lang w:eastAsia="zh-CN"/>
              </w:rPr>
              <w:t>5</w:t>
            </w:r>
            <w:r>
              <w:rPr>
                <w:rFonts w:eastAsia="宋体"/>
                <w:lang w:eastAsia="zh-CN"/>
              </w:rPr>
              <w:t>,</w:t>
            </w:r>
            <w:r w:rsidR="00617677">
              <w:rPr>
                <w:rFonts w:eastAsia="宋体"/>
                <w:lang w:eastAsia="zh-CN"/>
              </w:rPr>
              <w:t>5</w:t>
            </w:r>
          </w:p>
        </w:tc>
      </w:tr>
      <w:tr w:rsidR="00933812" w14:paraId="167DED9E" w14:textId="77777777">
        <w:tc>
          <w:tcPr>
            <w:tcW w:w="4320" w:type="dxa"/>
          </w:tcPr>
          <w:p w14:paraId="0E26F895" w14:textId="77777777" w:rsidR="00933812" w:rsidRDefault="00873D25">
            <w:r>
              <w:rPr>
                <w:rFonts w:ascii="仿宋" w:eastAsia="仿宋" w:hAnsi="仿宋"/>
              </w:rPr>
              <w:t>模型回复</w:t>
            </w:r>
          </w:p>
        </w:tc>
        <w:tc>
          <w:tcPr>
            <w:tcW w:w="4320" w:type="dxa"/>
          </w:tcPr>
          <w:p w14:paraId="081B32F1" w14:textId="77777777" w:rsidR="00933812" w:rsidRDefault="00873D25">
            <w:r>
              <w:t>The assertion that "Cnn1 recruitment varies with cell cycle timing" is fact-based and supported by several studies and observations in the field of cell biology. Here are some fact-based statements about this assertion:</w:t>
            </w:r>
            <w:r>
              <w:br/>
              <w:t>1. Role of Cnn1: Cnn1 (Centromere protein N) is a conserved protein involved in the assembly and organization of the centromere, a crucial structure for proper chromosome segregation during cell division.</w:t>
            </w:r>
            <w:r>
              <w:br/>
              <w:t xml:space="preserve">2. Cell Cycle Timing: The cell cycle is a highly regulated series </w:t>
            </w:r>
            <w:r>
              <w:lastRenderedPageBreak/>
              <w:t>of events that cells undergo to replicate their DNA and divide. It consists of several distinct phases, including G1 (Gap 1), S (DNA synthesis), G2 (Gap 2), and mitosis (M phase).</w:t>
            </w:r>
            <w:r>
              <w:br/>
              <w:t>3. Dynamic Localization: Research has shown that Cnn1 exhibits dynamic changes in its subcellular localization throughout the cell cycle. Several studies have observed variations in the recruitment or abundance of Cnn1 at the centromeres during different cell cycle stages.</w:t>
            </w:r>
            <w:r>
              <w:br/>
              <w:t>4. Prophase to Anaphase Transition: Cnn1 recruitment at the centromere is crucial for the formation of a fully functional kinetochore, a protein complex that binds to the centromere and interacts with the microtubules during chromosome segregation. Studies have reported that Cnn1 recruitment is low during early phases of the cell cycle (such as G1 and G2) but significantly increases from prophase to anaphase, coinciding with kinetochore assembly and spindle attachment.</w:t>
            </w:r>
            <w:r>
              <w:br/>
              <w:t>5. Regulation by CDK Activity: It has been observed that Cnn1 recruitment and the subsequent assembly of the kinetochore are regulated by cyclin-dependent kinase (CDK) activity, which controls various aspects of the cell cycle. Specifically, the activation of CDK during mitosis triggers the recruitment of Cnn1 to the centromere.</w:t>
            </w:r>
            <w:r>
              <w:br/>
              <w:t>6. Importance for Chromosome Segregation: The proper timing and regulation of Cnn1 recruitment are critical for accurate chromosome segregation during cell division. Perturbations in Cnn1 recruitment can lead to defective kinetochores, resulting in chromosomal instability and potentially leading to diseases such as cancer.</w:t>
            </w:r>
            <w:r>
              <w:br/>
              <w:t>In summary, the assertion that "Cnn1 recruitment varies with cell cycle timing" is supported by scientific evidence and observations, illustrating the importance of this protein's recruitment at different phases of the cell cycle for proper chromosome segregation.</w:t>
            </w:r>
          </w:p>
        </w:tc>
      </w:tr>
      <w:tr w:rsidR="00933812" w14:paraId="1F298698" w14:textId="77777777">
        <w:tc>
          <w:tcPr>
            <w:tcW w:w="4320" w:type="dxa"/>
          </w:tcPr>
          <w:p w14:paraId="7811845C"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30FC5F1" w14:textId="27C76515" w:rsidR="00933812" w:rsidRPr="00551089" w:rsidRDefault="00551089">
            <w:pPr>
              <w:rPr>
                <w:rFonts w:eastAsia="宋体"/>
                <w:lang w:eastAsia="zh-CN"/>
              </w:rPr>
            </w:pPr>
            <w:r>
              <w:rPr>
                <w:rFonts w:eastAsia="宋体" w:hint="eastAsia"/>
                <w:lang w:eastAsia="zh-CN"/>
              </w:rPr>
              <w:t>1</w:t>
            </w:r>
          </w:p>
        </w:tc>
      </w:tr>
      <w:tr w:rsidR="00933812" w14:paraId="2FCF80B0" w14:textId="77777777">
        <w:tc>
          <w:tcPr>
            <w:tcW w:w="4320" w:type="dxa"/>
          </w:tcPr>
          <w:p w14:paraId="171D391B" w14:textId="77777777" w:rsidR="00933812" w:rsidRDefault="00873D25">
            <w:r>
              <w:rPr>
                <w:rFonts w:ascii="仿宋" w:eastAsia="仿宋" w:hAnsi="仿宋"/>
              </w:rPr>
              <w:t>提取的事实</w:t>
            </w:r>
          </w:p>
        </w:tc>
        <w:tc>
          <w:tcPr>
            <w:tcW w:w="4320" w:type="dxa"/>
          </w:tcPr>
          <w:p w14:paraId="57248A03" w14:textId="77777777" w:rsidR="00933812" w:rsidRDefault="00873D25">
            <w:r>
              <w:t>1. Cnn1 (Centromere protein N) is involved in the assembly and organization of the centromere, a crucial structure for proper chromosome segregation during cell division.</w:t>
            </w:r>
            <w:r>
              <w:br/>
              <w:t>2. The cell cycle consists of several distinct phases, including G1 (Gap 1), S (DNA synthesis), G2 (Gap 2), and mitosis (M phase).</w:t>
            </w:r>
            <w:r>
              <w:br/>
              <w:t>3. Cnn1 exhibits dynamic changes in its subcellular localization throughout the cell cycle. Several studies have observed variations in the recruitment of Cnn1 at the centromeres during different cell cycle stages.</w:t>
            </w:r>
            <w:r>
              <w:br/>
              <w:t xml:space="preserve">4. Cnn1 recruitment is low during early phases of the cell </w:t>
            </w:r>
            <w:r>
              <w:lastRenderedPageBreak/>
              <w:t>cycle (such as G1 and G2) but significantly increases from prophase to anaphase, this correlates with the formation of a fully functional kinetochore and spindle attachment.</w:t>
            </w:r>
            <w:r>
              <w:br/>
              <w:t>5. The recruitment of Cnn1 and the assembly of the kinetochore are regulated by cyclin-dependent kinase (CDK) activity, which controls various aspects of the cell cycle. The activation of CDK during mitosis triggers the recruitment of Cnn1 to the centromere.</w:t>
            </w:r>
          </w:p>
        </w:tc>
      </w:tr>
      <w:tr w:rsidR="00933812" w14:paraId="77B4964D" w14:textId="77777777">
        <w:tc>
          <w:tcPr>
            <w:tcW w:w="4320" w:type="dxa"/>
          </w:tcPr>
          <w:p w14:paraId="4688B37C"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55A63D5" w14:textId="749E3B3D" w:rsidR="00933812" w:rsidRPr="00B76B1F" w:rsidRDefault="00B76B1F">
            <w:pPr>
              <w:rPr>
                <w:rFonts w:eastAsia="宋体"/>
                <w:lang w:eastAsia="zh-CN"/>
              </w:rPr>
            </w:pPr>
            <w:r>
              <w:rPr>
                <w:rFonts w:eastAsia="宋体"/>
                <w:lang w:eastAsia="zh-CN"/>
              </w:rPr>
              <w:t>1,</w:t>
            </w:r>
            <w:r w:rsidR="009157A6">
              <w:rPr>
                <w:rFonts w:eastAsia="宋体"/>
                <w:lang w:eastAsia="zh-CN"/>
              </w:rPr>
              <w:t>1,</w:t>
            </w:r>
            <w:r w:rsidR="00844F7C">
              <w:rPr>
                <w:rFonts w:eastAsia="宋体"/>
                <w:lang w:eastAsia="zh-CN"/>
              </w:rPr>
              <w:t>1,</w:t>
            </w:r>
            <w:r w:rsidR="005258D6">
              <w:rPr>
                <w:rFonts w:eastAsia="宋体"/>
                <w:lang w:eastAsia="zh-CN"/>
              </w:rPr>
              <w:t>7</w:t>
            </w:r>
            <w:r w:rsidR="00646B4C">
              <w:rPr>
                <w:rFonts w:eastAsia="宋体"/>
                <w:lang w:eastAsia="zh-CN"/>
              </w:rPr>
              <w:t>,</w:t>
            </w:r>
            <w:r w:rsidR="00CE7A92">
              <w:rPr>
                <w:rFonts w:eastAsia="宋体"/>
                <w:lang w:eastAsia="zh-CN"/>
              </w:rPr>
              <w:t>7</w:t>
            </w:r>
          </w:p>
        </w:tc>
      </w:tr>
    </w:tbl>
    <w:p w14:paraId="65F70374" w14:textId="03444214" w:rsidR="00933812" w:rsidRDefault="00646B4C">
      <w:pPr>
        <w:rPr>
          <w:lang w:eastAsia="zh-CN"/>
        </w:rPr>
      </w:pPr>
      <w:r>
        <w:rPr>
          <w:lang w:eastAsia="zh-CN"/>
        </w:rPr>
        <w:t>,</w:t>
      </w:r>
      <w:r w:rsidR="00873D25">
        <w:rPr>
          <w:lang w:eastAsia="zh-CN"/>
        </w:rPr>
        <w:br/>
      </w:r>
    </w:p>
    <w:tbl>
      <w:tblPr>
        <w:tblStyle w:val="aff1"/>
        <w:tblW w:w="0" w:type="auto"/>
        <w:tblLook w:val="04A0" w:firstRow="1" w:lastRow="0" w:firstColumn="1" w:lastColumn="0" w:noHBand="0" w:noVBand="1"/>
      </w:tblPr>
      <w:tblGrid>
        <w:gridCol w:w="2654"/>
        <w:gridCol w:w="5976"/>
      </w:tblGrid>
      <w:tr w:rsidR="00933812" w14:paraId="5BB2CFB4" w14:textId="77777777">
        <w:tc>
          <w:tcPr>
            <w:tcW w:w="4320" w:type="dxa"/>
          </w:tcPr>
          <w:p w14:paraId="504C602B" w14:textId="77777777" w:rsidR="00933812" w:rsidRDefault="00873D25">
            <w:r>
              <w:t>ID</w:t>
            </w:r>
          </w:p>
        </w:tc>
        <w:tc>
          <w:tcPr>
            <w:tcW w:w="10080" w:type="dxa"/>
          </w:tcPr>
          <w:p w14:paraId="1D122219" w14:textId="77777777" w:rsidR="00933812" w:rsidRDefault="00873D25">
            <w:r>
              <w:t>160(22)</w:t>
            </w:r>
          </w:p>
        </w:tc>
      </w:tr>
      <w:tr w:rsidR="00933812" w14:paraId="28DD1AFC" w14:textId="77777777">
        <w:tc>
          <w:tcPr>
            <w:tcW w:w="4320" w:type="dxa"/>
          </w:tcPr>
          <w:p w14:paraId="75D71630" w14:textId="77777777" w:rsidR="00933812" w:rsidRDefault="00873D25">
            <w:r>
              <w:rPr>
                <w:rFonts w:ascii="仿宋" w:eastAsia="仿宋" w:hAnsi="仿宋"/>
              </w:rPr>
              <w:t>领域</w:t>
            </w:r>
          </w:p>
        </w:tc>
        <w:tc>
          <w:tcPr>
            <w:tcW w:w="4320" w:type="dxa"/>
          </w:tcPr>
          <w:p w14:paraId="577B1B8F" w14:textId="77777777" w:rsidR="00933812" w:rsidRDefault="00873D25">
            <w:r>
              <w:t>Science</w:t>
            </w:r>
          </w:p>
        </w:tc>
      </w:tr>
      <w:tr w:rsidR="00933812" w14:paraId="557C08E6" w14:textId="77777777">
        <w:tc>
          <w:tcPr>
            <w:tcW w:w="4320" w:type="dxa"/>
          </w:tcPr>
          <w:p w14:paraId="45610DD0" w14:textId="77777777" w:rsidR="00933812" w:rsidRDefault="00873D25">
            <w:r>
              <w:rPr>
                <w:rFonts w:ascii="仿宋" w:eastAsia="仿宋" w:hAnsi="仿宋"/>
              </w:rPr>
              <w:t>用户问题</w:t>
            </w:r>
          </w:p>
        </w:tc>
        <w:tc>
          <w:tcPr>
            <w:tcW w:w="4320" w:type="dxa"/>
          </w:tcPr>
          <w:p w14:paraId="375BBD5A" w14:textId="77777777" w:rsidR="00933812" w:rsidRDefault="00873D25">
            <w:r>
              <w:t>Consider the following statement: "Commelina yellow mottle virus (ComYMV) has three typical badnavirus ORFs, capable of encoding proteins 23, 15, and 216 kD." Is it right? Present fact-based arguments about the statement.</w:t>
            </w:r>
          </w:p>
        </w:tc>
      </w:tr>
      <w:tr w:rsidR="00933812" w14:paraId="076A6AA0" w14:textId="77777777">
        <w:tc>
          <w:tcPr>
            <w:tcW w:w="4320" w:type="dxa"/>
          </w:tcPr>
          <w:p w14:paraId="126E4C47"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C7108C6" w14:textId="6C084CB1" w:rsidR="00933812" w:rsidRPr="00412A67" w:rsidRDefault="00DA0C02">
            <w:pPr>
              <w:rPr>
                <w:rFonts w:eastAsia="宋体"/>
                <w:lang w:eastAsia="zh-CN"/>
              </w:rPr>
            </w:pPr>
            <w:r>
              <w:rPr>
                <w:rFonts w:eastAsia="宋体" w:hint="eastAsia"/>
                <w:lang w:eastAsia="zh-CN"/>
              </w:rPr>
              <w:t>3</w:t>
            </w:r>
            <w:r>
              <w:rPr>
                <w:rFonts w:eastAsia="宋体"/>
                <w:lang w:eastAsia="zh-CN"/>
              </w:rPr>
              <w:t>,</w:t>
            </w:r>
            <w:r w:rsidR="009D3375">
              <w:rPr>
                <w:rFonts w:eastAsia="宋体"/>
                <w:lang w:eastAsia="zh-CN"/>
              </w:rPr>
              <w:t>4</w:t>
            </w:r>
            <w:r>
              <w:rPr>
                <w:rFonts w:eastAsia="宋体"/>
                <w:lang w:eastAsia="zh-CN"/>
              </w:rPr>
              <w:t>,5</w:t>
            </w:r>
          </w:p>
        </w:tc>
      </w:tr>
      <w:tr w:rsidR="00933812" w14:paraId="4BDD1FEE" w14:textId="77777777">
        <w:tc>
          <w:tcPr>
            <w:tcW w:w="4320" w:type="dxa"/>
          </w:tcPr>
          <w:p w14:paraId="188935AC" w14:textId="77777777" w:rsidR="00933812" w:rsidRDefault="00873D25">
            <w:r>
              <w:rPr>
                <w:rFonts w:ascii="仿宋" w:eastAsia="仿宋" w:hAnsi="仿宋"/>
              </w:rPr>
              <w:t>模型回复</w:t>
            </w:r>
          </w:p>
        </w:tc>
        <w:tc>
          <w:tcPr>
            <w:tcW w:w="4320" w:type="dxa"/>
          </w:tcPr>
          <w:p w14:paraId="62DCCE24" w14:textId="77777777" w:rsidR="00933812" w:rsidRDefault="00873D25">
            <w:r>
              <w:t>Based on the statement, the fact-based arguments are as follows:</w:t>
            </w:r>
            <w:r>
              <w:br/>
              <w:t>1. Commelina yellow mottle virus (ComYMV) is a known virus that belongs to the Badnavirus genus. This supports the claim that ComYMV is a badnavirus.</w:t>
            </w:r>
            <w:r>
              <w:br/>
              <w:t>2. Badnaviruses are characterized by their ability to encode several open reading frames (ORFs) within their genomes. The statement claims that ComYMV has three typical badnavirus ORFs, which aligns with the characteristic of badnaviruses.</w:t>
            </w:r>
            <w:r>
              <w:br/>
              <w:t>3. The statement suggests that these three ORFs are capable of encoding proteins with molecular weights of 23, 15, and 216 kD (kilodaltons). This implies that the respective proteins are synthesized from each ORF.</w:t>
            </w:r>
            <w:r>
              <w:br/>
              <w:t xml:space="preserve">Overall, the statement appears to be fact-based, highlighting the characteristics of Commelina yellow mottle virus as a </w:t>
            </w:r>
            <w:r>
              <w:lastRenderedPageBreak/>
              <w:t>badnavirus with three ORFs capable of encoding specific proteins.</w:t>
            </w:r>
          </w:p>
        </w:tc>
      </w:tr>
      <w:tr w:rsidR="00933812" w14:paraId="305949FF" w14:textId="77777777">
        <w:tc>
          <w:tcPr>
            <w:tcW w:w="4320" w:type="dxa"/>
          </w:tcPr>
          <w:p w14:paraId="7D1EDA07"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39F4651" w14:textId="424A28A9" w:rsidR="00933812" w:rsidRPr="008F625B" w:rsidRDefault="008F625B">
            <w:pPr>
              <w:rPr>
                <w:rFonts w:eastAsia="宋体"/>
                <w:lang w:eastAsia="zh-CN"/>
              </w:rPr>
            </w:pPr>
            <w:r>
              <w:rPr>
                <w:rFonts w:eastAsia="宋体" w:hint="eastAsia"/>
                <w:lang w:eastAsia="zh-CN"/>
              </w:rPr>
              <w:t>1</w:t>
            </w:r>
          </w:p>
        </w:tc>
      </w:tr>
      <w:tr w:rsidR="00933812" w14:paraId="046A59FB" w14:textId="77777777">
        <w:tc>
          <w:tcPr>
            <w:tcW w:w="4320" w:type="dxa"/>
          </w:tcPr>
          <w:p w14:paraId="6C789ACB" w14:textId="77777777" w:rsidR="00933812" w:rsidRDefault="00873D25">
            <w:r>
              <w:rPr>
                <w:rFonts w:ascii="仿宋" w:eastAsia="仿宋" w:hAnsi="仿宋"/>
              </w:rPr>
              <w:t>提取的事实</w:t>
            </w:r>
          </w:p>
        </w:tc>
        <w:tc>
          <w:tcPr>
            <w:tcW w:w="4320" w:type="dxa"/>
          </w:tcPr>
          <w:p w14:paraId="69D751CF" w14:textId="77777777" w:rsidR="00933812" w:rsidRDefault="00873D25">
            <w:r>
              <w:t>1. Commelina yellow mottle virus (ComYMV) is a virus that belongs to the Badnavirus genus.</w:t>
            </w:r>
            <w:r>
              <w:br/>
              <w:t>2. Badnaviruses are characterized by their ability to encode several open reading frames (ORFs) within their genomes.</w:t>
            </w:r>
            <w:r>
              <w:br/>
              <w:t>3. Commelina yellow mottle virus has three typical badnavirus ORFs, according to the statement.</w:t>
            </w:r>
            <w:r>
              <w:br/>
              <w:t>4. These ORFs of Commelina yellow mottle virus are capable of encoding proteins with molecular weights of 23, 15, and 216 kD (kilodaltons).</w:t>
            </w:r>
            <w:r>
              <w:br/>
              <w:t>5. The proteins synthesized from each ORF of Commelina yellow mottle virus refer to the respective proteins with the mentioned molecular weights.</w:t>
            </w:r>
          </w:p>
        </w:tc>
      </w:tr>
      <w:tr w:rsidR="00933812" w14:paraId="0158CD97" w14:textId="77777777">
        <w:tc>
          <w:tcPr>
            <w:tcW w:w="4320" w:type="dxa"/>
          </w:tcPr>
          <w:p w14:paraId="7F0A953F"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40C9263" w14:textId="0CD2919B" w:rsidR="00933812" w:rsidRPr="00A05921" w:rsidRDefault="00A05921">
            <w:pPr>
              <w:rPr>
                <w:rFonts w:eastAsia="宋体"/>
                <w:lang w:eastAsia="zh-CN"/>
              </w:rPr>
            </w:pPr>
            <w:r>
              <w:rPr>
                <w:rFonts w:eastAsia="宋体" w:hint="eastAsia"/>
                <w:lang w:eastAsia="zh-CN"/>
              </w:rPr>
              <w:t>1</w:t>
            </w:r>
            <w:r>
              <w:rPr>
                <w:rFonts w:eastAsia="宋体"/>
                <w:lang w:eastAsia="zh-CN"/>
              </w:rPr>
              <w:t>,</w:t>
            </w:r>
            <w:r w:rsidR="003B5CF6">
              <w:rPr>
                <w:rFonts w:eastAsia="宋体"/>
                <w:lang w:eastAsia="zh-CN"/>
              </w:rPr>
              <w:t>1,</w:t>
            </w:r>
            <w:r w:rsidR="00C34548">
              <w:rPr>
                <w:rFonts w:eastAsia="宋体"/>
                <w:lang w:eastAsia="zh-CN"/>
              </w:rPr>
              <w:t>8</w:t>
            </w:r>
            <w:r w:rsidR="00ED54BE">
              <w:rPr>
                <w:rFonts w:eastAsia="宋体"/>
                <w:lang w:eastAsia="zh-CN"/>
              </w:rPr>
              <w:t>,</w:t>
            </w:r>
            <w:r w:rsidR="00497739">
              <w:rPr>
                <w:rFonts w:eastAsia="宋体"/>
                <w:lang w:eastAsia="zh-CN"/>
              </w:rPr>
              <w:t>7,7</w:t>
            </w:r>
          </w:p>
        </w:tc>
      </w:tr>
    </w:tbl>
    <w:p w14:paraId="46D3C35E"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40"/>
        <w:gridCol w:w="5990"/>
      </w:tblGrid>
      <w:tr w:rsidR="00933812" w14:paraId="34DBC782" w14:textId="77777777">
        <w:tc>
          <w:tcPr>
            <w:tcW w:w="4320" w:type="dxa"/>
          </w:tcPr>
          <w:p w14:paraId="44FAB8C1" w14:textId="77777777" w:rsidR="00933812" w:rsidRDefault="00873D25">
            <w:r>
              <w:t>ID</w:t>
            </w:r>
          </w:p>
        </w:tc>
        <w:tc>
          <w:tcPr>
            <w:tcW w:w="10080" w:type="dxa"/>
          </w:tcPr>
          <w:p w14:paraId="618E8D9E" w14:textId="77777777" w:rsidR="00933812" w:rsidRDefault="00873D25">
            <w:r>
              <w:t>162(23)</w:t>
            </w:r>
          </w:p>
        </w:tc>
      </w:tr>
      <w:tr w:rsidR="00933812" w14:paraId="1AD9089D" w14:textId="77777777">
        <w:tc>
          <w:tcPr>
            <w:tcW w:w="4320" w:type="dxa"/>
          </w:tcPr>
          <w:p w14:paraId="6E818949" w14:textId="77777777" w:rsidR="00933812" w:rsidRDefault="00873D25">
            <w:r>
              <w:rPr>
                <w:rFonts w:ascii="仿宋" w:eastAsia="仿宋" w:hAnsi="仿宋"/>
              </w:rPr>
              <w:t>领域</w:t>
            </w:r>
          </w:p>
        </w:tc>
        <w:tc>
          <w:tcPr>
            <w:tcW w:w="4320" w:type="dxa"/>
          </w:tcPr>
          <w:p w14:paraId="7A7CA529" w14:textId="77777777" w:rsidR="00933812" w:rsidRDefault="00873D25">
            <w:r>
              <w:t>Science</w:t>
            </w:r>
          </w:p>
        </w:tc>
      </w:tr>
      <w:tr w:rsidR="00933812" w14:paraId="74E7377A" w14:textId="77777777">
        <w:tc>
          <w:tcPr>
            <w:tcW w:w="4320" w:type="dxa"/>
          </w:tcPr>
          <w:p w14:paraId="132C261C" w14:textId="77777777" w:rsidR="00933812" w:rsidRDefault="00873D25">
            <w:r>
              <w:rPr>
                <w:rFonts w:ascii="仿宋" w:eastAsia="仿宋" w:hAnsi="仿宋"/>
              </w:rPr>
              <w:t>用户问题</w:t>
            </w:r>
          </w:p>
        </w:tc>
        <w:tc>
          <w:tcPr>
            <w:tcW w:w="4320" w:type="dxa"/>
          </w:tcPr>
          <w:p w14:paraId="1FBEC70E" w14:textId="77777777" w:rsidR="00933812" w:rsidRDefault="00873D25">
            <w:r>
              <w:t>What is the validity of the assertion that "Comparative transcriptome analysis identified new platelet proteins with structural features suggesting a role in platelet function."? Outline fact-based statements about the assertion.</w:t>
            </w:r>
          </w:p>
        </w:tc>
      </w:tr>
      <w:tr w:rsidR="00933812" w14:paraId="51C6A7CA" w14:textId="77777777">
        <w:tc>
          <w:tcPr>
            <w:tcW w:w="4320" w:type="dxa"/>
          </w:tcPr>
          <w:p w14:paraId="654849E4"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147925C" w14:textId="78CF8ED9" w:rsidR="00933812" w:rsidRPr="006744CB" w:rsidRDefault="004F54AE">
            <w:pPr>
              <w:rPr>
                <w:rFonts w:eastAsia="宋体"/>
                <w:lang w:eastAsia="zh-CN"/>
              </w:rPr>
            </w:pPr>
            <w:r>
              <w:rPr>
                <w:rFonts w:eastAsia="宋体"/>
                <w:lang w:eastAsia="zh-CN"/>
              </w:rPr>
              <w:t>4</w:t>
            </w:r>
            <w:r w:rsidR="006744CB">
              <w:rPr>
                <w:rFonts w:eastAsia="宋体"/>
                <w:lang w:eastAsia="zh-CN"/>
              </w:rPr>
              <w:t>,</w:t>
            </w:r>
            <w:r w:rsidR="008C544A">
              <w:rPr>
                <w:rFonts w:eastAsia="宋体"/>
                <w:lang w:eastAsia="zh-CN"/>
              </w:rPr>
              <w:t>5,</w:t>
            </w:r>
            <w:r w:rsidR="00CA17A7">
              <w:rPr>
                <w:rFonts w:eastAsia="宋体"/>
                <w:lang w:eastAsia="zh-CN"/>
              </w:rPr>
              <w:t>5</w:t>
            </w:r>
          </w:p>
        </w:tc>
      </w:tr>
      <w:tr w:rsidR="00933812" w14:paraId="27E1171C" w14:textId="77777777">
        <w:tc>
          <w:tcPr>
            <w:tcW w:w="4320" w:type="dxa"/>
          </w:tcPr>
          <w:p w14:paraId="4D1FDE74" w14:textId="77777777" w:rsidR="00933812" w:rsidRDefault="00873D25">
            <w:r>
              <w:rPr>
                <w:rFonts w:ascii="仿宋" w:eastAsia="仿宋" w:hAnsi="仿宋"/>
              </w:rPr>
              <w:t>模型回复</w:t>
            </w:r>
          </w:p>
        </w:tc>
        <w:tc>
          <w:tcPr>
            <w:tcW w:w="4320" w:type="dxa"/>
          </w:tcPr>
          <w:p w14:paraId="5AA5DB76" w14:textId="77777777" w:rsidR="00933812" w:rsidRDefault="00873D25">
            <w:r>
              <w:t>1. The assertion states that a comparative transcriptome analysis was conducted.</w:t>
            </w:r>
            <w:r>
              <w:br/>
              <w:t>2. The analysis aimed to identify new platelet proteins.</w:t>
            </w:r>
            <w:r>
              <w:br/>
              <w:t>3. The identified proteins possess structural features that suggest their involvement in platelet function.</w:t>
            </w:r>
            <w:r>
              <w:br/>
              <w:t xml:space="preserve">4. The study suggests a correlation between the identified proteins' structural features and their role in platelet </w:t>
            </w:r>
            <w:r>
              <w:lastRenderedPageBreak/>
              <w:t>function.</w:t>
            </w:r>
            <w:r>
              <w:br/>
              <w:t>5. The term "comparative transcriptome analysis" implies that multiple transcriptomes were compared, likely from different platelet samples or conditions.</w:t>
            </w:r>
            <w:r>
              <w:br/>
              <w:t>6. The analysis likely involved the use of bioinformatics tools to compare and analyze transcriptome data.</w:t>
            </w:r>
            <w:r>
              <w:br/>
              <w:t>7. The identified proteins are potentially novel, meaning they have not been previously known or associated with platelet function.</w:t>
            </w:r>
            <w:r>
              <w:br/>
              <w:t>8. The presence of specific structural features in these proteins suggests their suitability for participation in platelet-specific processes.</w:t>
            </w:r>
            <w:r>
              <w:br/>
              <w:t>9. The assertion implies that these identified proteins may have important roles in platelet function that were previously unknown.</w:t>
            </w:r>
            <w:r>
              <w:br/>
              <w:t>10. Further studies and experiments are required to determine the exact nature and mechanisms of these newly identified platelet proteins.</w:t>
            </w:r>
          </w:p>
        </w:tc>
      </w:tr>
      <w:tr w:rsidR="00933812" w14:paraId="63E49883" w14:textId="77777777">
        <w:tc>
          <w:tcPr>
            <w:tcW w:w="4320" w:type="dxa"/>
          </w:tcPr>
          <w:p w14:paraId="01404D77"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AE87BDD" w14:textId="024B2474" w:rsidR="00933812" w:rsidRPr="00CA17A7" w:rsidRDefault="00CA17A7">
            <w:pPr>
              <w:rPr>
                <w:rFonts w:eastAsia="宋体"/>
                <w:lang w:eastAsia="zh-CN"/>
              </w:rPr>
            </w:pPr>
            <w:r>
              <w:rPr>
                <w:rFonts w:eastAsia="宋体" w:hint="eastAsia"/>
                <w:lang w:eastAsia="zh-CN"/>
              </w:rPr>
              <w:t>1</w:t>
            </w:r>
          </w:p>
        </w:tc>
      </w:tr>
      <w:tr w:rsidR="00933812" w14:paraId="47AE55D6" w14:textId="77777777">
        <w:tc>
          <w:tcPr>
            <w:tcW w:w="4320" w:type="dxa"/>
          </w:tcPr>
          <w:p w14:paraId="53BBCD04" w14:textId="77777777" w:rsidR="00933812" w:rsidRDefault="00873D25">
            <w:r>
              <w:rPr>
                <w:rFonts w:ascii="仿宋" w:eastAsia="仿宋" w:hAnsi="仿宋"/>
              </w:rPr>
              <w:t>提取的事实</w:t>
            </w:r>
          </w:p>
        </w:tc>
        <w:tc>
          <w:tcPr>
            <w:tcW w:w="4320" w:type="dxa"/>
          </w:tcPr>
          <w:p w14:paraId="66B4F881" w14:textId="77777777" w:rsidR="00933812" w:rsidRDefault="00873D25">
            <w:r>
              <w:t>1. A comparative transcriptome analysis was performed according to the assertion.</w:t>
            </w:r>
            <w:r>
              <w:br/>
              <w:t>2. The analysis aimed to discover new platelet proteins.</w:t>
            </w:r>
            <w:r>
              <w:br/>
              <w:t>3. The proteins identified have structural features indicating they could play a role in platelet function.</w:t>
            </w:r>
            <w:r>
              <w:br/>
              <w:t>4. The term "comparative transcriptome analysis" suggests that multiple transcriptomes, likely from different platelet samples or conditions, were compared.</w:t>
            </w:r>
            <w:r>
              <w:br/>
              <w:t>5. The analysis likely incorporated bioinformatics tools to analyze the transcriptome data.</w:t>
            </w:r>
          </w:p>
        </w:tc>
      </w:tr>
      <w:tr w:rsidR="00933812" w14:paraId="34648613" w14:textId="77777777">
        <w:tc>
          <w:tcPr>
            <w:tcW w:w="4320" w:type="dxa"/>
          </w:tcPr>
          <w:p w14:paraId="061FDEF1"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FB8821F" w14:textId="1CB1A49A" w:rsidR="00933812" w:rsidRPr="006A176C" w:rsidRDefault="006A176C">
            <w:pPr>
              <w:rPr>
                <w:rFonts w:eastAsia="宋体"/>
                <w:lang w:eastAsia="zh-CN"/>
              </w:rPr>
            </w:pPr>
            <w:r>
              <w:rPr>
                <w:rFonts w:eastAsia="宋体" w:hint="eastAsia"/>
                <w:lang w:eastAsia="zh-CN"/>
              </w:rPr>
              <w:t>8</w:t>
            </w:r>
            <w:r>
              <w:rPr>
                <w:rFonts w:eastAsia="宋体"/>
                <w:lang w:eastAsia="zh-CN"/>
              </w:rPr>
              <w:t>,</w:t>
            </w:r>
            <w:r w:rsidR="00E72C6B">
              <w:rPr>
                <w:rFonts w:eastAsia="宋体"/>
                <w:lang w:eastAsia="zh-CN"/>
              </w:rPr>
              <w:t>8,</w:t>
            </w:r>
            <w:r w:rsidR="00C10528">
              <w:rPr>
                <w:rFonts w:eastAsia="宋体"/>
                <w:lang w:eastAsia="zh-CN"/>
              </w:rPr>
              <w:t>8</w:t>
            </w:r>
            <w:r w:rsidR="0009339E">
              <w:rPr>
                <w:rFonts w:eastAsia="宋体"/>
                <w:lang w:eastAsia="zh-CN"/>
              </w:rPr>
              <w:t>,8,</w:t>
            </w:r>
            <w:r w:rsidR="001877E2">
              <w:rPr>
                <w:rFonts w:eastAsia="宋体"/>
                <w:lang w:eastAsia="zh-CN"/>
              </w:rPr>
              <w:t>8</w:t>
            </w:r>
          </w:p>
        </w:tc>
      </w:tr>
    </w:tbl>
    <w:p w14:paraId="0F786431"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51"/>
        <w:gridCol w:w="5979"/>
      </w:tblGrid>
      <w:tr w:rsidR="00933812" w14:paraId="6B6BF8A3" w14:textId="77777777">
        <w:tc>
          <w:tcPr>
            <w:tcW w:w="4320" w:type="dxa"/>
          </w:tcPr>
          <w:p w14:paraId="18A864C0" w14:textId="77777777" w:rsidR="00933812" w:rsidRDefault="00873D25">
            <w:r>
              <w:t>ID</w:t>
            </w:r>
          </w:p>
        </w:tc>
        <w:tc>
          <w:tcPr>
            <w:tcW w:w="10080" w:type="dxa"/>
          </w:tcPr>
          <w:p w14:paraId="0F2DCF07" w14:textId="77777777" w:rsidR="00933812" w:rsidRDefault="00873D25">
            <w:r>
              <w:t>174(24)</w:t>
            </w:r>
          </w:p>
        </w:tc>
      </w:tr>
      <w:tr w:rsidR="00933812" w14:paraId="45A241C7" w14:textId="77777777">
        <w:tc>
          <w:tcPr>
            <w:tcW w:w="4320" w:type="dxa"/>
          </w:tcPr>
          <w:p w14:paraId="282E6ECA" w14:textId="77777777" w:rsidR="00933812" w:rsidRDefault="00873D25">
            <w:r>
              <w:rPr>
                <w:rFonts w:ascii="仿宋" w:eastAsia="仿宋" w:hAnsi="仿宋"/>
              </w:rPr>
              <w:t>领域</w:t>
            </w:r>
          </w:p>
        </w:tc>
        <w:tc>
          <w:tcPr>
            <w:tcW w:w="4320" w:type="dxa"/>
          </w:tcPr>
          <w:p w14:paraId="185D12AD" w14:textId="77777777" w:rsidR="00933812" w:rsidRDefault="00873D25">
            <w:r>
              <w:t>Science</w:t>
            </w:r>
          </w:p>
        </w:tc>
      </w:tr>
      <w:tr w:rsidR="00933812" w14:paraId="321FF6D7" w14:textId="77777777">
        <w:tc>
          <w:tcPr>
            <w:tcW w:w="4320" w:type="dxa"/>
          </w:tcPr>
          <w:p w14:paraId="7CC23B58" w14:textId="77777777" w:rsidR="00933812" w:rsidRDefault="00873D25">
            <w:r>
              <w:rPr>
                <w:rFonts w:ascii="仿宋" w:eastAsia="仿宋" w:hAnsi="仿宋"/>
              </w:rPr>
              <w:lastRenderedPageBreak/>
              <w:t>用户问题</w:t>
            </w:r>
          </w:p>
        </w:tc>
        <w:tc>
          <w:tcPr>
            <w:tcW w:w="4320" w:type="dxa"/>
          </w:tcPr>
          <w:p w14:paraId="426B86D2" w14:textId="77777777" w:rsidR="00933812" w:rsidRDefault="00873D25">
            <w:r>
              <w:t>How truthful is the statement that "DMS3 protein enables Pol V transcription in vivo."? Present a series of factual points about the statement.</w:t>
            </w:r>
          </w:p>
        </w:tc>
      </w:tr>
      <w:tr w:rsidR="00933812" w14:paraId="5F232B1A" w14:textId="77777777">
        <w:tc>
          <w:tcPr>
            <w:tcW w:w="4320" w:type="dxa"/>
          </w:tcPr>
          <w:p w14:paraId="0F4D53B3"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490B958" w14:textId="551677A6" w:rsidR="00933812" w:rsidRPr="004D6BEE" w:rsidRDefault="004D6BEE">
            <w:pPr>
              <w:rPr>
                <w:rFonts w:eastAsia="宋体"/>
                <w:lang w:eastAsia="zh-CN"/>
              </w:rPr>
            </w:pPr>
            <w:r>
              <w:rPr>
                <w:rFonts w:eastAsia="宋体" w:hint="eastAsia"/>
                <w:lang w:eastAsia="zh-CN"/>
              </w:rPr>
              <w:t>4</w:t>
            </w:r>
            <w:r>
              <w:rPr>
                <w:rFonts w:eastAsia="宋体"/>
                <w:lang w:eastAsia="zh-CN"/>
              </w:rPr>
              <w:t>,</w:t>
            </w:r>
            <w:r w:rsidR="00C10528">
              <w:rPr>
                <w:rFonts w:eastAsia="宋体"/>
                <w:lang w:eastAsia="zh-CN"/>
              </w:rPr>
              <w:t>3</w:t>
            </w:r>
            <w:r w:rsidR="004D1D6E">
              <w:rPr>
                <w:rFonts w:eastAsia="宋体"/>
                <w:lang w:eastAsia="zh-CN"/>
              </w:rPr>
              <w:t>,5</w:t>
            </w:r>
          </w:p>
        </w:tc>
      </w:tr>
      <w:tr w:rsidR="00933812" w14:paraId="5025C851" w14:textId="77777777">
        <w:tc>
          <w:tcPr>
            <w:tcW w:w="4320" w:type="dxa"/>
          </w:tcPr>
          <w:p w14:paraId="63395EE2" w14:textId="77777777" w:rsidR="00933812" w:rsidRDefault="00873D25">
            <w:r>
              <w:rPr>
                <w:rFonts w:ascii="仿宋" w:eastAsia="仿宋" w:hAnsi="仿宋"/>
              </w:rPr>
              <w:t>模型回复</w:t>
            </w:r>
          </w:p>
        </w:tc>
        <w:tc>
          <w:tcPr>
            <w:tcW w:w="4320" w:type="dxa"/>
          </w:tcPr>
          <w:p w14:paraId="2AF9E729" w14:textId="77777777" w:rsidR="00933812" w:rsidRDefault="00873D25">
            <w:r>
              <w:t>1. The DMS3 protein is known to play a crucial role in the transcriptional process in plants, particularly in relation to the Pol V RNA polymerase enzyme.</w:t>
            </w:r>
            <w:r>
              <w:br/>
              <w:t>2. Pol V is an RNA polymerase enzyme found in plants that is involved in certain transcriptional processes, specifically related to the production of noncoding RNAs called long noncoding RNAs (lncRNAs).</w:t>
            </w:r>
            <w:r>
              <w:br/>
              <w:t>3. Numerous studies and experiments have indicated that DMS3 protein is required for the activation and functionality of Pol V in vivo, meaning within a living organism or cell.</w:t>
            </w:r>
            <w:r>
              <w:br/>
              <w:t>4. The absence or mutation of the DMS3 gene in plants has been shown to lead to a significant decrease in the transcriptional activity of Pol V, thereby affecting the synthesis of lncRNAs.</w:t>
            </w:r>
            <w:r>
              <w:br/>
              <w:t>5. Research has demonstrated that DMS3 directly interacts with the Pol V complex and contributes to its stability and proper positioning at target DNA loci, essential for transcription activity.</w:t>
            </w:r>
            <w:r>
              <w:br/>
              <w:t>6. In Arabidopsis thaliana, a commonly studied plant model organism, both DMS3 and Pol V have been extensively studied, and their connection in vivo has been well-established.</w:t>
            </w:r>
            <w:r>
              <w:br/>
              <w:t>7. The DMS3 protein has also been found to facilitate the recruitment of other proteins or factors necessary for the proper function of Pol V during transcription.</w:t>
            </w:r>
            <w:r>
              <w:br/>
              <w:t>8. Precise mechanisms of how exactly DMS3 enables Pol V transcription continue to be studied, but the overall consensus from current research strongly supports the notion that DMS3 is vital for Pol V activity in vivo.</w:t>
            </w:r>
            <w:r>
              <w:br/>
              <w:t>Overall, based on scientific studies and empirical evidence, it is accurate to state that the DMS3 protein enables Pol V transcription in vivo.</w:t>
            </w:r>
          </w:p>
        </w:tc>
      </w:tr>
      <w:tr w:rsidR="00933812" w14:paraId="3C85F1D7" w14:textId="77777777">
        <w:tc>
          <w:tcPr>
            <w:tcW w:w="4320" w:type="dxa"/>
          </w:tcPr>
          <w:p w14:paraId="54829CA6" w14:textId="77777777" w:rsidR="00933812" w:rsidRDefault="00873D25">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1C06240" w14:textId="5643552B" w:rsidR="00933812" w:rsidRPr="004D1D6E" w:rsidRDefault="004D1D6E">
            <w:pPr>
              <w:rPr>
                <w:rFonts w:eastAsia="宋体"/>
                <w:lang w:eastAsia="zh-CN"/>
              </w:rPr>
            </w:pPr>
            <w:r>
              <w:rPr>
                <w:rFonts w:eastAsia="宋体" w:hint="eastAsia"/>
                <w:lang w:eastAsia="zh-CN"/>
              </w:rPr>
              <w:t>1</w:t>
            </w:r>
          </w:p>
        </w:tc>
      </w:tr>
      <w:tr w:rsidR="00933812" w14:paraId="1DF4D6B8" w14:textId="77777777">
        <w:tc>
          <w:tcPr>
            <w:tcW w:w="4320" w:type="dxa"/>
          </w:tcPr>
          <w:p w14:paraId="799B8E9B" w14:textId="77777777" w:rsidR="00933812" w:rsidRDefault="00873D25">
            <w:r>
              <w:rPr>
                <w:rFonts w:ascii="仿宋" w:eastAsia="仿宋" w:hAnsi="仿宋"/>
              </w:rPr>
              <w:t>提取的事实</w:t>
            </w:r>
          </w:p>
        </w:tc>
        <w:tc>
          <w:tcPr>
            <w:tcW w:w="4320" w:type="dxa"/>
          </w:tcPr>
          <w:p w14:paraId="5FBAD7C7" w14:textId="77777777" w:rsidR="00933812" w:rsidRDefault="00873D25">
            <w:r>
              <w:t>1. The DMS3 protein plays a crucial role in the transcriptional process in plants, specifically in relation to the Pol V RNA polymerase enzyme.</w:t>
            </w:r>
            <w:r>
              <w:br/>
              <w:t>2. Pol V is an RNA polymerase enzyme found in plants that produces noncoding RNAs called long noncoding RNAs (lncRNAs).</w:t>
            </w:r>
            <w:r>
              <w:br/>
              <w:t xml:space="preserve">3. The DMS3 protein is required for the activation and </w:t>
            </w:r>
            <w:r>
              <w:lastRenderedPageBreak/>
              <w:t>functionality of Pol V in vivo, as indicated by numerous studies and experiments.</w:t>
            </w:r>
            <w:r>
              <w:br/>
              <w:t>4. A decrease in the transcriptional activity of Pol V, affecting the synthesis of lncRNAs, has been noted in plants where the DMS3 gene is absent or mutated.</w:t>
            </w:r>
            <w:r>
              <w:br/>
              <w:t>5. In Arabidopsis thaliana, a commonly studied plant model organism, the connection between DMS3 and Pol V in vivo has been extensively researched and verified.</w:t>
            </w:r>
          </w:p>
        </w:tc>
      </w:tr>
      <w:tr w:rsidR="00933812" w14:paraId="0E8ED971" w14:textId="77777777">
        <w:tc>
          <w:tcPr>
            <w:tcW w:w="4320" w:type="dxa"/>
          </w:tcPr>
          <w:p w14:paraId="54DE1A1F"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79D09D3" w14:textId="2186AC52" w:rsidR="00933812" w:rsidRPr="004D1D6E" w:rsidRDefault="004D1D6E">
            <w:pPr>
              <w:rPr>
                <w:rFonts w:eastAsia="宋体"/>
                <w:lang w:eastAsia="zh-CN"/>
              </w:rPr>
            </w:pPr>
            <w:r>
              <w:rPr>
                <w:rFonts w:eastAsia="宋体" w:hint="eastAsia"/>
                <w:lang w:eastAsia="zh-CN"/>
              </w:rPr>
              <w:t>1</w:t>
            </w:r>
            <w:r>
              <w:rPr>
                <w:rFonts w:eastAsia="宋体"/>
                <w:lang w:eastAsia="zh-CN"/>
              </w:rPr>
              <w:t>,</w:t>
            </w:r>
            <w:r w:rsidR="00513542">
              <w:rPr>
                <w:rFonts w:eastAsia="宋体" w:hint="eastAsia"/>
                <w:lang w:eastAsia="zh-CN"/>
              </w:rPr>
              <w:t>2</w:t>
            </w:r>
            <w:r w:rsidR="00513542">
              <w:rPr>
                <w:rFonts w:eastAsia="宋体"/>
                <w:lang w:eastAsia="zh-CN"/>
              </w:rPr>
              <w:t>,</w:t>
            </w:r>
            <w:r w:rsidR="0048741F">
              <w:rPr>
                <w:rFonts w:eastAsia="宋体"/>
                <w:lang w:eastAsia="zh-CN"/>
              </w:rPr>
              <w:t>7</w:t>
            </w:r>
            <w:r w:rsidR="00E44953">
              <w:rPr>
                <w:rFonts w:eastAsia="宋体"/>
                <w:lang w:eastAsia="zh-CN"/>
              </w:rPr>
              <w:t>,</w:t>
            </w:r>
            <w:r w:rsidR="00E62DEA">
              <w:rPr>
                <w:rFonts w:eastAsia="宋体"/>
                <w:lang w:eastAsia="zh-CN"/>
              </w:rPr>
              <w:t>1,</w:t>
            </w:r>
            <w:r w:rsidR="009504FA">
              <w:rPr>
                <w:rFonts w:eastAsia="宋体"/>
                <w:lang w:eastAsia="zh-CN"/>
              </w:rPr>
              <w:t>7</w:t>
            </w:r>
          </w:p>
        </w:tc>
      </w:tr>
    </w:tbl>
    <w:p w14:paraId="19388C36"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34"/>
        <w:gridCol w:w="5996"/>
      </w:tblGrid>
      <w:tr w:rsidR="00933812" w14:paraId="58348133" w14:textId="77777777">
        <w:tc>
          <w:tcPr>
            <w:tcW w:w="4320" w:type="dxa"/>
          </w:tcPr>
          <w:p w14:paraId="2967A406" w14:textId="77777777" w:rsidR="00933812" w:rsidRDefault="00873D25">
            <w:r>
              <w:t>ID</w:t>
            </w:r>
          </w:p>
        </w:tc>
        <w:tc>
          <w:tcPr>
            <w:tcW w:w="10080" w:type="dxa"/>
          </w:tcPr>
          <w:p w14:paraId="080C3AB2" w14:textId="77777777" w:rsidR="00933812" w:rsidRDefault="00873D25">
            <w:r>
              <w:t>198(25)</w:t>
            </w:r>
          </w:p>
        </w:tc>
      </w:tr>
      <w:tr w:rsidR="00933812" w14:paraId="62F68F35" w14:textId="77777777">
        <w:tc>
          <w:tcPr>
            <w:tcW w:w="4320" w:type="dxa"/>
          </w:tcPr>
          <w:p w14:paraId="714D66C1" w14:textId="77777777" w:rsidR="00933812" w:rsidRDefault="00873D25">
            <w:r>
              <w:rPr>
                <w:rFonts w:ascii="仿宋" w:eastAsia="仿宋" w:hAnsi="仿宋"/>
              </w:rPr>
              <w:t>领域</w:t>
            </w:r>
          </w:p>
        </w:tc>
        <w:tc>
          <w:tcPr>
            <w:tcW w:w="4320" w:type="dxa"/>
          </w:tcPr>
          <w:p w14:paraId="416BE32A" w14:textId="77777777" w:rsidR="00933812" w:rsidRDefault="00873D25">
            <w:r>
              <w:t>Science</w:t>
            </w:r>
          </w:p>
        </w:tc>
      </w:tr>
      <w:tr w:rsidR="00933812" w14:paraId="0C46ED37" w14:textId="77777777">
        <w:tc>
          <w:tcPr>
            <w:tcW w:w="4320" w:type="dxa"/>
          </w:tcPr>
          <w:p w14:paraId="27E0D300" w14:textId="77777777" w:rsidR="00933812" w:rsidRDefault="00873D25">
            <w:r>
              <w:rPr>
                <w:rFonts w:ascii="仿宋" w:eastAsia="仿宋" w:hAnsi="仿宋"/>
              </w:rPr>
              <w:t>用户问题</w:t>
            </w:r>
          </w:p>
        </w:tc>
        <w:tc>
          <w:tcPr>
            <w:tcW w:w="4320" w:type="dxa"/>
          </w:tcPr>
          <w:p w14:paraId="770B6C4E" w14:textId="77777777" w:rsidR="00933812" w:rsidRDefault="00873D25">
            <w:r>
              <w:t>Can you clarify whether the claim "Diabetic patients with acute coronary syndrome experience decreased short-term and long-term risk for bleeding events." is accurate or not? Build factual arguments about the claim.</w:t>
            </w:r>
          </w:p>
        </w:tc>
      </w:tr>
      <w:tr w:rsidR="00933812" w14:paraId="07C87C20" w14:textId="77777777">
        <w:tc>
          <w:tcPr>
            <w:tcW w:w="4320" w:type="dxa"/>
          </w:tcPr>
          <w:p w14:paraId="18071AA5"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395E03D" w14:textId="2465F4D9" w:rsidR="00933812" w:rsidRPr="00CC2C4E" w:rsidRDefault="00710DD0">
            <w:pPr>
              <w:rPr>
                <w:rFonts w:eastAsia="宋体"/>
                <w:lang w:eastAsia="zh-CN"/>
              </w:rPr>
            </w:pPr>
            <w:r>
              <w:rPr>
                <w:rFonts w:eastAsia="宋体"/>
                <w:lang w:eastAsia="zh-CN"/>
              </w:rPr>
              <w:t>3</w:t>
            </w:r>
            <w:r w:rsidR="00CC2C4E">
              <w:rPr>
                <w:rFonts w:eastAsia="宋体"/>
                <w:lang w:eastAsia="zh-CN"/>
              </w:rPr>
              <w:t>,5,4</w:t>
            </w:r>
          </w:p>
        </w:tc>
      </w:tr>
      <w:tr w:rsidR="00933812" w14:paraId="2E5D031D" w14:textId="77777777">
        <w:tc>
          <w:tcPr>
            <w:tcW w:w="4320" w:type="dxa"/>
          </w:tcPr>
          <w:p w14:paraId="314E83AF" w14:textId="77777777" w:rsidR="00933812" w:rsidRDefault="00873D25">
            <w:r>
              <w:rPr>
                <w:rFonts w:ascii="仿宋" w:eastAsia="仿宋" w:hAnsi="仿宋"/>
              </w:rPr>
              <w:t>模型回复</w:t>
            </w:r>
          </w:p>
        </w:tc>
        <w:tc>
          <w:tcPr>
            <w:tcW w:w="4320" w:type="dxa"/>
          </w:tcPr>
          <w:p w14:paraId="2C1EA2EC" w14:textId="77777777" w:rsidR="00933812" w:rsidRDefault="00873D25">
            <w:r>
              <w:t xml:space="preserve">To determine the accuracy of the claim that "Diabetic patients with acute coronary syndrome experience decreased short-term and long-term risk for bleeding events," we need to assess the available evidence. </w:t>
            </w:r>
            <w:r>
              <w:br/>
              <w:t>While research in this area is ongoing and findings can vary, a review of several studies provides insight into the topic:</w:t>
            </w:r>
            <w:r>
              <w:br/>
              <w:t>1. Short-Term Risk for Bleeding Events: A study published in the Journal of the American Medical Association (JAMA) in 2012 examined the short-term risk of bleeding events in diabetic patients with acute coronary syndrome treated with antiplatelet therapy such as aspirin. The study found that diabetic patients had a significantly higher risk of bleeding events compared to non-diabetic patients. Therefore, this study does not support the claim that diabetic patients have decreased short-term risk for bleeding events.</w:t>
            </w:r>
            <w:r>
              <w:br/>
              <w:t xml:space="preserve">2. Long-Term Risk for Bleeding Events: A systematic review </w:t>
            </w:r>
            <w:r>
              <w:lastRenderedPageBreak/>
              <w:t>and meta-analysis published in the Journal of the American College of Cardiology in 2016 analyzed multiple studies to determine the long-term risk of bleeding events in diabetic patients with acute coronary syndrome. The review found that diabetic patients had a higher risk of bleeding events compared to non-diabetic patients, particularly when treated with dual antiplatelet therapy (aspirin and clopidogrel). This evidence contradicts the claim that diabetic patients with acute coronary syndrome experience decreased long-term risk for bleeding events.</w:t>
            </w:r>
            <w:r>
              <w:br/>
              <w:t>Overall, while individual studies might provide conflicting results, the evidence from the mentioned studies suggests that diabetic patients with acute coronary syndrome are at an increased risk of bleeding events, both in the short-term and long-term. Therefore, the claim that diabetic patients with acute coronary syndrome experience decreased risk for bleeding events is not accurate.</w:t>
            </w:r>
            <w:r>
              <w:br/>
              <w:t>It is worth noting that medical research is constantly evolving, and new studies may provide updated evidence on this topic. It is always essential to consult current and reliable sources and consult with healthcare professionals for the most accurate and up-to-date information.</w:t>
            </w:r>
          </w:p>
        </w:tc>
      </w:tr>
      <w:tr w:rsidR="00933812" w14:paraId="5759F456" w14:textId="77777777">
        <w:tc>
          <w:tcPr>
            <w:tcW w:w="4320" w:type="dxa"/>
          </w:tcPr>
          <w:p w14:paraId="414D3F09"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B780B65" w14:textId="7D4C2114" w:rsidR="00933812" w:rsidRPr="00CC2C4E" w:rsidRDefault="00CC2C4E">
            <w:pPr>
              <w:rPr>
                <w:rFonts w:eastAsia="宋体"/>
                <w:lang w:eastAsia="zh-CN"/>
              </w:rPr>
            </w:pPr>
            <w:r>
              <w:rPr>
                <w:rFonts w:eastAsia="宋体" w:hint="eastAsia"/>
                <w:lang w:eastAsia="zh-CN"/>
              </w:rPr>
              <w:t>1</w:t>
            </w:r>
          </w:p>
        </w:tc>
      </w:tr>
      <w:tr w:rsidR="00933812" w14:paraId="4BEB51CA" w14:textId="77777777">
        <w:tc>
          <w:tcPr>
            <w:tcW w:w="4320" w:type="dxa"/>
          </w:tcPr>
          <w:p w14:paraId="30FF6E7F" w14:textId="77777777" w:rsidR="00933812" w:rsidRDefault="00873D25">
            <w:r>
              <w:rPr>
                <w:rFonts w:ascii="仿宋" w:eastAsia="仿宋" w:hAnsi="仿宋"/>
              </w:rPr>
              <w:t>提取的事实</w:t>
            </w:r>
          </w:p>
        </w:tc>
        <w:tc>
          <w:tcPr>
            <w:tcW w:w="4320" w:type="dxa"/>
          </w:tcPr>
          <w:p w14:paraId="523EBD27" w14:textId="77777777" w:rsidR="00933812" w:rsidRDefault="00873D25">
            <w:r>
              <w:t>1. A study published in the Journal of the American Medical Association (JAMA) in 2012 found that diabetic patients with acute coronary syndrome had a significantly higher short-term risk of bleeding events compared to non-diabetic patients.</w:t>
            </w:r>
            <w:r>
              <w:br/>
              <w:t>2. A systematic review and meta-analysis published in the Journal of the American College of Cardiology in 2016 found that diabetic patients with acute coronary syndrome had a higher risk of bleeding events compared to non-diabetic patients.</w:t>
            </w:r>
            <w:r>
              <w:br/>
              <w:t>3. The 2016 review found that diabetic patients' risk was particularly high when treated with dual antiplatelet therapy (aspirin and clopidogrel).</w:t>
            </w:r>
            <w:r>
              <w:br/>
              <w:t>4. The claim that diabetic patients with acute coronary syndrome experience decreased risk for bleeding events is stated as incorrect based on the above-mentioned studies.</w:t>
            </w:r>
            <w:r>
              <w:br/>
              <w:t>5. Medical research is a field that constantly evolves, with new findings potentially updating or contradicting previous understandings.</w:t>
            </w:r>
          </w:p>
        </w:tc>
      </w:tr>
      <w:tr w:rsidR="00933812" w14:paraId="35DB09B3" w14:textId="77777777">
        <w:tc>
          <w:tcPr>
            <w:tcW w:w="4320" w:type="dxa"/>
          </w:tcPr>
          <w:p w14:paraId="1DAD9D4F"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8789AE5" w14:textId="31DC1722" w:rsidR="00933812" w:rsidRPr="00E17B7C" w:rsidRDefault="00E17B7C">
            <w:pPr>
              <w:rPr>
                <w:rFonts w:eastAsia="宋体"/>
                <w:lang w:eastAsia="zh-CN"/>
              </w:rPr>
            </w:pPr>
            <w:r>
              <w:rPr>
                <w:rFonts w:eastAsia="宋体" w:hint="eastAsia"/>
                <w:lang w:eastAsia="zh-CN"/>
              </w:rPr>
              <w:lastRenderedPageBreak/>
              <w:t>7</w:t>
            </w:r>
            <w:r>
              <w:rPr>
                <w:rFonts w:eastAsia="宋体"/>
                <w:lang w:eastAsia="zh-CN"/>
              </w:rPr>
              <w:t>,</w:t>
            </w:r>
            <w:r w:rsidR="00474999">
              <w:rPr>
                <w:rFonts w:eastAsia="宋体"/>
                <w:lang w:eastAsia="zh-CN"/>
              </w:rPr>
              <w:t>7,</w:t>
            </w:r>
            <w:r w:rsidR="00DF0BFA">
              <w:rPr>
                <w:rFonts w:eastAsia="宋体"/>
                <w:lang w:eastAsia="zh-CN"/>
              </w:rPr>
              <w:t>7</w:t>
            </w:r>
            <w:r w:rsidR="004120F4">
              <w:rPr>
                <w:rFonts w:eastAsia="宋体"/>
                <w:lang w:eastAsia="zh-CN"/>
              </w:rPr>
              <w:t>,</w:t>
            </w:r>
            <w:r w:rsidR="008F6CED">
              <w:rPr>
                <w:rFonts w:eastAsia="宋体"/>
                <w:lang w:eastAsia="zh-CN"/>
              </w:rPr>
              <w:t>8,</w:t>
            </w:r>
            <w:r w:rsidR="00DF0BFA">
              <w:rPr>
                <w:rFonts w:eastAsia="宋体"/>
                <w:lang w:eastAsia="zh-CN"/>
              </w:rPr>
              <w:t>8</w:t>
            </w:r>
          </w:p>
        </w:tc>
      </w:tr>
    </w:tbl>
    <w:p w14:paraId="2F0FEEF2"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51"/>
        <w:gridCol w:w="5979"/>
      </w:tblGrid>
      <w:tr w:rsidR="00933812" w14:paraId="77CC2D06" w14:textId="77777777">
        <w:tc>
          <w:tcPr>
            <w:tcW w:w="4320" w:type="dxa"/>
          </w:tcPr>
          <w:p w14:paraId="114E885E" w14:textId="77777777" w:rsidR="00933812" w:rsidRDefault="00873D25">
            <w:r>
              <w:t>ID</w:t>
            </w:r>
          </w:p>
        </w:tc>
        <w:tc>
          <w:tcPr>
            <w:tcW w:w="10080" w:type="dxa"/>
          </w:tcPr>
          <w:p w14:paraId="0CD23872" w14:textId="77777777" w:rsidR="00933812" w:rsidRDefault="00873D25">
            <w:r>
              <w:t>206(26)</w:t>
            </w:r>
          </w:p>
        </w:tc>
      </w:tr>
      <w:tr w:rsidR="00933812" w14:paraId="0912C0FB" w14:textId="77777777">
        <w:tc>
          <w:tcPr>
            <w:tcW w:w="4320" w:type="dxa"/>
          </w:tcPr>
          <w:p w14:paraId="6EE8478C" w14:textId="77777777" w:rsidR="00933812" w:rsidRDefault="00873D25">
            <w:r>
              <w:rPr>
                <w:rFonts w:ascii="仿宋" w:eastAsia="仿宋" w:hAnsi="仿宋"/>
              </w:rPr>
              <w:t>领域</w:t>
            </w:r>
          </w:p>
        </w:tc>
        <w:tc>
          <w:tcPr>
            <w:tcW w:w="4320" w:type="dxa"/>
          </w:tcPr>
          <w:p w14:paraId="600DB62D" w14:textId="77777777" w:rsidR="00933812" w:rsidRDefault="00873D25">
            <w:r>
              <w:t>Science</w:t>
            </w:r>
          </w:p>
        </w:tc>
      </w:tr>
      <w:tr w:rsidR="00933812" w14:paraId="665D67BC" w14:textId="77777777">
        <w:tc>
          <w:tcPr>
            <w:tcW w:w="4320" w:type="dxa"/>
          </w:tcPr>
          <w:p w14:paraId="2F820E7D" w14:textId="77777777" w:rsidR="00933812" w:rsidRDefault="00873D25">
            <w:r>
              <w:rPr>
                <w:rFonts w:ascii="仿宋" w:eastAsia="仿宋" w:hAnsi="仿宋"/>
              </w:rPr>
              <w:t>用户问题</w:t>
            </w:r>
          </w:p>
        </w:tc>
        <w:tc>
          <w:tcPr>
            <w:tcW w:w="4320" w:type="dxa"/>
          </w:tcPr>
          <w:p w14:paraId="2B7298D2" w14:textId="77777777" w:rsidR="00933812" w:rsidRDefault="00873D25">
            <w:r>
              <w:t>Do you agree with the claim that "Dscam1 acts as a hypervariable pattern-recognition receptor for the immune system."? Provide factual statements about the claim.</w:t>
            </w:r>
          </w:p>
        </w:tc>
      </w:tr>
      <w:tr w:rsidR="00933812" w14:paraId="6549E92C" w14:textId="77777777">
        <w:tc>
          <w:tcPr>
            <w:tcW w:w="4320" w:type="dxa"/>
          </w:tcPr>
          <w:p w14:paraId="28618106"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F9F81F8" w14:textId="5E39DCD7" w:rsidR="00933812" w:rsidRPr="00E96B56" w:rsidRDefault="00E96B56">
            <w:pPr>
              <w:rPr>
                <w:rFonts w:eastAsia="宋体"/>
                <w:lang w:eastAsia="zh-CN"/>
              </w:rPr>
            </w:pPr>
            <w:r>
              <w:rPr>
                <w:rFonts w:eastAsia="宋体" w:hint="eastAsia"/>
                <w:lang w:eastAsia="zh-CN"/>
              </w:rPr>
              <w:t>4</w:t>
            </w:r>
            <w:r>
              <w:rPr>
                <w:rFonts w:eastAsia="宋体"/>
                <w:lang w:eastAsia="zh-CN"/>
              </w:rPr>
              <w:t>,</w:t>
            </w:r>
            <w:r w:rsidR="004F55CB">
              <w:rPr>
                <w:rFonts w:eastAsia="宋体"/>
                <w:lang w:eastAsia="zh-CN"/>
              </w:rPr>
              <w:t>4</w:t>
            </w:r>
            <w:r>
              <w:rPr>
                <w:rFonts w:eastAsia="宋体"/>
                <w:lang w:eastAsia="zh-CN"/>
              </w:rPr>
              <w:t>,5</w:t>
            </w:r>
          </w:p>
        </w:tc>
      </w:tr>
      <w:tr w:rsidR="00933812" w14:paraId="0C20CE93" w14:textId="77777777">
        <w:tc>
          <w:tcPr>
            <w:tcW w:w="4320" w:type="dxa"/>
          </w:tcPr>
          <w:p w14:paraId="5F833445" w14:textId="77777777" w:rsidR="00933812" w:rsidRDefault="00873D25">
            <w:r>
              <w:rPr>
                <w:rFonts w:ascii="仿宋" w:eastAsia="仿宋" w:hAnsi="仿宋"/>
              </w:rPr>
              <w:t>模型回复</w:t>
            </w:r>
          </w:p>
        </w:tc>
        <w:tc>
          <w:tcPr>
            <w:tcW w:w="4320" w:type="dxa"/>
          </w:tcPr>
          <w:p w14:paraId="47791B80" w14:textId="77777777" w:rsidR="00933812" w:rsidRDefault="00873D25">
            <w:r>
              <w:t>Yes, I agree with the claim that "Dscam1 acts as a hypervariable pattern-recognition receptor for the immune system." Here are some factual statements about the claim:</w:t>
            </w:r>
            <w:r>
              <w:br/>
              <w:t>1. Dscam1 (Down Syndrome cell adhesion molecule 1) is a protein receptor that is predominantly found in the nervous system and immune cells of various organisms, including humans.</w:t>
            </w:r>
            <w:r>
              <w:br/>
              <w:t>2. Dscam1 is known for its ability to generate enormous protein diversity by alternative splicing. In Drosophila (fruit flies), there are approximately 38,000 possible isoforms of Dscam1, generated through alternative splicing.</w:t>
            </w:r>
            <w:r>
              <w:br/>
              <w:t>3. The diversity of isoforms in Dscam1 gives it the capacity to recognize and bind to a wide range of pathogen-associated molecular patterns (PAMPs) and danger-associated molecular patterns (DAMPs) present on pathogens or infected cells.</w:t>
            </w:r>
            <w:r>
              <w:br/>
              <w:t>4. Dscam1 is involved in recognizing and initiating immune responses against pathogens such as bacteria, viruses, and parasites. It plays a significant role in innate immunity, which is the first line of defense against invading pathogens.</w:t>
            </w:r>
            <w:r>
              <w:br/>
              <w:t>5. Studies have shown that Dscam1 in fruit flies is involved in recognizing bacterial and fungal infections and activating immune responses.</w:t>
            </w:r>
            <w:r>
              <w:br/>
              <w:t>6. Dscam1 has also been found to be involved in shaping the adaptive immune response in vertebrates, particularly in the development of antigen receptors.</w:t>
            </w:r>
            <w:r>
              <w:br/>
              <w:t>7. Research suggests that Dscam1 acts as a pattern-recognition receptor on immune cells, recognizing diverse patterns and aiding in the identification of self and non-self molecules.</w:t>
            </w:r>
            <w:r>
              <w:br/>
              <w:t xml:space="preserve">8. The hypervariable nature of Dscam1, resulting from </w:t>
            </w:r>
            <w:r>
              <w:lastRenderedPageBreak/>
              <w:t>alternative splicing, allows for tremendous receptor diversity within a population, enabling the immune system to respond to a wide range of pathogenic challenges.</w:t>
            </w:r>
            <w:r>
              <w:br/>
              <w:t>9. Alterations or mutations in Dscam1 have been associated with immune-related disorders and diseases in various organisms, indicating its significance in immune system functioning.</w:t>
            </w:r>
            <w:r>
              <w:br/>
              <w:t>Overall, multiple studies support the claim that Dscam1 acts as a hypervariable pattern-recognition receptor for the immune system.</w:t>
            </w:r>
          </w:p>
        </w:tc>
      </w:tr>
      <w:tr w:rsidR="00933812" w14:paraId="49E1C093" w14:textId="77777777">
        <w:tc>
          <w:tcPr>
            <w:tcW w:w="4320" w:type="dxa"/>
          </w:tcPr>
          <w:p w14:paraId="61A1A568"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15375FA" w14:textId="14396A34" w:rsidR="00933812" w:rsidRPr="00E96B56" w:rsidRDefault="00E96B56">
            <w:pPr>
              <w:rPr>
                <w:rFonts w:eastAsia="宋体"/>
                <w:lang w:eastAsia="zh-CN"/>
              </w:rPr>
            </w:pPr>
            <w:r>
              <w:rPr>
                <w:rFonts w:eastAsia="宋体" w:hint="eastAsia"/>
                <w:lang w:eastAsia="zh-CN"/>
              </w:rPr>
              <w:t>1</w:t>
            </w:r>
          </w:p>
        </w:tc>
      </w:tr>
      <w:tr w:rsidR="00933812" w14:paraId="7DB5EDBE" w14:textId="77777777">
        <w:tc>
          <w:tcPr>
            <w:tcW w:w="4320" w:type="dxa"/>
          </w:tcPr>
          <w:p w14:paraId="74A5AF8D" w14:textId="77777777" w:rsidR="00933812" w:rsidRDefault="00873D25">
            <w:r>
              <w:rPr>
                <w:rFonts w:ascii="仿宋" w:eastAsia="仿宋" w:hAnsi="仿宋"/>
              </w:rPr>
              <w:t>提取的事实</w:t>
            </w:r>
          </w:p>
        </w:tc>
        <w:tc>
          <w:tcPr>
            <w:tcW w:w="4320" w:type="dxa"/>
          </w:tcPr>
          <w:p w14:paraId="134CA07F" w14:textId="77777777" w:rsidR="00933812" w:rsidRDefault="00873D25">
            <w:r>
              <w:t>1. Dscam1 is a protein receptor found predominantly in the nervous system and immune cells of various organisms, including humans.</w:t>
            </w:r>
            <w:r>
              <w:br/>
              <w:t>2. Dscam1 can generate over 38,000 possible isoforms through alternative splicing in Drosophila.</w:t>
            </w:r>
            <w:r>
              <w:br/>
              <w:t>3. Dscam1 recognizes and binds to a wide range of pathogen-associated and danger-associated molecular patterns on pathogens or infected cells.</w:t>
            </w:r>
            <w:r>
              <w:br/>
              <w:t>4. Dscam1 plays a significant role in innate immunity, involved in the recognition and response to pathogens such as bacteria, viruses, and parasites.</w:t>
            </w:r>
            <w:r>
              <w:br/>
              <w:t>5. Alterations or mutations in Dscam1 have been associated with immune-related disorders and diseases.</w:t>
            </w:r>
          </w:p>
        </w:tc>
      </w:tr>
      <w:tr w:rsidR="00933812" w14:paraId="5AD7FEBC" w14:textId="77777777">
        <w:tc>
          <w:tcPr>
            <w:tcW w:w="4320" w:type="dxa"/>
          </w:tcPr>
          <w:p w14:paraId="476E8869"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673FDAE" w14:textId="669F6786" w:rsidR="00933812" w:rsidRPr="00E96B56" w:rsidRDefault="00E96B56">
            <w:pPr>
              <w:rPr>
                <w:rFonts w:eastAsia="宋体"/>
                <w:lang w:eastAsia="zh-CN"/>
              </w:rPr>
            </w:pPr>
            <w:r>
              <w:rPr>
                <w:rFonts w:eastAsia="宋体" w:hint="eastAsia"/>
                <w:lang w:eastAsia="zh-CN"/>
              </w:rPr>
              <w:t>1</w:t>
            </w:r>
            <w:r>
              <w:rPr>
                <w:rFonts w:eastAsia="宋体"/>
                <w:lang w:eastAsia="zh-CN"/>
              </w:rPr>
              <w:t>,</w:t>
            </w:r>
            <w:r w:rsidR="00D60D3E">
              <w:rPr>
                <w:rFonts w:eastAsia="宋体"/>
                <w:lang w:eastAsia="zh-CN"/>
              </w:rPr>
              <w:t>1,</w:t>
            </w:r>
            <w:r w:rsidR="00164A0E">
              <w:rPr>
                <w:rFonts w:eastAsia="宋体"/>
                <w:lang w:eastAsia="zh-CN"/>
              </w:rPr>
              <w:t>1,</w:t>
            </w:r>
            <w:r w:rsidR="00E71EBC">
              <w:rPr>
                <w:rFonts w:eastAsia="宋体"/>
                <w:lang w:eastAsia="zh-CN"/>
              </w:rPr>
              <w:t>1,</w:t>
            </w:r>
            <w:r w:rsidR="00277FA2">
              <w:rPr>
                <w:rFonts w:eastAsia="宋体"/>
                <w:lang w:eastAsia="zh-CN"/>
              </w:rPr>
              <w:t>1</w:t>
            </w:r>
          </w:p>
        </w:tc>
      </w:tr>
    </w:tbl>
    <w:p w14:paraId="2B545C52"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28"/>
        <w:gridCol w:w="6002"/>
      </w:tblGrid>
      <w:tr w:rsidR="00933812" w14:paraId="378ABC15" w14:textId="77777777">
        <w:tc>
          <w:tcPr>
            <w:tcW w:w="4320" w:type="dxa"/>
          </w:tcPr>
          <w:p w14:paraId="5E669073" w14:textId="77777777" w:rsidR="00933812" w:rsidRDefault="00873D25">
            <w:r>
              <w:t>ID</w:t>
            </w:r>
          </w:p>
        </w:tc>
        <w:tc>
          <w:tcPr>
            <w:tcW w:w="10080" w:type="dxa"/>
          </w:tcPr>
          <w:p w14:paraId="1FC083BD" w14:textId="77777777" w:rsidR="00933812" w:rsidRDefault="00873D25">
            <w:r>
              <w:t>213(27)</w:t>
            </w:r>
          </w:p>
        </w:tc>
      </w:tr>
      <w:tr w:rsidR="00933812" w14:paraId="309C0907" w14:textId="77777777">
        <w:tc>
          <w:tcPr>
            <w:tcW w:w="4320" w:type="dxa"/>
          </w:tcPr>
          <w:p w14:paraId="605E43F9" w14:textId="77777777" w:rsidR="00933812" w:rsidRDefault="00873D25">
            <w:r>
              <w:rPr>
                <w:rFonts w:ascii="仿宋" w:eastAsia="仿宋" w:hAnsi="仿宋"/>
              </w:rPr>
              <w:t>领域</w:t>
            </w:r>
          </w:p>
        </w:tc>
        <w:tc>
          <w:tcPr>
            <w:tcW w:w="4320" w:type="dxa"/>
          </w:tcPr>
          <w:p w14:paraId="1B629933" w14:textId="77777777" w:rsidR="00933812" w:rsidRDefault="00873D25">
            <w:r>
              <w:t>Science</w:t>
            </w:r>
          </w:p>
        </w:tc>
      </w:tr>
      <w:tr w:rsidR="00933812" w14:paraId="4FB1D087" w14:textId="77777777">
        <w:tc>
          <w:tcPr>
            <w:tcW w:w="4320" w:type="dxa"/>
          </w:tcPr>
          <w:p w14:paraId="6D1320AA" w14:textId="77777777" w:rsidR="00933812" w:rsidRDefault="00873D25">
            <w:r>
              <w:rPr>
                <w:rFonts w:ascii="仿宋" w:eastAsia="仿宋" w:hAnsi="仿宋"/>
              </w:rPr>
              <w:t>用户问题</w:t>
            </w:r>
          </w:p>
        </w:tc>
        <w:tc>
          <w:tcPr>
            <w:tcW w:w="4320" w:type="dxa"/>
          </w:tcPr>
          <w:p w14:paraId="11D912C5" w14:textId="77777777" w:rsidR="00933812" w:rsidRDefault="00873D25">
            <w:r>
              <w:t>Can you clarify whether the claim "ERAP1 SNPs are epistatic to HLA alleles for ankylosing spondylitis." is accurate or not? Build factual arguments about the claim.</w:t>
            </w:r>
          </w:p>
        </w:tc>
      </w:tr>
      <w:tr w:rsidR="00933812" w14:paraId="5CC00763" w14:textId="77777777">
        <w:tc>
          <w:tcPr>
            <w:tcW w:w="4320" w:type="dxa"/>
          </w:tcPr>
          <w:p w14:paraId="7399B763"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6B1D43D4" w14:textId="6A4F7ACF" w:rsidR="00933812" w:rsidRPr="007D2B9D" w:rsidRDefault="007D2B9D">
            <w:pPr>
              <w:rPr>
                <w:rFonts w:eastAsia="宋体"/>
                <w:lang w:eastAsia="zh-CN"/>
              </w:rPr>
            </w:pPr>
            <w:r>
              <w:rPr>
                <w:rFonts w:eastAsia="宋体" w:hint="eastAsia"/>
                <w:lang w:eastAsia="zh-CN"/>
              </w:rPr>
              <w:lastRenderedPageBreak/>
              <w:t>4</w:t>
            </w:r>
            <w:r>
              <w:rPr>
                <w:rFonts w:eastAsia="宋体"/>
                <w:lang w:eastAsia="zh-CN"/>
              </w:rPr>
              <w:t>,2,4</w:t>
            </w:r>
          </w:p>
        </w:tc>
      </w:tr>
      <w:tr w:rsidR="00933812" w14:paraId="7788DA36" w14:textId="77777777">
        <w:tc>
          <w:tcPr>
            <w:tcW w:w="4320" w:type="dxa"/>
          </w:tcPr>
          <w:p w14:paraId="4DE8460B" w14:textId="77777777" w:rsidR="00933812" w:rsidRDefault="00873D25">
            <w:r>
              <w:rPr>
                <w:rFonts w:ascii="仿宋" w:eastAsia="仿宋" w:hAnsi="仿宋"/>
              </w:rPr>
              <w:t>模型回复</w:t>
            </w:r>
          </w:p>
        </w:tc>
        <w:tc>
          <w:tcPr>
            <w:tcW w:w="4320" w:type="dxa"/>
          </w:tcPr>
          <w:p w14:paraId="62D3EF1B" w14:textId="77777777" w:rsidR="00933812" w:rsidRDefault="00873D25">
            <w:r>
              <w:t>The claim "ERAP1 SNPs are epistatic to HLA alleles for ankylosing spondylitis" is accurate. There is scientific evidence to support this claim.</w:t>
            </w:r>
            <w:r>
              <w:br/>
              <w:t>1. Research studies have shown a strong association between ERAP1 SNPs (single nucleotide polymorphisms) and ankylosing spondylitis (AS). AS is a chronic inflammatory disease primarily affecting the spine and sacroiliac joints. Multiple genome-wide association studies (GWAS) have consistently identified ERAP1 SNPs as significant genetic factors associated with AS.</w:t>
            </w:r>
            <w:r>
              <w:br/>
              <w:t>2. Epistasis refers to the interaction between different genes or genetic variants. In the case of AS, HLA-B27, an HLA allele, is the strongest known genetic risk factor. However, recent studies have shown that the effect of HLA-B27 on AS susceptibility is modified by ERAP1 SNPs. The presence of specific ERAP1 variants influences the ability of HLA-B27 to present antigens to the immune system, leading to an altered immune response.</w:t>
            </w:r>
            <w:r>
              <w:br/>
              <w:t>3. One study published in the journal Nature Genetics in 2011 examined the interaction between ERAP1 SNPs and HLA-B27 in the development of AS. The authors found that specific ERAP1 variants significantly affected disease risk in individuals carrying HLA-B27. They concluded that ERAP1 SNPs act in an epistatic manner with HLA-B27, suggesting a synergistic effect in AS development.</w:t>
            </w:r>
            <w:r>
              <w:br/>
              <w:t>4. Another study published in the journal Human Molecular Genetics in 2013 validated the epistasis between ERAP1 and HLA-B27 in AS. The researchers identified specific ERAP1 haplotypes that interacted exclusively with HLA-B27 in increasing the risk of AS. These findings further support the claim that ERAP1 SNPs are epistatic to HLA alleles for AS.</w:t>
            </w:r>
            <w:r>
              <w:br/>
              <w:t>Overall, based on the existing scientific evidence, it can be concluded that ERAP1 SNPs do exhibit epistasis with HLA alleles, particularly HLA-B27, in the context of ankylosing spondylitis.</w:t>
            </w:r>
          </w:p>
        </w:tc>
      </w:tr>
      <w:tr w:rsidR="00933812" w14:paraId="3A7EA16C" w14:textId="77777777">
        <w:tc>
          <w:tcPr>
            <w:tcW w:w="4320" w:type="dxa"/>
          </w:tcPr>
          <w:p w14:paraId="5828500A" w14:textId="77777777" w:rsidR="00933812" w:rsidRDefault="00873D25">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D936461" w14:textId="30A73B50" w:rsidR="00933812" w:rsidRPr="007D2B9D" w:rsidRDefault="007D2B9D">
            <w:pPr>
              <w:rPr>
                <w:rFonts w:eastAsia="宋体"/>
                <w:lang w:eastAsia="zh-CN"/>
              </w:rPr>
            </w:pPr>
            <w:r>
              <w:rPr>
                <w:rFonts w:eastAsia="宋体" w:hint="eastAsia"/>
                <w:lang w:eastAsia="zh-CN"/>
              </w:rPr>
              <w:t>1</w:t>
            </w:r>
          </w:p>
        </w:tc>
      </w:tr>
      <w:tr w:rsidR="00933812" w14:paraId="1603E465" w14:textId="77777777">
        <w:tc>
          <w:tcPr>
            <w:tcW w:w="4320" w:type="dxa"/>
          </w:tcPr>
          <w:p w14:paraId="27039151" w14:textId="77777777" w:rsidR="00933812" w:rsidRDefault="00873D25">
            <w:r>
              <w:rPr>
                <w:rFonts w:ascii="仿宋" w:eastAsia="仿宋" w:hAnsi="仿宋"/>
              </w:rPr>
              <w:t>提取的事实</w:t>
            </w:r>
          </w:p>
        </w:tc>
        <w:tc>
          <w:tcPr>
            <w:tcW w:w="4320" w:type="dxa"/>
          </w:tcPr>
          <w:p w14:paraId="4EEA852D" w14:textId="77777777" w:rsidR="00933812" w:rsidRDefault="00873D25">
            <w:r>
              <w:t>1. ERAP1 SNPs (single nucleotide polymorphisms) have been associated with ankylosing spondylitis (AS) in multiple genome-wide association studies.</w:t>
            </w:r>
            <w:r>
              <w:br/>
              <w:t>2. Ankylosing spondylitis (AS) is a chronic inflammatory disease primarily affecting the spine and sacroiliac joints.</w:t>
            </w:r>
            <w:r>
              <w:br/>
              <w:t>3. HLA-B27 is the strongest known genetic risk factor for ankylosing spondylitis (AS).</w:t>
            </w:r>
            <w:r>
              <w:br/>
              <w:t xml:space="preserve">4. A study published in the journal Nature Genetics in 2011 found the interaction between ERAP1 SNPs and HLA-B27 in </w:t>
            </w:r>
            <w:r>
              <w:lastRenderedPageBreak/>
              <w:t>the development of AS.</w:t>
            </w:r>
            <w:r>
              <w:br/>
              <w:t>5. A study published in the journal Human Molecular Genetics in 2013 validated the epistasis between ERAP1 and HLA-B27 in AS.</w:t>
            </w:r>
          </w:p>
        </w:tc>
      </w:tr>
      <w:tr w:rsidR="00933812" w14:paraId="71EA3C8F" w14:textId="77777777">
        <w:tc>
          <w:tcPr>
            <w:tcW w:w="4320" w:type="dxa"/>
          </w:tcPr>
          <w:p w14:paraId="2E5DB063"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B449A8F" w14:textId="271478F9" w:rsidR="00933812" w:rsidRPr="007D2B9D" w:rsidRDefault="007D2B9D">
            <w:pPr>
              <w:rPr>
                <w:rFonts w:eastAsia="宋体"/>
                <w:lang w:eastAsia="zh-CN"/>
              </w:rPr>
            </w:pPr>
            <w:r>
              <w:rPr>
                <w:rFonts w:eastAsia="宋体" w:hint="eastAsia"/>
                <w:lang w:eastAsia="zh-CN"/>
              </w:rPr>
              <w:t>1</w:t>
            </w:r>
            <w:r>
              <w:rPr>
                <w:rFonts w:eastAsia="宋体"/>
                <w:lang w:eastAsia="zh-CN"/>
              </w:rPr>
              <w:t>,</w:t>
            </w:r>
            <w:r w:rsidR="00182864">
              <w:rPr>
                <w:rFonts w:eastAsia="宋体"/>
                <w:lang w:eastAsia="zh-CN"/>
              </w:rPr>
              <w:t>1,</w:t>
            </w:r>
            <w:r w:rsidR="004904DC">
              <w:rPr>
                <w:rFonts w:eastAsia="宋体"/>
                <w:lang w:eastAsia="zh-CN"/>
              </w:rPr>
              <w:t>1,</w:t>
            </w:r>
            <w:r w:rsidR="00F372B8">
              <w:rPr>
                <w:rFonts w:eastAsia="宋体"/>
                <w:lang w:eastAsia="zh-CN"/>
              </w:rPr>
              <w:t>1,2</w:t>
            </w:r>
          </w:p>
        </w:tc>
      </w:tr>
    </w:tbl>
    <w:p w14:paraId="42222745"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37"/>
        <w:gridCol w:w="5993"/>
      </w:tblGrid>
      <w:tr w:rsidR="00933812" w14:paraId="4F934D28" w14:textId="77777777">
        <w:tc>
          <w:tcPr>
            <w:tcW w:w="4320" w:type="dxa"/>
          </w:tcPr>
          <w:p w14:paraId="33495C82" w14:textId="77777777" w:rsidR="00933812" w:rsidRDefault="00873D25">
            <w:r>
              <w:t>ID</w:t>
            </w:r>
          </w:p>
        </w:tc>
        <w:tc>
          <w:tcPr>
            <w:tcW w:w="10080" w:type="dxa"/>
          </w:tcPr>
          <w:p w14:paraId="206EA3EC" w14:textId="77777777" w:rsidR="00933812" w:rsidRDefault="00873D25">
            <w:r>
              <w:t>216(28)</w:t>
            </w:r>
          </w:p>
        </w:tc>
      </w:tr>
      <w:tr w:rsidR="00933812" w14:paraId="5AA68209" w14:textId="77777777">
        <w:tc>
          <w:tcPr>
            <w:tcW w:w="4320" w:type="dxa"/>
          </w:tcPr>
          <w:p w14:paraId="6103C8C0" w14:textId="77777777" w:rsidR="00933812" w:rsidRDefault="00873D25">
            <w:r>
              <w:rPr>
                <w:rFonts w:ascii="仿宋" w:eastAsia="仿宋" w:hAnsi="仿宋"/>
              </w:rPr>
              <w:t>领域</w:t>
            </w:r>
          </w:p>
        </w:tc>
        <w:tc>
          <w:tcPr>
            <w:tcW w:w="4320" w:type="dxa"/>
          </w:tcPr>
          <w:p w14:paraId="69396A0E" w14:textId="77777777" w:rsidR="00933812" w:rsidRDefault="00873D25">
            <w:r>
              <w:t>Science</w:t>
            </w:r>
          </w:p>
        </w:tc>
      </w:tr>
      <w:tr w:rsidR="00933812" w14:paraId="63487FB6" w14:textId="77777777">
        <w:tc>
          <w:tcPr>
            <w:tcW w:w="4320" w:type="dxa"/>
          </w:tcPr>
          <w:p w14:paraId="40D78323" w14:textId="77777777" w:rsidR="00933812" w:rsidRDefault="00873D25">
            <w:r>
              <w:rPr>
                <w:rFonts w:ascii="仿宋" w:eastAsia="仿宋" w:hAnsi="仿宋"/>
              </w:rPr>
              <w:t>用户问题</w:t>
            </w:r>
          </w:p>
        </w:tc>
        <w:tc>
          <w:tcPr>
            <w:tcW w:w="4320" w:type="dxa"/>
          </w:tcPr>
          <w:p w14:paraId="26CEB6D3" w14:textId="77777777" w:rsidR="00933812" w:rsidRDefault="00873D25">
            <w:r>
              <w:t>Do you agree with the claim that "Ectopic expression of Sall4, Nanog, Esrrb, and Lin28 generates induced pluripotent stem cells from mouse embryonic fibroblasts more efficiently than other factor combinations."? Provide factual statements about the claim.</w:t>
            </w:r>
          </w:p>
        </w:tc>
      </w:tr>
      <w:tr w:rsidR="00933812" w14:paraId="03655E80" w14:textId="77777777">
        <w:tc>
          <w:tcPr>
            <w:tcW w:w="4320" w:type="dxa"/>
          </w:tcPr>
          <w:p w14:paraId="6F5858C2"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B51FD0B" w14:textId="628E4320" w:rsidR="00933812" w:rsidRPr="00F372B8" w:rsidRDefault="00F372B8">
            <w:pPr>
              <w:rPr>
                <w:rFonts w:eastAsia="宋体"/>
                <w:lang w:eastAsia="zh-CN"/>
              </w:rPr>
            </w:pPr>
            <w:r>
              <w:rPr>
                <w:rFonts w:eastAsia="宋体" w:hint="eastAsia"/>
                <w:lang w:eastAsia="zh-CN"/>
              </w:rPr>
              <w:t>3</w:t>
            </w:r>
            <w:r>
              <w:rPr>
                <w:rFonts w:eastAsia="宋体"/>
                <w:lang w:eastAsia="zh-CN"/>
              </w:rPr>
              <w:t>,3,5</w:t>
            </w:r>
          </w:p>
        </w:tc>
      </w:tr>
      <w:tr w:rsidR="00933812" w14:paraId="4A4E3BCC" w14:textId="77777777">
        <w:tc>
          <w:tcPr>
            <w:tcW w:w="4320" w:type="dxa"/>
          </w:tcPr>
          <w:p w14:paraId="62E6FD42" w14:textId="77777777" w:rsidR="00933812" w:rsidRDefault="00873D25">
            <w:r>
              <w:rPr>
                <w:rFonts w:ascii="仿宋" w:eastAsia="仿宋" w:hAnsi="仿宋"/>
              </w:rPr>
              <w:t>模型回复</w:t>
            </w:r>
          </w:p>
        </w:tc>
        <w:tc>
          <w:tcPr>
            <w:tcW w:w="4320" w:type="dxa"/>
          </w:tcPr>
          <w:p w14:paraId="528EC5FC" w14:textId="77777777" w:rsidR="00933812" w:rsidRDefault="00873D25">
            <w:r>
              <w:t>As an AI language model, I can provide information about the claim but cannot express personal agreement or disagreement. However, I can present factual statements related to the claim mentioned.</w:t>
            </w:r>
            <w:r>
              <w:br/>
              <w:t>1. Ectopic expression: The claim revolves around ectopic expression of four specific factors: Sall4, Nanog, Esrrb, and Lin28.</w:t>
            </w:r>
            <w:r>
              <w:br/>
              <w:t>2. Induced pluripotent stem cells (iPSCs): The aim is to generate iPSCs which are adult cells that have been reprogrammed back to an embryonic-like state, capable of differentiating into various cell types.</w:t>
            </w:r>
            <w:r>
              <w:br/>
              <w:t>3. From mouse embryonic fibroblasts (MEFs): The starting cells used in the experiment are mouse embryonic fibroblasts, commonly derived from mouse embryos.</w:t>
            </w:r>
            <w:r>
              <w:br/>
              <w:t>4. Efficiency: The claim states that this specific combination of factors leads to more efficient generation of iPSCs compared to other factor combinations.</w:t>
            </w:r>
            <w:r>
              <w:br/>
              <w:t>It is important to note that providing the exact degree of efficiency or comparing it against other factor combinations may require specific research references or data.</w:t>
            </w:r>
          </w:p>
        </w:tc>
      </w:tr>
      <w:tr w:rsidR="00933812" w14:paraId="0BE68FD5" w14:textId="77777777">
        <w:tc>
          <w:tcPr>
            <w:tcW w:w="4320" w:type="dxa"/>
          </w:tcPr>
          <w:p w14:paraId="3658E67D"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B8F1A09" w14:textId="7CC61592" w:rsidR="00933812" w:rsidRPr="00F372B8" w:rsidRDefault="00F372B8">
            <w:pPr>
              <w:rPr>
                <w:rFonts w:eastAsia="宋体"/>
                <w:lang w:eastAsia="zh-CN"/>
              </w:rPr>
            </w:pPr>
            <w:r>
              <w:rPr>
                <w:rFonts w:eastAsia="宋体" w:hint="eastAsia"/>
                <w:lang w:eastAsia="zh-CN"/>
              </w:rPr>
              <w:t>1</w:t>
            </w:r>
          </w:p>
        </w:tc>
      </w:tr>
      <w:tr w:rsidR="00933812" w14:paraId="00175B91" w14:textId="77777777">
        <w:tc>
          <w:tcPr>
            <w:tcW w:w="4320" w:type="dxa"/>
          </w:tcPr>
          <w:p w14:paraId="27289993" w14:textId="77777777" w:rsidR="00933812" w:rsidRDefault="00873D25">
            <w:r>
              <w:rPr>
                <w:rFonts w:ascii="仿宋" w:eastAsia="仿宋" w:hAnsi="仿宋"/>
              </w:rPr>
              <w:t>提取的事实</w:t>
            </w:r>
          </w:p>
        </w:tc>
        <w:tc>
          <w:tcPr>
            <w:tcW w:w="4320" w:type="dxa"/>
          </w:tcPr>
          <w:p w14:paraId="5B9862E9" w14:textId="77777777" w:rsidR="00933812" w:rsidRDefault="00873D25">
            <w:r>
              <w:t>1. The term "Ectopic expression" refers to the expression of certain factors in a location where they are normally not expressed.</w:t>
            </w:r>
            <w:r>
              <w:br/>
              <w:t>2. Sall4, Nanog, Esrrb, and Lin28 are the four specific factors mentioned in the claim for ectopic expression.</w:t>
            </w:r>
            <w:r>
              <w:br/>
              <w:t>3. Induced pluripotent stem cells (iPSCs) are adult cells reprogrammed back to an embryonic-like state, allowing them to differentiate into various cell types.</w:t>
            </w:r>
            <w:r>
              <w:br/>
              <w:t>4. The experiment mentioned in the claim uses mouse embryonic fibroblasts (MEFs) as the starting cells.</w:t>
            </w:r>
            <w:r>
              <w:br/>
              <w:t>5. The claim suggests that using the specific combination of Sall4, Nanog, Esrrb, and Lin28 leads to a more efficient generation of iPSCs compared to other combinations.</w:t>
            </w:r>
          </w:p>
        </w:tc>
      </w:tr>
      <w:tr w:rsidR="00933812" w14:paraId="4806C9C0" w14:textId="77777777">
        <w:tc>
          <w:tcPr>
            <w:tcW w:w="4320" w:type="dxa"/>
          </w:tcPr>
          <w:p w14:paraId="1B2071C4"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6B92680" w14:textId="70055C66" w:rsidR="00933812" w:rsidRPr="00F372B8" w:rsidRDefault="00F372B8">
            <w:pPr>
              <w:rPr>
                <w:rFonts w:eastAsia="宋体"/>
                <w:lang w:eastAsia="zh-CN"/>
              </w:rPr>
            </w:pPr>
            <w:r>
              <w:rPr>
                <w:rFonts w:eastAsia="宋体" w:hint="eastAsia"/>
                <w:lang w:eastAsia="zh-CN"/>
              </w:rPr>
              <w:t>1</w:t>
            </w:r>
            <w:r>
              <w:rPr>
                <w:rFonts w:eastAsia="宋体"/>
                <w:lang w:eastAsia="zh-CN"/>
              </w:rPr>
              <w:t>,</w:t>
            </w:r>
            <w:r w:rsidR="00D47268">
              <w:rPr>
                <w:rFonts w:eastAsia="宋体"/>
                <w:lang w:eastAsia="zh-CN"/>
              </w:rPr>
              <w:t>8,</w:t>
            </w:r>
            <w:r w:rsidR="001D4A78">
              <w:rPr>
                <w:rFonts w:eastAsia="宋体"/>
                <w:lang w:eastAsia="zh-CN"/>
              </w:rPr>
              <w:t>1,</w:t>
            </w:r>
            <w:r w:rsidR="00003D8A">
              <w:rPr>
                <w:rFonts w:eastAsia="宋体"/>
                <w:lang w:eastAsia="zh-CN"/>
              </w:rPr>
              <w:t>8,</w:t>
            </w:r>
            <w:r w:rsidR="007B2A8F">
              <w:rPr>
                <w:rFonts w:eastAsia="宋体"/>
                <w:lang w:eastAsia="zh-CN"/>
              </w:rPr>
              <w:t>8</w:t>
            </w:r>
          </w:p>
        </w:tc>
      </w:tr>
    </w:tbl>
    <w:p w14:paraId="4776AF01"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54"/>
        <w:gridCol w:w="5976"/>
      </w:tblGrid>
      <w:tr w:rsidR="00933812" w14:paraId="72F8F6BB" w14:textId="77777777">
        <w:tc>
          <w:tcPr>
            <w:tcW w:w="4320" w:type="dxa"/>
          </w:tcPr>
          <w:p w14:paraId="2F24948D" w14:textId="77777777" w:rsidR="00933812" w:rsidRDefault="00873D25">
            <w:r>
              <w:t>ID</w:t>
            </w:r>
          </w:p>
        </w:tc>
        <w:tc>
          <w:tcPr>
            <w:tcW w:w="10080" w:type="dxa"/>
          </w:tcPr>
          <w:p w14:paraId="2963C13C" w14:textId="77777777" w:rsidR="00933812" w:rsidRDefault="00873D25">
            <w:r>
              <w:t>218(29)</w:t>
            </w:r>
          </w:p>
        </w:tc>
      </w:tr>
      <w:tr w:rsidR="00933812" w14:paraId="36E0E034" w14:textId="77777777">
        <w:tc>
          <w:tcPr>
            <w:tcW w:w="4320" w:type="dxa"/>
          </w:tcPr>
          <w:p w14:paraId="541E5F44" w14:textId="77777777" w:rsidR="00933812" w:rsidRDefault="00873D25">
            <w:r>
              <w:rPr>
                <w:rFonts w:ascii="仿宋" w:eastAsia="仿宋" w:hAnsi="仿宋"/>
              </w:rPr>
              <w:t>领域</w:t>
            </w:r>
          </w:p>
        </w:tc>
        <w:tc>
          <w:tcPr>
            <w:tcW w:w="4320" w:type="dxa"/>
          </w:tcPr>
          <w:p w14:paraId="2C398CF2" w14:textId="77777777" w:rsidR="00933812" w:rsidRDefault="00873D25">
            <w:r>
              <w:t>Science</w:t>
            </w:r>
          </w:p>
        </w:tc>
      </w:tr>
      <w:tr w:rsidR="00933812" w14:paraId="2D1D0F3A" w14:textId="77777777">
        <w:tc>
          <w:tcPr>
            <w:tcW w:w="4320" w:type="dxa"/>
          </w:tcPr>
          <w:p w14:paraId="6C05FEE2" w14:textId="77777777" w:rsidR="00933812" w:rsidRDefault="00873D25">
            <w:r>
              <w:rPr>
                <w:rFonts w:ascii="仿宋" w:eastAsia="仿宋" w:hAnsi="仿宋"/>
              </w:rPr>
              <w:t>用户问题</w:t>
            </w:r>
          </w:p>
        </w:tc>
        <w:tc>
          <w:tcPr>
            <w:tcW w:w="4320" w:type="dxa"/>
          </w:tcPr>
          <w:p w14:paraId="3D1015B1" w14:textId="77777777" w:rsidR="00933812" w:rsidRDefault="00873D25">
            <w:r>
              <w:t>Can you clarify whether the claim "Egr3 regulates the homeostasis of B and T cells." is accurate or not? Build factual arguments about the claim.</w:t>
            </w:r>
          </w:p>
        </w:tc>
      </w:tr>
      <w:tr w:rsidR="00933812" w14:paraId="6D59476C" w14:textId="77777777">
        <w:tc>
          <w:tcPr>
            <w:tcW w:w="4320" w:type="dxa"/>
          </w:tcPr>
          <w:p w14:paraId="4EDDFB70"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503C996" w14:textId="66E39B14" w:rsidR="00933812" w:rsidRPr="007B2A8F" w:rsidRDefault="007B2A8F">
            <w:pPr>
              <w:rPr>
                <w:rFonts w:eastAsia="宋体"/>
                <w:lang w:eastAsia="zh-CN"/>
              </w:rPr>
            </w:pPr>
            <w:r>
              <w:rPr>
                <w:rFonts w:eastAsia="宋体" w:hint="eastAsia"/>
                <w:lang w:eastAsia="zh-CN"/>
              </w:rPr>
              <w:t>5</w:t>
            </w:r>
            <w:r>
              <w:rPr>
                <w:rFonts w:eastAsia="宋体"/>
                <w:lang w:eastAsia="zh-CN"/>
              </w:rPr>
              <w:t>,3,5</w:t>
            </w:r>
          </w:p>
        </w:tc>
      </w:tr>
      <w:tr w:rsidR="00933812" w14:paraId="4F8961AB" w14:textId="77777777">
        <w:tc>
          <w:tcPr>
            <w:tcW w:w="4320" w:type="dxa"/>
          </w:tcPr>
          <w:p w14:paraId="1515E276" w14:textId="77777777" w:rsidR="00933812" w:rsidRDefault="00873D25">
            <w:r>
              <w:rPr>
                <w:rFonts w:ascii="仿宋" w:eastAsia="仿宋" w:hAnsi="仿宋"/>
              </w:rPr>
              <w:t>模型回复</w:t>
            </w:r>
          </w:p>
        </w:tc>
        <w:tc>
          <w:tcPr>
            <w:tcW w:w="4320" w:type="dxa"/>
          </w:tcPr>
          <w:p w14:paraId="039D95D3" w14:textId="77777777" w:rsidR="00933812" w:rsidRDefault="00873D25">
            <w:r>
              <w:t>To assess the accuracy of the claim that "Egr3 regulates the homeostasis of B and T cells," we can examine relevant scientific research. While I can provide information based on available studies, it's important to note that scientific understanding is constantly evolving, and new evidence may emerge in the future. Based on current knowledge:</w:t>
            </w:r>
            <w:r>
              <w:br/>
              <w:t xml:space="preserve">1. Expression of Egr3 in B and T cells: Several studies have identified the presence of Egr3 (Early growth response gene 3) in both B and T cells. Egr3 is a transcription factor, </w:t>
            </w:r>
            <w:r>
              <w:lastRenderedPageBreak/>
              <w:t>meaning it plays a role in regulating gene expression. Its expression in these immune cells suggests a potential involvement in their function.</w:t>
            </w:r>
            <w:r>
              <w:br/>
              <w:t>2. Role in B cell homeostasis: A study by Safford et al. (2005) demonstrated that Egr3 controls the survival and maintenance of B cells. They observed that Egr3-deficient mice had reduced B cell numbers and impaired B cell receptor signaling, leading to compromised antibody response.</w:t>
            </w:r>
            <w:r>
              <w:br/>
              <w:t>3. Role in T cell homeostasis: Some studies propose a role for Egr3 in T cell function. For instance, Gonzalez et al. (2010) found that Egr3-deficient mice had altered T cell responses, particularly in the context of infection. This indicates that Egr3 might have a role in immune responses mediated by T cells.</w:t>
            </w:r>
            <w:r>
              <w:br/>
              <w:t>While there is support for Egr3's involvement in both B and T cells, it is crucial to note that the regulatory mechanisms and specific functions of Egr3 in these cell types are not fully understood.</w:t>
            </w:r>
            <w:r>
              <w:br/>
              <w:t>In conclusion, the claim that "Egr3 regulates the homeostasis of B and T cells" has some factual basis in current research. Egr3 does play a role in maintaining B cell survival and influencing T cell responses, but further research is needed to fully elucidate the specific mechanisms and functions of Egr3 in B and T cell homeostasis.</w:t>
            </w:r>
          </w:p>
        </w:tc>
      </w:tr>
      <w:tr w:rsidR="00933812" w14:paraId="358C4400" w14:textId="77777777">
        <w:tc>
          <w:tcPr>
            <w:tcW w:w="4320" w:type="dxa"/>
          </w:tcPr>
          <w:p w14:paraId="6474C8CB"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F47EE42" w14:textId="0E58B7E4" w:rsidR="00933812" w:rsidRPr="007B2A8F" w:rsidRDefault="007B2A8F">
            <w:pPr>
              <w:rPr>
                <w:rFonts w:eastAsia="宋体"/>
                <w:lang w:eastAsia="zh-CN"/>
              </w:rPr>
            </w:pPr>
            <w:r>
              <w:rPr>
                <w:rFonts w:eastAsia="宋体" w:hint="eastAsia"/>
                <w:lang w:eastAsia="zh-CN"/>
              </w:rPr>
              <w:t>1</w:t>
            </w:r>
          </w:p>
        </w:tc>
      </w:tr>
      <w:tr w:rsidR="00933812" w14:paraId="22529C5F" w14:textId="77777777">
        <w:tc>
          <w:tcPr>
            <w:tcW w:w="4320" w:type="dxa"/>
          </w:tcPr>
          <w:p w14:paraId="61198EBD" w14:textId="77777777" w:rsidR="00933812" w:rsidRDefault="00873D25">
            <w:r>
              <w:rPr>
                <w:rFonts w:ascii="仿宋" w:eastAsia="仿宋" w:hAnsi="仿宋"/>
              </w:rPr>
              <w:t>提取的事实</w:t>
            </w:r>
          </w:p>
        </w:tc>
        <w:tc>
          <w:tcPr>
            <w:tcW w:w="4320" w:type="dxa"/>
          </w:tcPr>
          <w:p w14:paraId="2C85C13A" w14:textId="77777777" w:rsidR="00933812" w:rsidRDefault="00873D25">
            <w:r>
              <w:t>1. Egr3 (Early growth response gene 3) is a transcription factor present in B and T cells.</w:t>
            </w:r>
            <w:r>
              <w:br/>
              <w:t>2. Egr3 is responsible for regulating gene expression.</w:t>
            </w:r>
            <w:r>
              <w:br/>
              <w:t>3. A study by Safford et al. (2005) found that Egr3 controls the survival and maintenance of B cells by observing that Egr3-deficient mice had reduced B cell numbers and impaired B cell receptor signaling.</w:t>
            </w:r>
            <w:r>
              <w:br/>
              <w:t>4. Another study by Gonzalez et al. (2010) suggests that Egr3 plays a role in T cell function, with Egr3-deficient mice presenting altered T cell responses.</w:t>
            </w:r>
            <w:r>
              <w:br/>
              <w:t>5. The regulatory mechanisms and specific functions of Egr3 in B and T cells are not entirely understood.</w:t>
            </w:r>
          </w:p>
        </w:tc>
      </w:tr>
      <w:tr w:rsidR="00933812" w14:paraId="6A1B4BEC" w14:textId="77777777">
        <w:tc>
          <w:tcPr>
            <w:tcW w:w="4320" w:type="dxa"/>
          </w:tcPr>
          <w:p w14:paraId="5645BB3B"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4C2CB4A7" w14:textId="466A1A72" w:rsidR="00933812" w:rsidRPr="007B2A8F" w:rsidRDefault="007B2A8F">
            <w:pPr>
              <w:rPr>
                <w:rFonts w:eastAsia="宋体"/>
                <w:lang w:eastAsia="zh-CN"/>
              </w:rPr>
            </w:pPr>
            <w:r>
              <w:rPr>
                <w:rFonts w:eastAsia="宋体" w:hint="eastAsia"/>
                <w:lang w:eastAsia="zh-CN"/>
              </w:rPr>
              <w:lastRenderedPageBreak/>
              <w:t>1</w:t>
            </w:r>
            <w:r>
              <w:rPr>
                <w:rFonts w:eastAsia="宋体"/>
                <w:lang w:eastAsia="zh-CN"/>
              </w:rPr>
              <w:t>,</w:t>
            </w:r>
            <w:r w:rsidR="006B1787">
              <w:rPr>
                <w:rFonts w:eastAsia="宋体"/>
                <w:lang w:eastAsia="zh-CN"/>
              </w:rPr>
              <w:t>1,</w:t>
            </w:r>
            <w:r w:rsidR="006A22B2">
              <w:rPr>
                <w:rFonts w:eastAsia="宋体"/>
                <w:lang w:eastAsia="zh-CN"/>
              </w:rPr>
              <w:t>2,</w:t>
            </w:r>
            <w:r w:rsidR="00BE5C22">
              <w:rPr>
                <w:rFonts w:eastAsia="宋体"/>
                <w:lang w:eastAsia="zh-CN"/>
              </w:rPr>
              <w:t>7,</w:t>
            </w:r>
            <w:r w:rsidR="00F71AF8">
              <w:rPr>
                <w:rFonts w:eastAsia="宋体"/>
                <w:lang w:eastAsia="zh-CN"/>
              </w:rPr>
              <w:t>1</w:t>
            </w:r>
          </w:p>
        </w:tc>
      </w:tr>
    </w:tbl>
    <w:p w14:paraId="343C9419"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67"/>
        <w:gridCol w:w="5963"/>
      </w:tblGrid>
      <w:tr w:rsidR="00933812" w14:paraId="4A9AD45C" w14:textId="77777777">
        <w:tc>
          <w:tcPr>
            <w:tcW w:w="4320" w:type="dxa"/>
          </w:tcPr>
          <w:p w14:paraId="130A441F" w14:textId="77777777" w:rsidR="00933812" w:rsidRDefault="00873D25">
            <w:r>
              <w:t>ID</w:t>
            </w:r>
          </w:p>
        </w:tc>
        <w:tc>
          <w:tcPr>
            <w:tcW w:w="10080" w:type="dxa"/>
          </w:tcPr>
          <w:p w14:paraId="0BE42637" w14:textId="77777777" w:rsidR="00933812" w:rsidRDefault="00873D25">
            <w:r>
              <w:t>219(30)</w:t>
            </w:r>
          </w:p>
        </w:tc>
      </w:tr>
      <w:tr w:rsidR="00933812" w14:paraId="1260C976" w14:textId="77777777">
        <w:tc>
          <w:tcPr>
            <w:tcW w:w="4320" w:type="dxa"/>
          </w:tcPr>
          <w:p w14:paraId="30D1B918" w14:textId="77777777" w:rsidR="00933812" w:rsidRDefault="00873D25">
            <w:r>
              <w:rPr>
                <w:rFonts w:ascii="仿宋" w:eastAsia="仿宋" w:hAnsi="仿宋"/>
              </w:rPr>
              <w:t>领域</w:t>
            </w:r>
          </w:p>
        </w:tc>
        <w:tc>
          <w:tcPr>
            <w:tcW w:w="4320" w:type="dxa"/>
          </w:tcPr>
          <w:p w14:paraId="78B6A83B" w14:textId="77777777" w:rsidR="00933812" w:rsidRDefault="00873D25">
            <w:r>
              <w:t>Science</w:t>
            </w:r>
          </w:p>
        </w:tc>
      </w:tr>
      <w:tr w:rsidR="00933812" w14:paraId="762B9FA7" w14:textId="77777777">
        <w:tc>
          <w:tcPr>
            <w:tcW w:w="4320" w:type="dxa"/>
          </w:tcPr>
          <w:p w14:paraId="261D683E" w14:textId="77777777" w:rsidR="00933812" w:rsidRDefault="00873D25">
            <w:r>
              <w:rPr>
                <w:rFonts w:ascii="仿宋" w:eastAsia="仿宋" w:hAnsi="仿宋"/>
              </w:rPr>
              <w:t>用户问题</w:t>
            </w:r>
          </w:p>
        </w:tc>
        <w:tc>
          <w:tcPr>
            <w:tcW w:w="4320" w:type="dxa"/>
          </w:tcPr>
          <w:p w14:paraId="5134EB17" w14:textId="77777777" w:rsidR="00933812" w:rsidRDefault="00873D25">
            <w:r>
              <w:t>How truthful is the statement that "Eilat virus (EILV) produced in mosquitos elicits rapid and long-lasting neutralizing antibodies in nonhuman primates."? Present a series of factual points about the statement.</w:t>
            </w:r>
          </w:p>
        </w:tc>
      </w:tr>
      <w:tr w:rsidR="00933812" w14:paraId="3914645B" w14:textId="77777777">
        <w:tc>
          <w:tcPr>
            <w:tcW w:w="4320" w:type="dxa"/>
          </w:tcPr>
          <w:p w14:paraId="0298C2C2"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9742DF8" w14:textId="5CC2003A" w:rsidR="00933812" w:rsidRPr="00F71AF8" w:rsidRDefault="00F71AF8">
            <w:pPr>
              <w:rPr>
                <w:rFonts w:eastAsia="宋体"/>
                <w:lang w:eastAsia="zh-CN"/>
              </w:rPr>
            </w:pPr>
            <w:r>
              <w:rPr>
                <w:rFonts w:eastAsia="宋体" w:hint="eastAsia"/>
                <w:lang w:eastAsia="zh-CN"/>
              </w:rPr>
              <w:t>4</w:t>
            </w:r>
            <w:r>
              <w:rPr>
                <w:rFonts w:eastAsia="宋体"/>
                <w:lang w:eastAsia="zh-CN"/>
              </w:rPr>
              <w:t>,5,5</w:t>
            </w:r>
          </w:p>
        </w:tc>
      </w:tr>
      <w:tr w:rsidR="00933812" w14:paraId="2E1EC4C7" w14:textId="77777777">
        <w:tc>
          <w:tcPr>
            <w:tcW w:w="4320" w:type="dxa"/>
          </w:tcPr>
          <w:p w14:paraId="5E5AB8B2" w14:textId="77777777" w:rsidR="00933812" w:rsidRDefault="00873D25">
            <w:r>
              <w:rPr>
                <w:rFonts w:ascii="仿宋" w:eastAsia="仿宋" w:hAnsi="仿宋"/>
              </w:rPr>
              <w:t>模型回复</w:t>
            </w:r>
          </w:p>
        </w:tc>
        <w:tc>
          <w:tcPr>
            <w:tcW w:w="4320" w:type="dxa"/>
          </w:tcPr>
          <w:p w14:paraId="596C62FF" w14:textId="77777777" w:rsidR="00933812" w:rsidRDefault="00873D25">
            <w:r>
              <w:t>1. The statement refers to the Eilat virus (EILV), which is a type of virus.</w:t>
            </w:r>
            <w:r>
              <w:br/>
              <w:t>2. EILV is produced in mosquitoes, implying that the virus replicates within mosquito cells.</w:t>
            </w:r>
            <w:r>
              <w:br/>
              <w:t>3. The statement claims that EILV produced in mosquitoes can elicit a specific immune response in nonhuman primates.</w:t>
            </w:r>
            <w:r>
              <w:br/>
              <w:t>4. The immune response generated is characterized by the production of rapid and long-lasting neutralizing antibodies.</w:t>
            </w:r>
            <w:r>
              <w:br/>
              <w:t>5. Neutralizing antibodies are a type of immune protein that can bind and neutralize the virus, preventing it from infecting cells.</w:t>
            </w:r>
            <w:r>
              <w:br/>
              <w:t>6. The term "rapid" suggests that the production of neutralizing antibodies occurs quickly after exposure to EILV.</w:t>
            </w:r>
            <w:r>
              <w:br/>
              <w:t>7. The term "long-lasting" indicates that the neutralizing antibodies persist in the nonhuman primates' systems for an extended period.</w:t>
            </w:r>
            <w:r>
              <w:br/>
              <w:t>8. Nonhuman primates are used as study subjects, suggesting that the findings may be applicable to humans due to some similarities in their immune systems.</w:t>
            </w:r>
            <w:r>
              <w:br/>
              <w:t>9. The statement does not provide specific details regarding the magnitude or duration of the immune response.</w:t>
            </w:r>
            <w:r>
              <w:br/>
              <w:t>10. The extent to which the neutralizing antibodies protect nonhuman primates from viral infection or disease is not specified in the statement.</w:t>
            </w:r>
            <w:r>
              <w:br/>
              <w:t>11. The statement does not mention potential side effects or adverse reactions associated with the immune response.</w:t>
            </w:r>
          </w:p>
        </w:tc>
      </w:tr>
      <w:tr w:rsidR="00933812" w14:paraId="7225D727" w14:textId="77777777">
        <w:tc>
          <w:tcPr>
            <w:tcW w:w="4320" w:type="dxa"/>
          </w:tcPr>
          <w:p w14:paraId="6D6FCE99" w14:textId="77777777" w:rsidR="00933812" w:rsidRDefault="00873D25">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555A848" w14:textId="40AB0A4F" w:rsidR="00933812" w:rsidRPr="00F71AF8" w:rsidRDefault="00F71AF8">
            <w:pPr>
              <w:rPr>
                <w:rFonts w:eastAsia="宋体"/>
                <w:lang w:eastAsia="zh-CN"/>
              </w:rPr>
            </w:pPr>
            <w:r>
              <w:rPr>
                <w:rFonts w:eastAsia="宋体" w:hint="eastAsia"/>
                <w:lang w:eastAsia="zh-CN"/>
              </w:rPr>
              <w:t>1</w:t>
            </w:r>
          </w:p>
        </w:tc>
      </w:tr>
      <w:tr w:rsidR="00933812" w14:paraId="10738E23" w14:textId="77777777">
        <w:tc>
          <w:tcPr>
            <w:tcW w:w="4320" w:type="dxa"/>
          </w:tcPr>
          <w:p w14:paraId="30BBDCE5" w14:textId="77777777" w:rsidR="00933812" w:rsidRDefault="00873D25">
            <w:r>
              <w:rPr>
                <w:rFonts w:ascii="仿宋" w:eastAsia="仿宋" w:hAnsi="仿宋"/>
              </w:rPr>
              <w:t>提取的事实</w:t>
            </w:r>
          </w:p>
        </w:tc>
        <w:tc>
          <w:tcPr>
            <w:tcW w:w="4320" w:type="dxa"/>
          </w:tcPr>
          <w:p w14:paraId="3215FC0F" w14:textId="77777777" w:rsidR="00933812" w:rsidRDefault="00873D25">
            <w:r>
              <w:t>1. The Eilat virus (EILV) is a type of virus.</w:t>
            </w:r>
            <w:r>
              <w:br/>
              <w:t>2. EILV replicates within mosquito cells.</w:t>
            </w:r>
            <w:r>
              <w:br/>
              <w:t xml:space="preserve">3. When produced in mosquitoes, EILV can elicit an immune </w:t>
            </w:r>
            <w:r>
              <w:lastRenderedPageBreak/>
              <w:t>response in nonhuman primates.</w:t>
            </w:r>
            <w:r>
              <w:br/>
              <w:t>4. This immune response includes the production of rapid and long-lasting neutralizing antibodies.</w:t>
            </w:r>
            <w:r>
              <w:br/>
              <w:t>5. Neutralizing antibodies are a type of immune protein that can bind and neutralize a virus, preventing it from infecting other cells.</w:t>
            </w:r>
          </w:p>
        </w:tc>
      </w:tr>
      <w:tr w:rsidR="00933812" w14:paraId="3A727764" w14:textId="77777777">
        <w:tc>
          <w:tcPr>
            <w:tcW w:w="4320" w:type="dxa"/>
          </w:tcPr>
          <w:p w14:paraId="3C20A184"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AE125C3" w14:textId="14FC317F" w:rsidR="00933812" w:rsidRPr="00F71AF8" w:rsidRDefault="00F71AF8">
            <w:pPr>
              <w:rPr>
                <w:rFonts w:eastAsia="宋体"/>
                <w:lang w:eastAsia="zh-CN"/>
              </w:rPr>
            </w:pPr>
            <w:r>
              <w:rPr>
                <w:rFonts w:eastAsia="宋体" w:hint="eastAsia"/>
                <w:lang w:eastAsia="zh-CN"/>
              </w:rPr>
              <w:t>1</w:t>
            </w:r>
            <w:r>
              <w:rPr>
                <w:rFonts w:eastAsia="宋体"/>
                <w:lang w:eastAsia="zh-CN"/>
              </w:rPr>
              <w:t>,</w:t>
            </w:r>
            <w:r w:rsidR="005532F4">
              <w:rPr>
                <w:rFonts w:eastAsia="宋体"/>
                <w:lang w:eastAsia="zh-CN"/>
              </w:rPr>
              <w:t>1,</w:t>
            </w:r>
            <w:r w:rsidR="00FE201A">
              <w:rPr>
                <w:rFonts w:eastAsia="宋体"/>
                <w:lang w:eastAsia="zh-CN"/>
              </w:rPr>
              <w:t>1</w:t>
            </w:r>
            <w:r w:rsidR="007A1677">
              <w:rPr>
                <w:rFonts w:eastAsia="宋体"/>
                <w:lang w:eastAsia="zh-CN"/>
              </w:rPr>
              <w:t>,</w:t>
            </w:r>
            <w:r w:rsidR="00AC343C">
              <w:rPr>
                <w:rFonts w:eastAsia="宋体"/>
                <w:lang w:eastAsia="zh-CN"/>
              </w:rPr>
              <w:t>8</w:t>
            </w:r>
            <w:r w:rsidR="005116A5">
              <w:rPr>
                <w:rFonts w:eastAsia="宋体"/>
                <w:lang w:eastAsia="zh-CN"/>
              </w:rPr>
              <w:t>,</w:t>
            </w:r>
            <w:r w:rsidR="00ED1051">
              <w:rPr>
                <w:rFonts w:eastAsia="宋体"/>
                <w:lang w:eastAsia="zh-CN"/>
              </w:rPr>
              <w:t>1</w:t>
            </w:r>
          </w:p>
        </w:tc>
      </w:tr>
    </w:tbl>
    <w:p w14:paraId="545B1117"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72"/>
        <w:gridCol w:w="5958"/>
      </w:tblGrid>
      <w:tr w:rsidR="00933812" w14:paraId="4882D93D" w14:textId="77777777">
        <w:tc>
          <w:tcPr>
            <w:tcW w:w="4320" w:type="dxa"/>
          </w:tcPr>
          <w:p w14:paraId="44AB906C" w14:textId="77777777" w:rsidR="00933812" w:rsidRDefault="00873D25">
            <w:r>
              <w:t>ID</w:t>
            </w:r>
          </w:p>
        </w:tc>
        <w:tc>
          <w:tcPr>
            <w:tcW w:w="10080" w:type="dxa"/>
          </w:tcPr>
          <w:p w14:paraId="04D05CC0" w14:textId="77777777" w:rsidR="00933812" w:rsidRDefault="00873D25">
            <w:r>
              <w:t>229(31)</w:t>
            </w:r>
          </w:p>
        </w:tc>
      </w:tr>
      <w:tr w:rsidR="00933812" w14:paraId="1AECE54B" w14:textId="77777777">
        <w:tc>
          <w:tcPr>
            <w:tcW w:w="4320" w:type="dxa"/>
          </w:tcPr>
          <w:p w14:paraId="5ED4C86F" w14:textId="77777777" w:rsidR="00933812" w:rsidRDefault="00873D25">
            <w:r>
              <w:rPr>
                <w:rFonts w:ascii="仿宋" w:eastAsia="仿宋" w:hAnsi="仿宋"/>
              </w:rPr>
              <w:t>领域</w:t>
            </w:r>
          </w:p>
        </w:tc>
        <w:tc>
          <w:tcPr>
            <w:tcW w:w="4320" w:type="dxa"/>
          </w:tcPr>
          <w:p w14:paraId="241A2AE9" w14:textId="77777777" w:rsidR="00933812" w:rsidRDefault="00873D25">
            <w:r>
              <w:t>Science</w:t>
            </w:r>
          </w:p>
        </w:tc>
      </w:tr>
      <w:tr w:rsidR="00933812" w14:paraId="7D047231" w14:textId="77777777">
        <w:tc>
          <w:tcPr>
            <w:tcW w:w="4320" w:type="dxa"/>
          </w:tcPr>
          <w:p w14:paraId="0D252E03" w14:textId="77777777" w:rsidR="00933812" w:rsidRDefault="00873D25">
            <w:r>
              <w:rPr>
                <w:rFonts w:ascii="仿宋" w:eastAsia="仿宋" w:hAnsi="仿宋"/>
              </w:rPr>
              <w:t>用户问题</w:t>
            </w:r>
          </w:p>
        </w:tc>
        <w:tc>
          <w:tcPr>
            <w:tcW w:w="4320" w:type="dxa"/>
          </w:tcPr>
          <w:p w14:paraId="6662F2AB" w14:textId="77777777" w:rsidR="00933812" w:rsidRDefault="00873D25">
            <w:r>
              <w:t>How truthful is the statement that "Ethanol stress increases the expression of PSP in bacteria."? Present a series of factual points about the statement.</w:t>
            </w:r>
          </w:p>
        </w:tc>
      </w:tr>
      <w:tr w:rsidR="00933812" w14:paraId="13C0E5EF" w14:textId="77777777">
        <w:tc>
          <w:tcPr>
            <w:tcW w:w="4320" w:type="dxa"/>
          </w:tcPr>
          <w:p w14:paraId="2E9DCD78"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6E03E3F" w14:textId="1B7F704E" w:rsidR="00933812" w:rsidRPr="00ED1051" w:rsidRDefault="00ED1051">
            <w:pPr>
              <w:rPr>
                <w:rFonts w:eastAsia="宋体"/>
                <w:lang w:eastAsia="zh-CN"/>
              </w:rPr>
            </w:pPr>
            <w:r>
              <w:rPr>
                <w:rFonts w:eastAsia="宋体" w:hint="eastAsia"/>
                <w:lang w:eastAsia="zh-CN"/>
              </w:rPr>
              <w:t>4</w:t>
            </w:r>
            <w:r>
              <w:rPr>
                <w:rFonts w:eastAsia="宋体"/>
                <w:lang w:eastAsia="zh-CN"/>
              </w:rPr>
              <w:t>,</w:t>
            </w:r>
            <w:r w:rsidR="002B0A53">
              <w:rPr>
                <w:rFonts w:eastAsia="宋体"/>
                <w:lang w:eastAsia="zh-CN"/>
              </w:rPr>
              <w:t>3</w:t>
            </w:r>
            <w:r>
              <w:rPr>
                <w:rFonts w:eastAsia="宋体"/>
                <w:lang w:eastAsia="zh-CN"/>
              </w:rPr>
              <w:t>,5</w:t>
            </w:r>
          </w:p>
        </w:tc>
      </w:tr>
      <w:tr w:rsidR="00933812" w14:paraId="1F3A1C66" w14:textId="77777777">
        <w:tc>
          <w:tcPr>
            <w:tcW w:w="4320" w:type="dxa"/>
          </w:tcPr>
          <w:p w14:paraId="6A41BCCA" w14:textId="77777777" w:rsidR="00933812" w:rsidRDefault="00873D25">
            <w:r>
              <w:rPr>
                <w:rFonts w:ascii="仿宋" w:eastAsia="仿宋" w:hAnsi="仿宋"/>
              </w:rPr>
              <w:t>模型回复</w:t>
            </w:r>
          </w:p>
        </w:tc>
        <w:tc>
          <w:tcPr>
            <w:tcW w:w="4320" w:type="dxa"/>
          </w:tcPr>
          <w:p w14:paraId="76F48FB5" w14:textId="77777777" w:rsidR="00933812" w:rsidRDefault="00873D25">
            <w:r>
              <w:t>1. Ethanol is a commonly used stressor in various scientific studies, including those focused on bacteria. It is known to induce stress responses in bacterial cells.</w:t>
            </w:r>
            <w:r>
              <w:br/>
              <w:t>2. PSP (Post-Stress Protein) is a term used to describe a group of proteins that are induced or upregulated in response to stress conditions, such as exposure to ethanol.</w:t>
            </w:r>
            <w:r>
              <w:br/>
              <w:t>3. Several studies have reported an increase in the expression of PSP in bacteria when exposed to ethanol stress. For example, a study published in the Journal of Bacteriology in 2009 found that ethanol exposure led to a significant increase in the expression of PSP genes in Escherichia coli.</w:t>
            </w:r>
            <w:r>
              <w:br/>
              <w:t>4. The induction of PSP in bacteria can help them adapt and survive under stressful conditions, including ethanol stress. These proteins may be involved in various cellular processes, such as protecting against oxidative damage, maintaining protein homeostasis, and enhancing overall stress tolerance.</w:t>
            </w:r>
            <w:r>
              <w:br/>
              <w:t xml:space="preserve">5. The specific mechanisms by which ethanol stress increases the expression of PSP in bacteria may vary depending on the bacterial species and the specific genes </w:t>
            </w:r>
            <w:r>
              <w:lastRenderedPageBreak/>
              <w:t>involved. Further research is needed to fully understand the underlying mechanisms.</w:t>
            </w:r>
            <w:r>
              <w:br/>
              <w:t>6. It is worth noting that while the statement implies a direct causal relationship between ethanol stress and PSP expression in bacteria, it is important to consider that multiple factors can influence gene expression in bacteria, and ethanol stress may not be the sole determinant.</w:t>
            </w:r>
            <w:r>
              <w:br/>
              <w:t>In summary, the statement that "Ethanol stress increases the expression of PSP in bacteria" is supported by scientific evidence and several studies; however, the level of truthfulness may depend on the specific experimental conditions and bacterial species being studied.</w:t>
            </w:r>
          </w:p>
        </w:tc>
      </w:tr>
      <w:tr w:rsidR="00933812" w14:paraId="7AE3E5D2" w14:textId="77777777">
        <w:tc>
          <w:tcPr>
            <w:tcW w:w="4320" w:type="dxa"/>
          </w:tcPr>
          <w:p w14:paraId="13604275"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EE24E54" w14:textId="5F3E2DC2" w:rsidR="00933812" w:rsidRPr="00ED1051" w:rsidRDefault="00ED1051">
            <w:pPr>
              <w:rPr>
                <w:rFonts w:eastAsia="宋体"/>
                <w:lang w:eastAsia="zh-CN"/>
              </w:rPr>
            </w:pPr>
            <w:r>
              <w:rPr>
                <w:rFonts w:eastAsia="宋体" w:hint="eastAsia"/>
                <w:lang w:eastAsia="zh-CN"/>
              </w:rPr>
              <w:t>1</w:t>
            </w:r>
          </w:p>
        </w:tc>
      </w:tr>
      <w:tr w:rsidR="00933812" w14:paraId="4815124D" w14:textId="77777777">
        <w:tc>
          <w:tcPr>
            <w:tcW w:w="4320" w:type="dxa"/>
          </w:tcPr>
          <w:p w14:paraId="13F4AC7E" w14:textId="77777777" w:rsidR="00933812" w:rsidRDefault="00873D25">
            <w:r>
              <w:rPr>
                <w:rFonts w:ascii="仿宋" w:eastAsia="仿宋" w:hAnsi="仿宋"/>
              </w:rPr>
              <w:t>提取的事实</w:t>
            </w:r>
          </w:p>
        </w:tc>
        <w:tc>
          <w:tcPr>
            <w:tcW w:w="4320" w:type="dxa"/>
          </w:tcPr>
          <w:p w14:paraId="2C8A1359" w14:textId="77777777" w:rsidR="00933812" w:rsidRDefault="00873D25">
            <w:r>
              <w:t>1. Ethanol is used as a stressor in scientific studies, including those focused on bacteria.</w:t>
            </w:r>
            <w:r>
              <w:br/>
              <w:t>2. Post-Stress Protein (PSP) is a group of proteins whose expression is induced or upregulated under stress conditions, such as exposure to ethanol.</w:t>
            </w:r>
            <w:r>
              <w:br/>
              <w:t>3. Studies have found that ethanol stress can lead to an increase in the expression of PSP in bacteria.</w:t>
            </w:r>
            <w:r>
              <w:br/>
              <w:t>4. The induction of PSP in bacteria can aid their adaptation and survival under stressful conditions.</w:t>
            </w:r>
            <w:r>
              <w:br/>
              <w:t>5. The mechanisms of how ethanol stress increases PSP expression in bacteria can vary based on the bacterial species and specific genes involved.</w:t>
            </w:r>
          </w:p>
        </w:tc>
      </w:tr>
      <w:tr w:rsidR="00933812" w14:paraId="0B94B249" w14:textId="77777777">
        <w:tc>
          <w:tcPr>
            <w:tcW w:w="4320" w:type="dxa"/>
          </w:tcPr>
          <w:p w14:paraId="6B6BED0F"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6725788" w14:textId="2C15B5CE" w:rsidR="00933812" w:rsidRPr="00ED1051" w:rsidRDefault="00ED1051">
            <w:pPr>
              <w:rPr>
                <w:rFonts w:eastAsia="宋体"/>
                <w:lang w:eastAsia="zh-CN"/>
              </w:rPr>
            </w:pPr>
            <w:r>
              <w:rPr>
                <w:rFonts w:eastAsia="宋体" w:hint="eastAsia"/>
                <w:lang w:eastAsia="zh-CN"/>
              </w:rPr>
              <w:t>1</w:t>
            </w:r>
            <w:r>
              <w:rPr>
                <w:rFonts w:eastAsia="宋体"/>
                <w:lang w:eastAsia="zh-CN"/>
              </w:rPr>
              <w:t>,</w:t>
            </w:r>
            <w:r w:rsidR="001277B8">
              <w:rPr>
                <w:rFonts w:eastAsia="宋体"/>
                <w:lang w:eastAsia="zh-CN"/>
              </w:rPr>
              <w:t>7</w:t>
            </w:r>
            <w:r w:rsidR="00D21880">
              <w:rPr>
                <w:rFonts w:eastAsia="宋体"/>
                <w:lang w:eastAsia="zh-CN"/>
              </w:rPr>
              <w:t>,</w:t>
            </w:r>
            <w:r w:rsidR="001277B8">
              <w:rPr>
                <w:rFonts w:eastAsia="宋体"/>
                <w:lang w:eastAsia="zh-CN"/>
              </w:rPr>
              <w:t>7</w:t>
            </w:r>
            <w:r w:rsidR="00CA2A2C">
              <w:rPr>
                <w:rFonts w:eastAsia="宋体"/>
                <w:lang w:eastAsia="zh-CN"/>
              </w:rPr>
              <w:t>,</w:t>
            </w:r>
            <w:r w:rsidR="001277B8">
              <w:rPr>
                <w:rFonts w:eastAsia="宋体"/>
                <w:lang w:eastAsia="zh-CN"/>
              </w:rPr>
              <w:t>7</w:t>
            </w:r>
            <w:r w:rsidR="003946E5">
              <w:rPr>
                <w:rFonts w:eastAsia="宋体"/>
                <w:lang w:eastAsia="zh-CN"/>
              </w:rPr>
              <w:t>,</w:t>
            </w:r>
            <w:r w:rsidR="00AD7806">
              <w:rPr>
                <w:rFonts w:eastAsia="宋体"/>
                <w:lang w:eastAsia="zh-CN"/>
              </w:rPr>
              <w:t>1</w:t>
            </w:r>
          </w:p>
        </w:tc>
      </w:tr>
    </w:tbl>
    <w:p w14:paraId="62883EA2"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26"/>
        <w:gridCol w:w="6004"/>
      </w:tblGrid>
      <w:tr w:rsidR="00933812" w14:paraId="58D6C003" w14:textId="77777777">
        <w:tc>
          <w:tcPr>
            <w:tcW w:w="4320" w:type="dxa"/>
          </w:tcPr>
          <w:p w14:paraId="1FD7BBD3" w14:textId="77777777" w:rsidR="00933812" w:rsidRDefault="00873D25">
            <w:r>
              <w:t>ID</w:t>
            </w:r>
          </w:p>
        </w:tc>
        <w:tc>
          <w:tcPr>
            <w:tcW w:w="10080" w:type="dxa"/>
          </w:tcPr>
          <w:p w14:paraId="324D4181" w14:textId="77777777" w:rsidR="00933812" w:rsidRDefault="00873D25">
            <w:r>
              <w:t>232(32)</w:t>
            </w:r>
          </w:p>
        </w:tc>
      </w:tr>
      <w:tr w:rsidR="00933812" w14:paraId="345EF67C" w14:textId="77777777">
        <w:tc>
          <w:tcPr>
            <w:tcW w:w="4320" w:type="dxa"/>
          </w:tcPr>
          <w:p w14:paraId="41911E3D" w14:textId="77777777" w:rsidR="00933812" w:rsidRDefault="00873D25">
            <w:r>
              <w:rPr>
                <w:rFonts w:ascii="仿宋" w:eastAsia="仿宋" w:hAnsi="仿宋"/>
              </w:rPr>
              <w:t>领域</w:t>
            </w:r>
          </w:p>
        </w:tc>
        <w:tc>
          <w:tcPr>
            <w:tcW w:w="4320" w:type="dxa"/>
          </w:tcPr>
          <w:p w14:paraId="7741DA41" w14:textId="77777777" w:rsidR="00933812" w:rsidRDefault="00873D25">
            <w:r>
              <w:t>Science</w:t>
            </w:r>
          </w:p>
        </w:tc>
      </w:tr>
      <w:tr w:rsidR="00933812" w14:paraId="222E14BB" w14:textId="77777777">
        <w:tc>
          <w:tcPr>
            <w:tcW w:w="4320" w:type="dxa"/>
          </w:tcPr>
          <w:p w14:paraId="3A22CB17" w14:textId="77777777" w:rsidR="00933812" w:rsidRDefault="00873D25">
            <w:r>
              <w:rPr>
                <w:rFonts w:ascii="仿宋" w:eastAsia="仿宋" w:hAnsi="仿宋"/>
              </w:rPr>
              <w:t>用户问题</w:t>
            </w:r>
          </w:p>
        </w:tc>
        <w:tc>
          <w:tcPr>
            <w:tcW w:w="4320" w:type="dxa"/>
          </w:tcPr>
          <w:p w14:paraId="63D5F53D" w14:textId="77777777" w:rsidR="00933812" w:rsidRDefault="00873D25">
            <w:r>
              <w:t>What is the validity of the assertion that "Ethanol stress reduces the expression of SRL in bacteria."? Outline fact-based statements about the assertion.</w:t>
            </w:r>
          </w:p>
        </w:tc>
      </w:tr>
      <w:tr w:rsidR="00933812" w14:paraId="59BE1167" w14:textId="77777777">
        <w:tc>
          <w:tcPr>
            <w:tcW w:w="4320" w:type="dxa"/>
          </w:tcPr>
          <w:p w14:paraId="5CDE0F2A"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DF8B82A" w14:textId="7BF84BF1" w:rsidR="00933812" w:rsidRPr="00AD7806" w:rsidRDefault="00AD7806">
            <w:pPr>
              <w:rPr>
                <w:rFonts w:eastAsia="宋体"/>
                <w:lang w:eastAsia="zh-CN"/>
              </w:rPr>
            </w:pPr>
            <w:r>
              <w:rPr>
                <w:rFonts w:eastAsia="宋体" w:hint="eastAsia"/>
                <w:lang w:eastAsia="zh-CN"/>
              </w:rPr>
              <w:lastRenderedPageBreak/>
              <w:t>4</w:t>
            </w:r>
            <w:r>
              <w:rPr>
                <w:rFonts w:eastAsia="宋体"/>
                <w:lang w:eastAsia="zh-CN"/>
              </w:rPr>
              <w:t>,3,5</w:t>
            </w:r>
          </w:p>
        </w:tc>
      </w:tr>
      <w:tr w:rsidR="00933812" w14:paraId="4A029C0A" w14:textId="77777777">
        <w:tc>
          <w:tcPr>
            <w:tcW w:w="4320" w:type="dxa"/>
          </w:tcPr>
          <w:p w14:paraId="6BAE76B4" w14:textId="77777777" w:rsidR="00933812" w:rsidRDefault="00873D25">
            <w:r>
              <w:rPr>
                <w:rFonts w:ascii="仿宋" w:eastAsia="仿宋" w:hAnsi="仿宋"/>
              </w:rPr>
              <w:t>模型回复</w:t>
            </w:r>
          </w:p>
        </w:tc>
        <w:tc>
          <w:tcPr>
            <w:tcW w:w="4320" w:type="dxa"/>
          </w:tcPr>
          <w:p w14:paraId="1F0CD2E0" w14:textId="77777777" w:rsidR="00933812" w:rsidRDefault="00873D25">
            <w:r>
              <w:t>To evaluate the validity of the assertion that "Ethanol stress reduces the expression of SRL in bacteria," let's outline some fact-based statements:</w:t>
            </w:r>
            <w:r>
              <w:br/>
              <w:t>1. Ethanol stress: Ethanol stress refers to the exposure of bacteria to high concentrations of ethanol. Ethanol is a toxic substance for many microorganisms, including bacteria, and can induce various stress responses.</w:t>
            </w:r>
            <w:r>
              <w:br/>
              <w:t>2. SRL: SRL (Sulfate Reduction Locus) is a genetic component found in some bacteria, specifically those involved in sulfate reduction. Sulfate reduction is a metabolic process where bacteria use sulfate as an electron acceptor to produce sulfide.</w:t>
            </w:r>
            <w:r>
              <w:br/>
              <w:t>3. Ethanol's effect on gene expression: Ethanol exposure can significantly alter gene expression patterns in bacteria. It can upregulate or downregulate the expression of certain genes, depending on the specific organism and stress conditions.</w:t>
            </w:r>
            <w:r>
              <w:br/>
              <w:t>4. Expression of SRL: The expression of SRL genes is tightly regulated in bacteria. The exact mechanisms controlling this gene expression may vary among different bacteria. However, environmental stressors, such as changes in nutrient availability or toxic substance exposure, can modulate the expression of genes involved in sulfate reduction.</w:t>
            </w:r>
            <w:r>
              <w:br/>
              <w:t>Based on these statements, it is reasonable to hypothesize that ethanol stress could potentially affect the expression of SRL in bacteria. However, it is important to note that the validity of the assertion requires experimental evidence specific to the bacteria and conditions under investigation. Different bacterial species may respond differently to ethanol stress, and the specific regulatory mechanisms controlling SRL expression may also vary. Thus, additional research or empirical data would be required to confirm or refute this assertion for a specific bacterial system.</w:t>
            </w:r>
          </w:p>
        </w:tc>
      </w:tr>
      <w:tr w:rsidR="00933812" w14:paraId="01F9798D" w14:textId="77777777">
        <w:tc>
          <w:tcPr>
            <w:tcW w:w="4320" w:type="dxa"/>
          </w:tcPr>
          <w:p w14:paraId="6128FC1B" w14:textId="77777777" w:rsidR="00933812" w:rsidRDefault="00873D25">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C5C74CB" w14:textId="23D89E66" w:rsidR="00933812" w:rsidRPr="00AD7806" w:rsidRDefault="00AD7806">
            <w:pPr>
              <w:rPr>
                <w:rFonts w:eastAsia="宋体"/>
                <w:lang w:eastAsia="zh-CN"/>
              </w:rPr>
            </w:pPr>
            <w:r>
              <w:rPr>
                <w:rFonts w:eastAsia="宋体" w:hint="eastAsia"/>
                <w:lang w:eastAsia="zh-CN"/>
              </w:rPr>
              <w:t>1</w:t>
            </w:r>
          </w:p>
        </w:tc>
      </w:tr>
      <w:tr w:rsidR="00933812" w14:paraId="07AA4DBA" w14:textId="77777777">
        <w:tc>
          <w:tcPr>
            <w:tcW w:w="4320" w:type="dxa"/>
          </w:tcPr>
          <w:p w14:paraId="5AB8B59E" w14:textId="77777777" w:rsidR="00933812" w:rsidRDefault="00873D25">
            <w:r>
              <w:rPr>
                <w:rFonts w:ascii="仿宋" w:eastAsia="仿宋" w:hAnsi="仿宋"/>
              </w:rPr>
              <w:t>提取的事实</w:t>
            </w:r>
          </w:p>
        </w:tc>
        <w:tc>
          <w:tcPr>
            <w:tcW w:w="4320" w:type="dxa"/>
          </w:tcPr>
          <w:p w14:paraId="7B1C4C5C" w14:textId="77777777" w:rsidR="00933812" w:rsidRDefault="00873D25">
            <w:r>
              <w:t>1. Ethanol stress refers to the exposure of bacteria to high concentrations of ethanol, which can induce various stress responses due to its toxic nature.</w:t>
            </w:r>
            <w:r>
              <w:br/>
              <w:t>2. SRL (Sulfate Reduction Locus) is a genetic component found in some bacteria, involved in the metabolic process of sulfate reduction.</w:t>
            </w:r>
            <w:r>
              <w:br/>
              <w:t>3. Ethanol exposure can significantly alter gene expression patterns in bacteria, either upregulating or downregulating the expression of certain genes.</w:t>
            </w:r>
            <w:r>
              <w:br/>
              <w:t xml:space="preserve">4. The expression of SRL genes in bacteria is tightly regulated </w:t>
            </w:r>
            <w:r>
              <w:lastRenderedPageBreak/>
              <w:t>and can be modulated by environmental stressors like changes in nutrient availability or toxic substance exposure.</w:t>
            </w:r>
            <w:r>
              <w:br/>
              <w:t>5. Different bacterial species may respond differently to ethanol stress, and the specific regulatory mechanisms controlling SRL expression may vary.</w:t>
            </w:r>
          </w:p>
        </w:tc>
      </w:tr>
      <w:tr w:rsidR="00933812" w14:paraId="42AE470B" w14:textId="77777777">
        <w:tc>
          <w:tcPr>
            <w:tcW w:w="4320" w:type="dxa"/>
          </w:tcPr>
          <w:p w14:paraId="2B74860E"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0478461" w14:textId="43E5F08A" w:rsidR="00933812" w:rsidRPr="00AD7806" w:rsidRDefault="00AD7806">
            <w:pPr>
              <w:rPr>
                <w:rFonts w:eastAsia="宋体"/>
                <w:lang w:eastAsia="zh-CN"/>
              </w:rPr>
            </w:pPr>
            <w:r>
              <w:rPr>
                <w:rFonts w:eastAsia="宋体" w:hint="eastAsia"/>
                <w:lang w:eastAsia="zh-CN"/>
              </w:rPr>
              <w:t>1</w:t>
            </w:r>
            <w:r>
              <w:rPr>
                <w:rFonts w:eastAsia="宋体"/>
                <w:lang w:eastAsia="zh-CN"/>
              </w:rPr>
              <w:t>,</w:t>
            </w:r>
            <w:r w:rsidR="00277C53">
              <w:rPr>
                <w:rFonts w:eastAsia="宋体"/>
                <w:lang w:eastAsia="zh-CN"/>
              </w:rPr>
              <w:t>7,</w:t>
            </w:r>
            <w:r w:rsidR="007C6B1A">
              <w:rPr>
                <w:rFonts w:eastAsia="宋体"/>
                <w:lang w:eastAsia="zh-CN"/>
              </w:rPr>
              <w:t>1,</w:t>
            </w:r>
            <w:r w:rsidR="009D07E2">
              <w:rPr>
                <w:rFonts w:eastAsia="宋体"/>
                <w:lang w:eastAsia="zh-CN"/>
              </w:rPr>
              <w:t>1,</w:t>
            </w:r>
            <w:r w:rsidR="00CE3AB0">
              <w:rPr>
                <w:rFonts w:eastAsia="宋体"/>
                <w:lang w:eastAsia="zh-CN"/>
              </w:rPr>
              <w:t>1</w:t>
            </w:r>
          </w:p>
        </w:tc>
      </w:tr>
    </w:tbl>
    <w:p w14:paraId="32E8479D"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933812" w14:paraId="77BE690F" w14:textId="77777777">
        <w:tc>
          <w:tcPr>
            <w:tcW w:w="4320" w:type="dxa"/>
          </w:tcPr>
          <w:p w14:paraId="14102AFA" w14:textId="77777777" w:rsidR="00933812" w:rsidRDefault="00873D25">
            <w:r>
              <w:t>ID</w:t>
            </w:r>
          </w:p>
        </w:tc>
        <w:tc>
          <w:tcPr>
            <w:tcW w:w="10080" w:type="dxa"/>
          </w:tcPr>
          <w:p w14:paraId="4B4D8399" w14:textId="77777777" w:rsidR="00933812" w:rsidRDefault="00873D25">
            <w:r>
              <w:t>237(33)</w:t>
            </w:r>
          </w:p>
        </w:tc>
      </w:tr>
      <w:tr w:rsidR="00933812" w14:paraId="1E01F081" w14:textId="77777777">
        <w:tc>
          <w:tcPr>
            <w:tcW w:w="4320" w:type="dxa"/>
          </w:tcPr>
          <w:p w14:paraId="5ED1548A" w14:textId="77777777" w:rsidR="00933812" w:rsidRDefault="00873D25">
            <w:r>
              <w:rPr>
                <w:rFonts w:ascii="仿宋" w:eastAsia="仿宋" w:hAnsi="仿宋"/>
              </w:rPr>
              <w:t>领域</w:t>
            </w:r>
          </w:p>
        </w:tc>
        <w:tc>
          <w:tcPr>
            <w:tcW w:w="4320" w:type="dxa"/>
          </w:tcPr>
          <w:p w14:paraId="1FA52826" w14:textId="77777777" w:rsidR="00933812" w:rsidRDefault="00873D25">
            <w:r>
              <w:t>Science</w:t>
            </w:r>
          </w:p>
        </w:tc>
      </w:tr>
      <w:tr w:rsidR="00933812" w14:paraId="6DC096B9" w14:textId="77777777">
        <w:tc>
          <w:tcPr>
            <w:tcW w:w="4320" w:type="dxa"/>
          </w:tcPr>
          <w:p w14:paraId="4B744F44" w14:textId="77777777" w:rsidR="00933812" w:rsidRDefault="00873D25">
            <w:r>
              <w:rPr>
                <w:rFonts w:ascii="仿宋" w:eastAsia="仿宋" w:hAnsi="仿宋"/>
              </w:rPr>
              <w:t>用户问题</w:t>
            </w:r>
          </w:p>
        </w:tc>
        <w:tc>
          <w:tcPr>
            <w:tcW w:w="4320" w:type="dxa"/>
          </w:tcPr>
          <w:p w14:paraId="4811CBB4" w14:textId="77777777" w:rsidR="00933812" w:rsidRDefault="00873D25">
            <w:r>
              <w:t>What is the validity of the assertion that "Exposure to fine particulate air pollution is unrelated to anxiety prevalence."? Outline fact-based statements about the assertion.</w:t>
            </w:r>
          </w:p>
        </w:tc>
      </w:tr>
      <w:tr w:rsidR="00933812" w14:paraId="7DB7BAA8" w14:textId="77777777">
        <w:tc>
          <w:tcPr>
            <w:tcW w:w="4320" w:type="dxa"/>
          </w:tcPr>
          <w:p w14:paraId="10632B59"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782BDCA" w14:textId="0FB0A303" w:rsidR="00933812" w:rsidRPr="00CE3AB0" w:rsidRDefault="00CE3AB0">
            <w:pPr>
              <w:rPr>
                <w:rFonts w:eastAsia="宋体"/>
                <w:lang w:eastAsia="zh-CN"/>
              </w:rPr>
            </w:pPr>
            <w:r>
              <w:rPr>
                <w:rFonts w:eastAsia="宋体" w:hint="eastAsia"/>
                <w:lang w:eastAsia="zh-CN"/>
              </w:rPr>
              <w:t>4</w:t>
            </w:r>
            <w:r>
              <w:rPr>
                <w:rFonts w:eastAsia="宋体"/>
                <w:lang w:eastAsia="zh-CN"/>
              </w:rPr>
              <w:t>,5,5</w:t>
            </w:r>
          </w:p>
        </w:tc>
      </w:tr>
      <w:tr w:rsidR="00933812" w14:paraId="3D39D7E2" w14:textId="77777777">
        <w:tc>
          <w:tcPr>
            <w:tcW w:w="4320" w:type="dxa"/>
          </w:tcPr>
          <w:p w14:paraId="0C80BBCA" w14:textId="77777777" w:rsidR="00933812" w:rsidRDefault="00873D25">
            <w:r>
              <w:rPr>
                <w:rFonts w:ascii="仿宋" w:eastAsia="仿宋" w:hAnsi="仿宋"/>
              </w:rPr>
              <w:t>模型回复</w:t>
            </w:r>
          </w:p>
        </w:tc>
        <w:tc>
          <w:tcPr>
            <w:tcW w:w="4320" w:type="dxa"/>
          </w:tcPr>
          <w:p w14:paraId="41B0F87E" w14:textId="77777777" w:rsidR="00933812" w:rsidRDefault="00873D25">
            <w:r>
              <w:t>Fact-based statements about the assertion that "Exposure to fine particulate air pollution is unrelated to anxiety prevalence" are as follows:</w:t>
            </w:r>
            <w:r>
              <w:br/>
              <w:t>1. Fine particulate air pollution, also known as PM2.5, refers to tiny airborne particles smaller than 2.5 micrometers in diameter. These particles can be released from various sources such as power plants, vehicle emissions, industrial processes, and fires.</w:t>
            </w:r>
            <w:r>
              <w:br/>
              <w:t>2. Anxiety prevalence is a measure of the occurrence or frequency of anxiety disorders within a given population. Anxiety disorders encompass a range of mental health conditions characterized by excessive worry, fear, and physiological symptoms such as restlessness, irritability, and difficulty concentrating.</w:t>
            </w:r>
            <w:r>
              <w:br/>
              <w:t>3. Scientific studies have investigated the potential relationship between exposure to fine particulate air pollution and anxiety prevalence. Research on this topic is ongoing, and various studies have yielded mixed findings.</w:t>
            </w:r>
            <w:r>
              <w:br/>
              <w:t xml:space="preserve">4. Some studies have found associations between exposure to fine particulate air pollution and increased anxiety prevalence. For example, a study published in the journal </w:t>
            </w:r>
            <w:r>
              <w:lastRenderedPageBreak/>
              <w:t>Environmental Health Perspectives in 2019 suggested that exposure to PM2.5 was linked to an increased risk of anxiety disorders in young children.</w:t>
            </w:r>
            <w:r>
              <w:br/>
              <w:t>5. Other research has reported contrasting results, indicating no significant association between fine particulate air pollution and anxiety prevalence. A study published in the Journal of Affective Disorders in 2017 found no direct relationship between PM2.5 exposure and anxiety disorders in adults.</w:t>
            </w:r>
            <w:r>
              <w:br/>
              <w:t>6. It is important to consider that factors such as geographic location, population demographics, individual susceptibility, and study methodologies can contribute to discrepancies in the research findings.</w:t>
            </w:r>
            <w:r>
              <w:br/>
              <w:t>7. While there is evidence suggesting associations between air pollution and mental health issues like anxiety, it is not yet possible to definitively conclude that exposure to fine particulate air pollution is unrelated to anxiety prevalence. Further research is required to obtain a comprehensive understanding of this complex relationship.</w:t>
            </w:r>
            <w:r>
              <w:br/>
              <w:t>Overall, the topic of air pollution and mental health is intricate, and more research is necessary to fully elucidate the specific impact of fine particulate air pollution on anxiety prevalence.</w:t>
            </w:r>
          </w:p>
        </w:tc>
      </w:tr>
      <w:tr w:rsidR="00933812" w14:paraId="3805E160" w14:textId="77777777">
        <w:tc>
          <w:tcPr>
            <w:tcW w:w="4320" w:type="dxa"/>
          </w:tcPr>
          <w:p w14:paraId="6F1BD855"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A472FEA" w14:textId="3E000C18" w:rsidR="00933812" w:rsidRPr="00CE3AB0" w:rsidRDefault="00CE3AB0">
            <w:pPr>
              <w:rPr>
                <w:rFonts w:eastAsia="宋体"/>
                <w:lang w:eastAsia="zh-CN"/>
              </w:rPr>
            </w:pPr>
            <w:r>
              <w:rPr>
                <w:rFonts w:eastAsia="宋体" w:hint="eastAsia"/>
                <w:lang w:eastAsia="zh-CN"/>
              </w:rPr>
              <w:t>1</w:t>
            </w:r>
          </w:p>
        </w:tc>
      </w:tr>
      <w:tr w:rsidR="00933812" w14:paraId="1D30ABCA" w14:textId="77777777">
        <w:tc>
          <w:tcPr>
            <w:tcW w:w="4320" w:type="dxa"/>
          </w:tcPr>
          <w:p w14:paraId="54A3F0A6" w14:textId="77777777" w:rsidR="00933812" w:rsidRDefault="00873D25">
            <w:r>
              <w:rPr>
                <w:rFonts w:ascii="仿宋" w:eastAsia="仿宋" w:hAnsi="仿宋"/>
              </w:rPr>
              <w:t>提取的事实</w:t>
            </w:r>
          </w:p>
        </w:tc>
        <w:tc>
          <w:tcPr>
            <w:tcW w:w="4320" w:type="dxa"/>
          </w:tcPr>
          <w:p w14:paraId="3053E2CD" w14:textId="77777777" w:rsidR="00933812" w:rsidRDefault="00873D25">
            <w:r>
              <w:t>1. Fine particulate air pollution, also known as PM2.5, are tiny airborne particles smaller than 2.5 micrometers in diameter released from sources like power plants, vehicle emissions, industrial processes, and fires.</w:t>
            </w:r>
            <w:r>
              <w:br/>
              <w:t>2. Anxiety prevalence is a measure of the frequency of anxiety disorders within a population.</w:t>
            </w:r>
            <w:r>
              <w:br/>
              <w:t>3. There have been scientific studies investigating the relationship between exposure to fine particulate air pollution and anxiety prevalence, with mixed findings.</w:t>
            </w:r>
            <w:r>
              <w:br/>
              <w:t>4. A study published in Environmental Health Perspectives in 2019 linked the exposure to PM2.5 to an increased risk of anxiety disorders in young children.</w:t>
            </w:r>
            <w:r>
              <w:br/>
              <w:t>5. Another study published in the Journal of Affective Disorders in 2017 found no direct relationship between PM2.5 exposure and anxiety disorders in adults.</w:t>
            </w:r>
          </w:p>
        </w:tc>
      </w:tr>
      <w:tr w:rsidR="00933812" w14:paraId="1D98E7E5" w14:textId="77777777">
        <w:tc>
          <w:tcPr>
            <w:tcW w:w="4320" w:type="dxa"/>
          </w:tcPr>
          <w:p w14:paraId="6F3B2BA3"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C060274" w14:textId="6080AE8C" w:rsidR="00933812" w:rsidRPr="00CE3AB0" w:rsidRDefault="00CE3AB0">
            <w:pPr>
              <w:rPr>
                <w:rFonts w:eastAsia="宋体"/>
                <w:lang w:eastAsia="zh-CN"/>
              </w:rPr>
            </w:pPr>
            <w:r>
              <w:rPr>
                <w:rFonts w:eastAsia="宋体" w:hint="eastAsia"/>
                <w:lang w:eastAsia="zh-CN"/>
              </w:rPr>
              <w:lastRenderedPageBreak/>
              <w:t>1</w:t>
            </w:r>
            <w:r>
              <w:rPr>
                <w:rFonts w:eastAsia="宋体"/>
                <w:lang w:eastAsia="zh-CN"/>
              </w:rPr>
              <w:t>,</w:t>
            </w:r>
            <w:r w:rsidR="00C11C05">
              <w:rPr>
                <w:rFonts w:eastAsia="宋体"/>
                <w:lang w:eastAsia="zh-CN"/>
              </w:rPr>
              <w:t>1,</w:t>
            </w:r>
            <w:r w:rsidR="004073B3">
              <w:rPr>
                <w:rFonts w:eastAsia="宋体"/>
                <w:lang w:eastAsia="zh-CN"/>
              </w:rPr>
              <w:t>1,</w:t>
            </w:r>
            <w:r w:rsidR="006B54FA">
              <w:rPr>
                <w:rFonts w:eastAsia="宋体"/>
                <w:lang w:eastAsia="zh-CN"/>
              </w:rPr>
              <w:t>2,</w:t>
            </w:r>
            <w:r w:rsidR="00406B44">
              <w:rPr>
                <w:rFonts w:eastAsia="宋体"/>
                <w:lang w:eastAsia="zh-CN"/>
              </w:rPr>
              <w:t>7</w:t>
            </w:r>
          </w:p>
        </w:tc>
      </w:tr>
    </w:tbl>
    <w:p w14:paraId="0E05082C"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53"/>
        <w:gridCol w:w="5977"/>
      </w:tblGrid>
      <w:tr w:rsidR="00933812" w14:paraId="3BEEF43F" w14:textId="77777777">
        <w:tc>
          <w:tcPr>
            <w:tcW w:w="4320" w:type="dxa"/>
          </w:tcPr>
          <w:p w14:paraId="72173A80" w14:textId="77777777" w:rsidR="00933812" w:rsidRDefault="00873D25">
            <w:r>
              <w:t>ID</w:t>
            </w:r>
          </w:p>
        </w:tc>
        <w:tc>
          <w:tcPr>
            <w:tcW w:w="10080" w:type="dxa"/>
          </w:tcPr>
          <w:p w14:paraId="002C3B63" w14:textId="77777777" w:rsidR="00933812" w:rsidRDefault="00873D25">
            <w:r>
              <w:t>238(34)</w:t>
            </w:r>
          </w:p>
        </w:tc>
      </w:tr>
      <w:tr w:rsidR="00933812" w14:paraId="0E89B9A0" w14:textId="77777777">
        <w:tc>
          <w:tcPr>
            <w:tcW w:w="4320" w:type="dxa"/>
          </w:tcPr>
          <w:p w14:paraId="591CDFF7" w14:textId="77777777" w:rsidR="00933812" w:rsidRDefault="00873D25">
            <w:r>
              <w:rPr>
                <w:rFonts w:ascii="仿宋" w:eastAsia="仿宋" w:hAnsi="仿宋"/>
              </w:rPr>
              <w:t>领域</w:t>
            </w:r>
          </w:p>
        </w:tc>
        <w:tc>
          <w:tcPr>
            <w:tcW w:w="4320" w:type="dxa"/>
          </w:tcPr>
          <w:p w14:paraId="43C8EF1B" w14:textId="77777777" w:rsidR="00933812" w:rsidRDefault="00873D25">
            <w:r>
              <w:t>Science</w:t>
            </w:r>
          </w:p>
        </w:tc>
      </w:tr>
      <w:tr w:rsidR="00933812" w14:paraId="5AD1997A" w14:textId="77777777">
        <w:tc>
          <w:tcPr>
            <w:tcW w:w="4320" w:type="dxa"/>
          </w:tcPr>
          <w:p w14:paraId="54A2E84B" w14:textId="77777777" w:rsidR="00933812" w:rsidRDefault="00873D25">
            <w:r>
              <w:rPr>
                <w:rFonts w:ascii="仿宋" w:eastAsia="仿宋" w:hAnsi="仿宋"/>
              </w:rPr>
              <w:t>用户问题</w:t>
            </w:r>
          </w:p>
        </w:tc>
        <w:tc>
          <w:tcPr>
            <w:tcW w:w="4320" w:type="dxa"/>
          </w:tcPr>
          <w:p w14:paraId="08B675CB" w14:textId="77777777" w:rsidR="00933812" w:rsidRDefault="00873D25">
            <w:r>
              <w:t>Can you clarify whether the claim "Expression of MSX2 is induced 3 hours after the addition of BMP4, which is earlier than T and CDX2." is accurate or not? Build factual arguments about the claim.</w:t>
            </w:r>
          </w:p>
        </w:tc>
      </w:tr>
      <w:tr w:rsidR="00933812" w14:paraId="7398B276" w14:textId="77777777">
        <w:tc>
          <w:tcPr>
            <w:tcW w:w="4320" w:type="dxa"/>
          </w:tcPr>
          <w:p w14:paraId="35F9C805"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A7B3478" w14:textId="57993907" w:rsidR="00933812" w:rsidRPr="00406B44" w:rsidRDefault="00FF069E">
            <w:pPr>
              <w:rPr>
                <w:rFonts w:eastAsia="宋体"/>
                <w:lang w:eastAsia="zh-CN"/>
              </w:rPr>
            </w:pPr>
            <w:r>
              <w:rPr>
                <w:rFonts w:eastAsia="宋体"/>
                <w:lang w:eastAsia="zh-CN"/>
              </w:rPr>
              <w:t>3</w:t>
            </w:r>
            <w:r w:rsidR="00406B44">
              <w:rPr>
                <w:rFonts w:eastAsia="宋体"/>
                <w:lang w:eastAsia="zh-CN"/>
              </w:rPr>
              <w:t>,2,5</w:t>
            </w:r>
          </w:p>
        </w:tc>
      </w:tr>
      <w:tr w:rsidR="00933812" w14:paraId="40CE4FC8" w14:textId="77777777">
        <w:tc>
          <w:tcPr>
            <w:tcW w:w="4320" w:type="dxa"/>
          </w:tcPr>
          <w:p w14:paraId="44035506" w14:textId="77777777" w:rsidR="00933812" w:rsidRDefault="00873D25">
            <w:r>
              <w:rPr>
                <w:rFonts w:ascii="仿宋" w:eastAsia="仿宋" w:hAnsi="仿宋"/>
              </w:rPr>
              <w:t>模型回复</w:t>
            </w:r>
          </w:p>
        </w:tc>
        <w:tc>
          <w:tcPr>
            <w:tcW w:w="4320" w:type="dxa"/>
          </w:tcPr>
          <w:p w14:paraId="4EE1A045" w14:textId="77777777" w:rsidR="00933812" w:rsidRDefault="00873D25">
            <w:r>
              <w:t>To determine the accuracy of the claim, we need to assess the evidence available. The claim suggests that the expression of MSX2 occurs earlier than that of T and CDX2, specifically 3 hours after the addition of BMP4. In order to evaluate this claim, let's break it down into two parts and examine each individually:</w:t>
            </w:r>
            <w:r>
              <w:br/>
              <w:t>1. Expression of MSX2 is induced 3 hours after the addition of BMP4:</w:t>
            </w:r>
            <w:r>
              <w:br/>
              <w:t>To assess the accuracy of this part, we need to refer to scientific studies or experiments that have investigated the expression pattern of MSX2 in response to BMP4. The claim implies that after BMP4 is added, it takes exactly 3 hours for MSX2 expression to occur. We can search for relevant studies to investigate the timing of MSX2 induction and determine if the claim is supported by experimental evidence.</w:t>
            </w:r>
            <w:r>
              <w:br/>
              <w:t>2. Expression of MSX2 occurs earlier than T and CDX2:</w:t>
            </w:r>
            <w:r>
              <w:br/>
              <w:t>To evaluate this assertion, we would need scientific evidence demonstrating the expression timeline of T (T-bet) and CDX2 in response to BMP4. By comparing the expression data for all three genes, we can determine if MSX2 is indeed induced earlier than T and CDX2.</w:t>
            </w:r>
            <w:r>
              <w:br/>
              <w:t>In conclusion, assessing the claim's accuracy requires a thorough analysis of scientific studies that investigate the expression patterns of MSX2, T, and CDX2 in response to BMP4 over time. Without such evidence, it is difficult to provide a definitive answer.</w:t>
            </w:r>
          </w:p>
        </w:tc>
      </w:tr>
      <w:tr w:rsidR="00933812" w14:paraId="27295D17" w14:textId="77777777">
        <w:tc>
          <w:tcPr>
            <w:tcW w:w="4320" w:type="dxa"/>
          </w:tcPr>
          <w:p w14:paraId="45D787E5" w14:textId="77777777" w:rsidR="00933812" w:rsidRDefault="00873D25">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88526AB" w14:textId="0792EC3B" w:rsidR="00933812" w:rsidRPr="00406B44" w:rsidRDefault="00406B44">
            <w:pPr>
              <w:rPr>
                <w:rFonts w:eastAsia="宋体"/>
                <w:lang w:eastAsia="zh-CN"/>
              </w:rPr>
            </w:pPr>
            <w:r>
              <w:rPr>
                <w:rFonts w:eastAsia="宋体" w:hint="eastAsia"/>
                <w:lang w:eastAsia="zh-CN"/>
              </w:rPr>
              <w:t>1</w:t>
            </w:r>
          </w:p>
        </w:tc>
      </w:tr>
      <w:tr w:rsidR="00933812" w14:paraId="424C967A" w14:textId="77777777">
        <w:tc>
          <w:tcPr>
            <w:tcW w:w="4320" w:type="dxa"/>
          </w:tcPr>
          <w:p w14:paraId="78E515A4" w14:textId="77777777" w:rsidR="00933812" w:rsidRDefault="00873D25">
            <w:r>
              <w:rPr>
                <w:rFonts w:ascii="仿宋" w:eastAsia="仿宋" w:hAnsi="仿宋"/>
              </w:rPr>
              <w:t>提取的事实</w:t>
            </w:r>
          </w:p>
        </w:tc>
        <w:tc>
          <w:tcPr>
            <w:tcW w:w="4320" w:type="dxa"/>
          </w:tcPr>
          <w:p w14:paraId="077C3010" w14:textId="77777777" w:rsidR="00933812" w:rsidRDefault="00873D25">
            <w:r>
              <w:t>1. The claim suggests that the expression of MSX2 occurs earlier than that of T and CDX2, specifically 3 hours after the addition of BMP4.</w:t>
            </w:r>
            <w:r>
              <w:br/>
            </w:r>
            <w:r>
              <w:lastRenderedPageBreak/>
              <w:t>2. Assessing the accuracy of the first part of the claim requires evidence from scientific studies or experiments that have investigated the expression pattern of MSX2 in response to BMP4.</w:t>
            </w:r>
            <w:r>
              <w:br/>
              <w:t>3. The claim implies that after BMP4 is added, it takes exactly 3 hours for MSX2 expression to occur.</w:t>
            </w:r>
            <w:r>
              <w:br/>
              <w:t>4. Evaluating the second part of the claim requires scientific evidence demonstrating the expression timeline of T (T-bet) and CDX2 in response to BMP4.</w:t>
            </w:r>
            <w:r>
              <w:br/>
              <w:t>5. A thorough analysis of scientific studies that investigate the expression patterns of MSX2, T, and CDX2 in response to BMP4 over time is required to assess the claim's accuracy.</w:t>
            </w:r>
          </w:p>
        </w:tc>
      </w:tr>
      <w:tr w:rsidR="00933812" w14:paraId="5162DDBB" w14:textId="77777777">
        <w:tc>
          <w:tcPr>
            <w:tcW w:w="4320" w:type="dxa"/>
          </w:tcPr>
          <w:p w14:paraId="0F3596CC"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5E6C6BC" w14:textId="0D907256" w:rsidR="00933812" w:rsidRPr="00406B44" w:rsidRDefault="00406B44">
            <w:pPr>
              <w:rPr>
                <w:rFonts w:eastAsia="宋体"/>
                <w:lang w:eastAsia="zh-CN"/>
              </w:rPr>
            </w:pPr>
            <w:r>
              <w:rPr>
                <w:rFonts w:eastAsia="宋体" w:hint="eastAsia"/>
                <w:lang w:eastAsia="zh-CN"/>
              </w:rPr>
              <w:t>8</w:t>
            </w:r>
            <w:r>
              <w:rPr>
                <w:rFonts w:eastAsia="宋体"/>
                <w:lang w:eastAsia="zh-CN"/>
              </w:rPr>
              <w:t>,8,8,</w:t>
            </w:r>
            <w:r w:rsidR="00C12657">
              <w:rPr>
                <w:rFonts w:eastAsia="宋体"/>
                <w:lang w:eastAsia="zh-CN"/>
              </w:rPr>
              <w:t>8,</w:t>
            </w:r>
            <w:r w:rsidR="00714C16">
              <w:rPr>
                <w:rFonts w:eastAsia="宋体"/>
                <w:lang w:eastAsia="zh-CN"/>
              </w:rPr>
              <w:t>8</w:t>
            </w:r>
          </w:p>
        </w:tc>
      </w:tr>
    </w:tbl>
    <w:p w14:paraId="58E13B0E"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04"/>
        <w:gridCol w:w="6026"/>
      </w:tblGrid>
      <w:tr w:rsidR="00933812" w14:paraId="025C28F2" w14:textId="77777777">
        <w:tc>
          <w:tcPr>
            <w:tcW w:w="4320" w:type="dxa"/>
          </w:tcPr>
          <w:p w14:paraId="53A3660C" w14:textId="77777777" w:rsidR="00933812" w:rsidRDefault="00873D25">
            <w:r>
              <w:t>ID</w:t>
            </w:r>
          </w:p>
        </w:tc>
        <w:tc>
          <w:tcPr>
            <w:tcW w:w="10080" w:type="dxa"/>
          </w:tcPr>
          <w:p w14:paraId="3E8EABA8" w14:textId="77777777" w:rsidR="00933812" w:rsidRDefault="00873D25">
            <w:r>
              <w:t>243(35)</w:t>
            </w:r>
          </w:p>
        </w:tc>
      </w:tr>
      <w:tr w:rsidR="00933812" w14:paraId="11962046" w14:textId="77777777">
        <w:tc>
          <w:tcPr>
            <w:tcW w:w="4320" w:type="dxa"/>
          </w:tcPr>
          <w:p w14:paraId="249B8862" w14:textId="77777777" w:rsidR="00933812" w:rsidRDefault="00873D25">
            <w:r>
              <w:rPr>
                <w:rFonts w:ascii="仿宋" w:eastAsia="仿宋" w:hAnsi="仿宋"/>
              </w:rPr>
              <w:t>领域</w:t>
            </w:r>
          </w:p>
        </w:tc>
        <w:tc>
          <w:tcPr>
            <w:tcW w:w="4320" w:type="dxa"/>
          </w:tcPr>
          <w:p w14:paraId="7DCBE17B" w14:textId="77777777" w:rsidR="00933812" w:rsidRDefault="00873D25">
            <w:r>
              <w:t>Science</w:t>
            </w:r>
          </w:p>
        </w:tc>
      </w:tr>
      <w:tr w:rsidR="00933812" w14:paraId="5149DF9B" w14:textId="77777777">
        <w:tc>
          <w:tcPr>
            <w:tcW w:w="4320" w:type="dxa"/>
          </w:tcPr>
          <w:p w14:paraId="4760E92F" w14:textId="77777777" w:rsidR="00933812" w:rsidRDefault="00873D25">
            <w:r>
              <w:rPr>
                <w:rFonts w:ascii="仿宋" w:eastAsia="仿宋" w:hAnsi="仿宋"/>
              </w:rPr>
              <w:t>用户问题</w:t>
            </w:r>
          </w:p>
        </w:tc>
        <w:tc>
          <w:tcPr>
            <w:tcW w:w="4320" w:type="dxa"/>
          </w:tcPr>
          <w:p w14:paraId="6BDE7C0D" w14:textId="77777777" w:rsidR="00933812" w:rsidRDefault="00873D25">
            <w:r>
              <w:t>Can you clarify whether the claim "Female carriers of the Apolipoprotein E4 (APOE4) allele have decreased risk for dementia." is accurate or not? Build factual arguments about the claim.</w:t>
            </w:r>
          </w:p>
        </w:tc>
      </w:tr>
      <w:tr w:rsidR="00933812" w14:paraId="00CAD35E" w14:textId="77777777">
        <w:tc>
          <w:tcPr>
            <w:tcW w:w="4320" w:type="dxa"/>
          </w:tcPr>
          <w:p w14:paraId="1A1411E8"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EFFA788" w14:textId="4EE9F23A" w:rsidR="00933812" w:rsidRPr="006E2F20" w:rsidRDefault="006E2F20">
            <w:pPr>
              <w:rPr>
                <w:rFonts w:eastAsia="宋体"/>
                <w:lang w:eastAsia="zh-CN"/>
              </w:rPr>
            </w:pPr>
            <w:r>
              <w:rPr>
                <w:rFonts w:eastAsia="宋体" w:hint="eastAsia"/>
                <w:lang w:eastAsia="zh-CN"/>
              </w:rPr>
              <w:t>3</w:t>
            </w:r>
            <w:r>
              <w:rPr>
                <w:rFonts w:eastAsia="宋体"/>
                <w:lang w:eastAsia="zh-CN"/>
              </w:rPr>
              <w:t>,3,5</w:t>
            </w:r>
          </w:p>
        </w:tc>
      </w:tr>
      <w:tr w:rsidR="00933812" w14:paraId="58D30B3B" w14:textId="77777777">
        <w:tc>
          <w:tcPr>
            <w:tcW w:w="4320" w:type="dxa"/>
          </w:tcPr>
          <w:p w14:paraId="001B7127" w14:textId="77777777" w:rsidR="00933812" w:rsidRDefault="00873D25">
            <w:r>
              <w:rPr>
                <w:rFonts w:ascii="仿宋" w:eastAsia="仿宋" w:hAnsi="仿宋"/>
              </w:rPr>
              <w:t>模型回复</w:t>
            </w:r>
          </w:p>
        </w:tc>
        <w:tc>
          <w:tcPr>
            <w:tcW w:w="4320" w:type="dxa"/>
          </w:tcPr>
          <w:p w14:paraId="37D09AE5" w14:textId="77777777" w:rsidR="00933812" w:rsidRDefault="00873D25">
            <w:r>
              <w:t>The claim that "Female carriers of the Apolipoprotein E4 (APOE4) allele have decreased risk for dementia" is not accurate. Here is a breakdown of factual arguments against the claim:</w:t>
            </w:r>
            <w:r>
              <w:br/>
              <w:t>1. APOE4 is a known genetic risk factor for late-onset Alzheimer's disease (AD): The APOE gene has three common alleles: ε2, ε3, and ε4. Carriers of the APOE4 allele have an increased risk of developing late-onset AD compared to non-carriers. Studies have consistently shown that individuals with one copy of the APOE4 gene are at increased risk, and those with two copies (homozygous) are at an even higher risk.</w:t>
            </w:r>
            <w:r>
              <w:br/>
            </w:r>
            <w:r>
              <w:lastRenderedPageBreak/>
              <w:t>2. Gender does not modify the risk conferred by APOE4: The association between APOE4 and AD risk is consistent across both males and females. Numerous studies have shown that APOE4 is equally detrimental for both genders, and the presence of APOE4 does not provide a protective effect against dementia in females.</w:t>
            </w:r>
            <w:r>
              <w:br/>
              <w:t>3. Conflicting studies and evidence: While some studies have indicated an association between APOE4 and a reduced risk of dementia in females, the majority of evidence supports that APOE4 is a risk factor for dementia, irrespective of gender. The conflicting studies might be due to differences in study methodology, sample sizes, or variations in ethnic populations studied. However, a comprehensive analysis of several large-scale studies concludes that APOE4 is consistently associated with an increased risk of AD across genders.</w:t>
            </w:r>
            <w:r>
              <w:br/>
              <w:t>4. Potential for misinterpretation: The accurate information regarding APOE4 and dementia risk might have been misinterpreted or misrepresented in certain studies, resulting in the claim that APOE4 carriers, particularly females, have a decreased risk. It is essential to review studies thoroughly, consider all available evidence, and follow consensus opinions from the scientific community.</w:t>
            </w:r>
            <w:r>
              <w:br/>
              <w:t>In conclusion, based on the bulk of scientific evidence, it is not accurate to claim that female carriers of the APOE4 allele have a decreased risk for dementia. On the contrary, APOE4 is generally associated with an increased risk of developing late-onset Alzheimer's disease.</w:t>
            </w:r>
          </w:p>
        </w:tc>
      </w:tr>
      <w:tr w:rsidR="00933812" w14:paraId="566C94F5" w14:textId="77777777">
        <w:tc>
          <w:tcPr>
            <w:tcW w:w="4320" w:type="dxa"/>
          </w:tcPr>
          <w:p w14:paraId="3362C82D"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FA635D8" w14:textId="304372EB" w:rsidR="00933812" w:rsidRPr="006E2F20" w:rsidRDefault="006E2F20">
            <w:pPr>
              <w:rPr>
                <w:rFonts w:eastAsia="宋体"/>
                <w:lang w:eastAsia="zh-CN"/>
              </w:rPr>
            </w:pPr>
            <w:r>
              <w:rPr>
                <w:rFonts w:eastAsia="宋体" w:hint="eastAsia"/>
                <w:lang w:eastAsia="zh-CN"/>
              </w:rPr>
              <w:t>1</w:t>
            </w:r>
          </w:p>
        </w:tc>
      </w:tr>
      <w:tr w:rsidR="00933812" w14:paraId="362DECF7" w14:textId="77777777">
        <w:tc>
          <w:tcPr>
            <w:tcW w:w="4320" w:type="dxa"/>
          </w:tcPr>
          <w:p w14:paraId="1E9B4DA7" w14:textId="77777777" w:rsidR="00933812" w:rsidRDefault="00873D25">
            <w:r>
              <w:rPr>
                <w:rFonts w:ascii="仿宋" w:eastAsia="仿宋" w:hAnsi="仿宋"/>
              </w:rPr>
              <w:t>提取的事实</w:t>
            </w:r>
          </w:p>
        </w:tc>
        <w:tc>
          <w:tcPr>
            <w:tcW w:w="4320" w:type="dxa"/>
          </w:tcPr>
          <w:p w14:paraId="46FEC08E" w14:textId="77777777" w:rsidR="00933812" w:rsidRDefault="00873D25">
            <w:r>
              <w:t>1. Apolipoprotein E4 (APOE4) is a known genetic risk factor for late-onset Alzheimer's disease.</w:t>
            </w:r>
            <w:r>
              <w:br/>
              <w:t>2. Individuals carrying one copy of the APOE4 gene have an increased risk of developing late-onset Alzheimer's disease.</w:t>
            </w:r>
            <w:r>
              <w:br/>
              <w:t>3. Individuals carrying two copies of the APOE4 gene have a significantly higher risk of developing late-onset Alzheimer's disease.</w:t>
            </w:r>
            <w:r>
              <w:br/>
              <w:t>4. The risk conferred by APOE4 for Alzheimer's disease is consistent across both genders.</w:t>
            </w:r>
            <w:r>
              <w:br/>
              <w:t>5. A comprehensive analysis of several studies concludes that APOE4 is consistently associated with an increased risk of Alzheimer's disease across genders.</w:t>
            </w:r>
          </w:p>
        </w:tc>
      </w:tr>
      <w:tr w:rsidR="00933812" w14:paraId="21EF09F5" w14:textId="77777777">
        <w:tc>
          <w:tcPr>
            <w:tcW w:w="4320" w:type="dxa"/>
          </w:tcPr>
          <w:p w14:paraId="1AE8905B"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6F6B79E" w14:textId="3208747A" w:rsidR="00933812" w:rsidRPr="006E2F20" w:rsidRDefault="006E2F20">
            <w:pPr>
              <w:rPr>
                <w:rFonts w:eastAsia="宋体"/>
                <w:lang w:eastAsia="zh-CN"/>
              </w:rPr>
            </w:pPr>
            <w:r>
              <w:rPr>
                <w:rFonts w:eastAsia="宋体" w:hint="eastAsia"/>
                <w:lang w:eastAsia="zh-CN"/>
              </w:rPr>
              <w:lastRenderedPageBreak/>
              <w:t>1</w:t>
            </w:r>
            <w:r>
              <w:rPr>
                <w:rFonts w:eastAsia="宋体"/>
                <w:lang w:eastAsia="zh-CN"/>
              </w:rPr>
              <w:t>,</w:t>
            </w:r>
            <w:r w:rsidR="004325C3">
              <w:rPr>
                <w:rFonts w:eastAsia="宋体"/>
                <w:lang w:eastAsia="zh-CN"/>
              </w:rPr>
              <w:t>1</w:t>
            </w:r>
            <w:r w:rsidR="00F72320">
              <w:rPr>
                <w:rFonts w:eastAsia="宋体"/>
                <w:lang w:eastAsia="zh-CN"/>
              </w:rPr>
              <w:t>,</w:t>
            </w:r>
            <w:r w:rsidR="00866882">
              <w:rPr>
                <w:rFonts w:eastAsia="宋体"/>
                <w:lang w:eastAsia="zh-CN"/>
              </w:rPr>
              <w:t>1,</w:t>
            </w:r>
            <w:r w:rsidR="00D458E2">
              <w:rPr>
                <w:rFonts w:eastAsia="宋体"/>
                <w:lang w:eastAsia="zh-CN"/>
              </w:rPr>
              <w:t>1,</w:t>
            </w:r>
            <w:r w:rsidR="00AF59B5">
              <w:rPr>
                <w:rFonts w:eastAsia="宋体"/>
                <w:lang w:eastAsia="zh-CN"/>
              </w:rPr>
              <w:t>6</w:t>
            </w:r>
          </w:p>
        </w:tc>
      </w:tr>
    </w:tbl>
    <w:p w14:paraId="6A5DC282"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40"/>
        <w:gridCol w:w="5990"/>
      </w:tblGrid>
      <w:tr w:rsidR="00933812" w14:paraId="47325481" w14:textId="77777777">
        <w:tc>
          <w:tcPr>
            <w:tcW w:w="4320" w:type="dxa"/>
          </w:tcPr>
          <w:p w14:paraId="29FBF282" w14:textId="77777777" w:rsidR="00933812" w:rsidRDefault="00873D25">
            <w:r>
              <w:t>ID</w:t>
            </w:r>
          </w:p>
        </w:tc>
        <w:tc>
          <w:tcPr>
            <w:tcW w:w="10080" w:type="dxa"/>
          </w:tcPr>
          <w:p w14:paraId="419333AD" w14:textId="77777777" w:rsidR="00933812" w:rsidRDefault="00873D25">
            <w:r>
              <w:t>254(36)</w:t>
            </w:r>
          </w:p>
        </w:tc>
      </w:tr>
      <w:tr w:rsidR="00933812" w14:paraId="7B0AC27C" w14:textId="77777777">
        <w:tc>
          <w:tcPr>
            <w:tcW w:w="4320" w:type="dxa"/>
          </w:tcPr>
          <w:p w14:paraId="70E0BED7" w14:textId="77777777" w:rsidR="00933812" w:rsidRDefault="00873D25">
            <w:r>
              <w:rPr>
                <w:rFonts w:ascii="仿宋" w:eastAsia="仿宋" w:hAnsi="仿宋"/>
              </w:rPr>
              <w:t>领域</w:t>
            </w:r>
          </w:p>
        </w:tc>
        <w:tc>
          <w:tcPr>
            <w:tcW w:w="4320" w:type="dxa"/>
          </w:tcPr>
          <w:p w14:paraId="7906201C" w14:textId="77777777" w:rsidR="00933812" w:rsidRDefault="00873D25">
            <w:r>
              <w:t>Science</w:t>
            </w:r>
          </w:p>
        </w:tc>
      </w:tr>
      <w:tr w:rsidR="00933812" w14:paraId="49F53640" w14:textId="77777777">
        <w:tc>
          <w:tcPr>
            <w:tcW w:w="4320" w:type="dxa"/>
          </w:tcPr>
          <w:p w14:paraId="66D41A09" w14:textId="77777777" w:rsidR="00933812" w:rsidRDefault="00873D25">
            <w:r>
              <w:rPr>
                <w:rFonts w:ascii="仿宋" w:eastAsia="仿宋" w:hAnsi="仿宋"/>
              </w:rPr>
              <w:t>用户问题</w:t>
            </w:r>
          </w:p>
        </w:tc>
        <w:tc>
          <w:tcPr>
            <w:tcW w:w="4320" w:type="dxa"/>
          </w:tcPr>
          <w:p w14:paraId="71F7C95F" w14:textId="77777777" w:rsidR="00933812" w:rsidRDefault="00873D25">
            <w:r>
              <w:t>How truthful is the statement that "Formation of N-terminal pyroglutamate by glutamine cyclase (GC) competes with NTAQ1 for Nt-Gln substrates."? Present a series of factual points about the statement.</w:t>
            </w:r>
          </w:p>
        </w:tc>
      </w:tr>
      <w:tr w:rsidR="00933812" w14:paraId="051460F0" w14:textId="77777777">
        <w:tc>
          <w:tcPr>
            <w:tcW w:w="4320" w:type="dxa"/>
          </w:tcPr>
          <w:p w14:paraId="5F2F0F16"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B62B707" w14:textId="329EEC3E" w:rsidR="00933812" w:rsidRPr="004C7A2E" w:rsidRDefault="00086079">
            <w:pPr>
              <w:rPr>
                <w:rFonts w:eastAsia="宋体"/>
                <w:lang w:eastAsia="zh-CN"/>
              </w:rPr>
            </w:pPr>
            <w:r>
              <w:rPr>
                <w:rFonts w:eastAsia="宋体"/>
                <w:lang w:eastAsia="zh-CN"/>
              </w:rPr>
              <w:t>3</w:t>
            </w:r>
            <w:r w:rsidR="004C7A2E">
              <w:rPr>
                <w:rFonts w:eastAsia="宋体"/>
                <w:lang w:eastAsia="zh-CN"/>
              </w:rPr>
              <w:t>,</w:t>
            </w:r>
            <w:r w:rsidR="00A82F51">
              <w:rPr>
                <w:rFonts w:eastAsia="宋体"/>
                <w:lang w:eastAsia="zh-CN"/>
              </w:rPr>
              <w:t>1</w:t>
            </w:r>
            <w:r w:rsidR="004C7A2E">
              <w:rPr>
                <w:rFonts w:eastAsia="宋体"/>
                <w:lang w:eastAsia="zh-CN"/>
              </w:rPr>
              <w:t>,5</w:t>
            </w:r>
          </w:p>
        </w:tc>
      </w:tr>
      <w:tr w:rsidR="00933812" w14:paraId="23A3D160" w14:textId="77777777">
        <w:tc>
          <w:tcPr>
            <w:tcW w:w="4320" w:type="dxa"/>
          </w:tcPr>
          <w:p w14:paraId="79D77F0C" w14:textId="77777777" w:rsidR="00933812" w:rsidRDefault="00873D25">
            <w:r>
              <w:rPr>
                <w:rFonts w:ascii="仿宋" w:eastAsia="仿宋" w:hAnsi="仿宋"/>
              </w:rPr>
              <w:t>模型回复</w:t>
            </w:r>
          </w:p>
        </w:tc>
        <w:tc>
          <w:tcPr>
            <w:tcW w:w="4320" w:type="dxa"/>
          </w:tcPr>
          <w:p w14:paraId="5B31E179" w14:textId="77777777" w:rsidR="00933812" w:rsidRDefault="00873D25">
            <w:r>
              <w:t>The statement can be evaluated based on factual points:</w:t>
            </w:r>
            <w:r>
              <w:br/>
              <w:t>1. Glutamine cyclase (GC) is an enzyme responsible for the formation of N-terminal pyroglutamate. This enzymatic process involves the cyclization of N-terminal glutamine residues into pyroglutamate.</w:t>
            </w:r>
            <w:r>
              <w:br/>
              <w:t>2. N-terminal glutamine residues are common in many proteins and peptides, serving various functions such as stabilization, signaling, and protection against degradation.</w:t>
            </w:r>
            <w:r>
              <w:br/>
              <w:t>3. NTAQ1 is a protein or peptide that can bind to N-terminal glutamine residues. It potentially competes with GC for the same substrate (Nt-Gln) during the post-translational modification process.</w:t>
            </w:r>
            <w:r>
              <w:br/>
              <w:t>4. Competition between GC and NTAQ1 for Nt-Gln substrates implies that both enzymes can act on the same N-terminal glutamine residue simultaneously.</w:t>
            </w:r>
            <w:r>
              <w:br/>
              <w:t>5. The competition might result in either the formation of N-terminal pyroglutamate by GC or the binding of NTAQ1 to the glutamine residue, preventing further enzymatic modifications.</w:t>
            </w:r>
            <w:r>
              <w:br/>
              <w:t>6. The impact of this competition would depend on various factors, such as the relative concentration and activity of GC and NTAQ1, as well as the availability of Nt-Gln substrates.</w:t>
            </w:r>
            <w:r>
              <w:br/>
              <w:t>7. It's important to note that the competition between GC and NTAQ1 is not absolute, and other factors in the cellular environment can influence the outcome.</w:t>
            </w:r>
            <w:r>
              <w:br/>
              <w:t xml:space="preserve">Overall, the statement suggests that the formation of N-terminal pyroglutamate by GC and the binding of NTAQ1 to Nt-Gln substrates are competing processes. However, the extent and significance of this competition would depend on various factors, including the relative concentration and </w:t>
            </w:r>
            <w:r>
              <w:lastRenderedPageBreak/>
              <w:t>activity of the enzymes and the availability of Nt-Gln substrates.</w:t>
            </w:r>
          </w:p>
        </w:tc>
      </w:tr>
      <w:tr w:rsidR="00933812" w14:paraId="0AA9FA18" w14:textId="77777777">
        <w:tc>
          <w:tcPr>
            <w:tcW w:w="4320" w:type="dxa"/>
          </w:tcPr>
          <w:p w14:paraId="5EA4115C"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73AED2F" w14:textId="465EF8B0" w:rsidR="00933812" w:rsidRPr="004C7A2E" w:rsidRDefault="004C7A2E">
            <w:pPr>
              <w:rPr>
                <w:rFonts w:eastAsia="宋体"/>
                <w:lang w:eastAsia="zh-CN"/>
              </w:rPr>
            </w:pPr>
            <w:r>
              <w:rPr>
                <w:rFonts w:eastAsia="宋体" w:hint="eastAsia"/>
                <w:lang w:eastAsia="zh-CN"/>
              </w:rPr>
              <w:t>1</w:t>
            </w:r>
          </w:p>
        </w:tc>
      </w:tr>
      <w:tr w:rsidR="00933812" w14:paraId="718806D4" w14:textId="77777777">
        <w:tc>
          <w:tcPr>
            <w:tcW w:w="4320" w:type="dxa"/>
          </w:tcPr>
          <w:p w14:paraId="35EC3247" w14:textId="77777777" w:rsidR="00933812" w:rsidRDefault="00873D25">
            <w:r>
              <w:rPr>
                <w:rFonts w:ascii="仿宋" w:eastAsia="仿宋" w:hAnsi="仿宋"/>
              </w:rPr>
              <w:t>提取的事实</w:t>
            </w:r>
          </w:p>
        </w:tc>
        <w:tc>
          <w:tcPr>
            <w:tcW w:w="4320" w:type="dxa"/>
          </w:tcPr>
          <w:p w14:paraId="4151932D" w14:textId="77777777" w:rsidR="00933812" w:rsidRDefault="00873D25">
            <w:r>
              <w:t>1. Glutamine cyclase (GC) is an enzyme that aids in the formation of N-terminal pyroglutamate through the cyclization of N-terminal glutamine residues into pyroglutamate.</w:t>
            </w:r>
            <w:r>
              <w:br/>
              <w:t>2. N-terminal glutamine residues are common in many proteins and peptides; their roles include stabilization, signaling, and protection against degradation.</w:t>
            </w:r>
            <w:r>
              <w:br/>
              <w:t>3. NTAQ1 is a protein or peptide that can bind N-terminal glutamine residues.</w:t>
            </w:r>
            <w:r>
              <w:br/>
              <w:t>4. Both GC and NTAQ1 can act on the same N-terminal glutamine residue at the same time, thus competing for it.</w:t>
            </w:r>
            <w:r>
              <w:br/>
              <w:t>5. The competition between GC and NTAQ1 might either result in the formation of N-terminal pyroglutamate by GC or NTAQ1 binding to the glutamine residue, thereby preventing further enzymatic modifications.</w:t>
            </w:r>
          </w:p>
        </w:tc>
      </w:tr>
      <w:tr w:rsidR="00933812" w14:paraId="322AAC39" w14:textId="77777777">
        <w:tc>
          <w:tcPr>
            <w:tcW w:w="4320" w:type="dxa"/>
          </w:tcPr>
          <w:p w14:paraId="0A7AD8EC"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5E08A69" w14:textId="6913C6DF" w:rsidR="00933812" w:rsidRPr="004C7A2E" w:rsidRDefault="004C7A2E">
            <w:pPr>
              <w:rPr>
                <w:rFonts w:eastAsia="宋体"/>
                <w:lang w:eastAsia="zh-CN"/>
              </w:rPr>
            </w:pPr>
            <w:r>
              <w:rPr>
                <w:rFonts w:eastAsia="宋体" w:hint="eastAsia"/>
                <w:lang w:eastAsia="zh-CN"/>
              </w:rPr>
              <w:t>1</w:t>
            </w:r>
            <w:r>
              <w:rPr>
                <w:rFonts w:eastAsia="宋体"/>
                <w:lang w:eastAsia="zh-CN"/>
              </w:rPr>
              <w:t>,</w:t>
            </w:r>
            <w:r w:rsidR="005A5156">
              <w:rPr>
                <w:rFonts w:eastAsia="宋体"/>
                <w:lang w:eastAsia="zh-CN"/>
              </w:rPr>
              <w:t>1,1,</w:t>
            </w:r>
            <w:r w:rsidR="009168F1">
              <w:rPr>
                <w:rFonts w:eastAsia="宋体"/>
                <w:lang w:eastAsia="zh-CN"/>
              </w:rPr>
              <w:t>1,</w:t>
            </w:r>
            <w:r w:rsidR="003D43E8">
              <w:rPr>
                <w:rFonts w:eastAsia="宋体"/>
                <w:lang w:eastAsia="zh-CN"/>
              </w:rPr>
              <w:t>1</w:t>
            </w:r>
          </w:p>
        </w:tc>
      </w:tr>
    </w:tbl>
    <w:p w14:paraId="2A1DC486"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74"/>
        <w:gridCol w:w="5956"/>
      </w:tblGrid>
      <w:tr w:rsidR="00933812" w14:paraId="5216D280" w14:textId="77777777">
        <w:tc>
          <w:tcPr>
            <w:tcW w:w="4320" w:type="dxa"/>
          </w:tcPr>
          <w:p w14:paraId="53091CE6" w14:textId="77777777" w:rsidR="00933812" w:rsidRDefault="00873D25">
            <w:r>
              <w:t>ID</w:t>
            </w:r>
          </w:p>
        </w:tc>
        <w:tc>
          <w:tcPr>
            <w:tcW w:w="10080" w:type="dxa"/>
          </w:tcPr>
          <w:p w14:paraId="1FA683B1" w14:textId="77777777" w:rsidR="00933812" w:rsidRDefault="00873D25">
            <w:r>
              <w:t>256(37)</w:t>
            </w:r>
          </w:p>
        </w:tc>
      </w:tr>
      <w:tr w:rsidR="00933812" w14:paraId="779AFC26" w14:textId="77777777">
        <w:tc>
          <w:tcPr>
            <w:tcW w:w="4320" w:type="dxa"/>
          </w:tcPr>
          <w:p w14:paraId="509650FD" w14:textId="77777777" w:rsidR="00933812" w:rsidRDefault="00873D25">
            <w:r>
              <w:rPr>
                <w:rFonts w:ascii="仿宋" w:eastAsia="仿宋" w:hAnsi="仿宋"/>
              </w:rPr>
              <w:t>领域</w:t>
            </w:r>
          </w:p>
        </w:tc>
        <w:tc>
          <w:tcPr>
            <w:tcW w:w="4320" w:type="dxa"/>
          </w:tcPr>
          <w:p w14:paraId="31ADE79B" w14:textId="77777777" w:rsidR="00933812" w:rsidRDefault="00873D25">
            <w:r>
              <w:t>Science</w:t>
            </w:r>
          </w:p>
        </w:tc>
      </w:tr>
      <w:tr w:rsidR="00933812" w14:paraId="53F51EF9" w14:textId="77777777">
        <w:tc>
          <w:tcPr>
            <w:tcW w:w="4320" w:type="dxa"/>
          </w:tcPr>
          <w:p w14:paraId="0FC82BA7" w14:textId="77777777" w:rsidR="00933812" w:rsidRDefault="00873D25">
            <w:r>
              <w:rPr>
                <w:rFonts w:ascii="仿宋" w:eastAsia="仿宋" w:hAnsi="仿宋"/>
              </w:rPr>
              <w:t>用户问题</w:t>
            </w:r>
          </w:p>
        </w:tc>
        <w:tc>
          <w:tcPr>
            <w:tcW w:w="4320" w:type="dxa"/>
          </w:tcPr>
          <w:p w14:paraId="0D3F643D" w14:textId="77777777" w:rsidR="00933812" w:rsidRDefault="00873D25">
            <w:r>
              <w:t>Do you agree with the claim that "Foxk2 regulates autophagy genes in muscle cells and fibroblast cells."? Provide factual statements about the claim.</w:t>
            </w:r>
          </w:p>
        </w:tc>
      </w:tr>
      <w:tr w:rsidR="00933812" w14:paraId="72067B83" w14:textId="77777777">
        <w:tc>
          <w:tcPr>
            <w:tcW w:w="4320" w:type="dxa"/>
          </w:tcPr>
          <w:p w14:paraId="7DB213BD"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3AC3F55" w14:textId="3B449446" w:rsidR="00933812" w:rsidRPr="003D43E8" w:rsidRDefault="003D43E8">
            <w:pPr>
              <w:rPr>
                <w:rFonts w:eastAsia="宋体"/>
                <w:lang w:eastAsia="zh-CN"/>
              </w:rPr>
            </w:pPr>
            <w:r>
              <w:rPr>
                <w:rFonts w:eastAsia="宋体" w:hint="eastAsia"/>
                <w:lang w:eastAsia="zh-CN"/>
              </w:rPr>
              <w:t>4</w:t>
            </w:r>
            <w:r>
              <w:rPr>
                <w:rFonts w:eastAsia="宋体"/>
                <w:lang w:eastAsia="zh-CN"/>
              </w:rPr>
              <w:t>,4,5</w:t>
            </w:r>
          </w:p>
        </w:tc>
      </w:tr>
      <w:tr w:rsidR="00933812" w14:paraId="613AA0E0" w14:textId="77777777">
        <w:tc>
          <w:tcPr>
            <w:tcW w:w="4320" w:type="dxa"/>
          </w:tcPr>
          <w:p w14:paraId="7DBD5669" w14:textId="77777777" w:rsidR="00933812" w:rsidRDefault="00873D25">
            <w:r>
              <w:rPr>
                <w:rFonts w:ascii="仿宋" w:eastAsia="仿宋" w:hAnsi="仿宋"/>
              </w:rPr>
              <w:t>模型回复</w:t>
            </w:r>
          </w:p>
        </w:tc>
        <w:tc>
          <w:tcPr>
            <w:tcW w:w="4320" w:type="dxa"/>
          </w:tcPr>
          <w:p w14:paraId="63A8E3DE" w14:textId="77777777" w:rsidR="00933812" w:rsidRDefault="00873D25">
            <w:r>
              <w:t xml:space="preserve">As an AI language model, I can provide factual statements about the claim you mentioned. Please note that the information provided is based on published scientific research. </w:t>
            </w:r>
            <w:r>
              <w:br/>
              <w:t xml:space="preserve">1. Foxk2 (also known as Forkhead box K2) is a transcription </w:t>
            </w:r>
            <w:r>
              <w:lastRenderedPageBreak/>
              <w:t>factor that regulates gene expression in various cellular processes.</w:t>
            </w:r>
            <w:r>
              <w:br/>
              <w:t>2. Autophagy is a cellular process involved in the degradation and recycling of cellular components.</w:t>
            </w:r>
            <w:r>
              <w:br/>
              <w:t>3. Several studies suggest that Foxk2 can regulate autophagy genes in different cell types.</w:t>
            </w:r>
            <w:r>
              <w:br/>
              <w:t>4. A study published in the journal Molecular Biology Reports (2014) found that Foxk2 modulates autophagy-related gene expression in colorectal cancer cells. However, this study did not specifically investigate muscle cells or fibroblast cells.</w:t>
            </w:r>
            <w:r>
              <w:br/>
              <w:t>5. Another study published in the journal Autophagy (2017) identified Foxk2 as a transcription factor that regulates autophagy in response to nutrient deprivation in human cells. This study did not focus on muscle cells or fibroblast cells either.</w:t>
            </w:r>
            <w:r>
              <w:br/>
              <w:t>6. To the best of my knowledge, there is currently no published research available specifically linking Foxk2 to the regulation of autophagy genes in muscle cells or fibroblast cells.</w:t>
            </w:r>
            <w:r>
              <w:br/>
              <w:t>Therefore, while Foxk2 has been implicated in the regulation of autophagy genes in some cell types, the specific claim about its regulation in muscle cells and fibroblast cells lacks sufficient scientific evidence. Further research would be required to establish a direct link between Foxk2 and autophagy regulation in these specific cell types.</w:t>
            </w:r>
          </w:p>
        </w:tc>
      </w:tr>
      <w:tr w:rsidR="00933812" w14:paraId="08726DDE" w14:textId="77777777">
        <w:tc>
          <w:tcPr>
            <w:tcW w:w="4320" w:type="dxa"/>
          </w:tcPr>
          <w:p w14:paraId="213A9A6D"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0431466" w14:textId="67BD346F" w:rsidR="00933812" w:rsidRPr="003D43E8" w:rsidRDefault="003D43E8">
            <w:pPr>
              <w:rPr>
                <w:rFonts w:eastAsia="宋体"/>
                <w:lang w:eastAsia="zh-CN"/>
              </w:rPr>
            </w:pPr>
            <w:r>
              <w:rPr>
                <w:rFonts w:eastAsia="宋体" w:hint="eastAsia"/>
                <w:lang w:eastAsia="zh-CN"/>
              </w:rPr>
              <w:t>1</w:t>
            </w:r>
          </w:p>
        </w:tc>
      </w:tr>
      <w:tr w:rsidR="00933812" w14:paraId="1E4448EF" w14:textId="77777777">
        <w:tc>
          <w:tcPr>
            <w:tcW w:w="4320" w:type="dxa"/>
          </w:tcPr>
          <w:p w14:paraId="28ED84D6" w14:textId="77777777" w:rsidR="00933812" w:rsidRDefault="00873D25">
            <w:r>
              <w:rPr>
                <w:rFonts w:ascii="仿宋" w:eastAsia="仿宋" w:hAnsi="仿宋"/>
              </w:rPr>
              <w:t>提取的事实</w:t>
            </w:r>
          </w:p>
        </w:tc>
        <w:tc>
          <w:tcPr>
            <w:tcW w:w="4320" w:type="dxa"/>
          </w:tcPr>
          <w:p w14:paraId="3B0DDF82" w14:textId="77777777" w:rsidR="00933812" w:rsidRDefault="00873D25">
            <w:r>
              <w:t>1. Foxk2, also known as Forkhead box K2, is a transcription factor that influences gene expression in various cellular processes.</w:t>
            </w:r>
            <w:r>
              <w:br/>
              <w:t>2. The cellular process of autophagy is involved in the degradation and recycling of cellular components.</w:t>
            </w:r>
            <w:r>
              <w:br/>
              <w:t>3. Research indicates that Foxk2 has the ability to regulate autophagy genes in different types of cells.</w:t>
            </w:r>
            <w:r>
              <w:br/>
              <w:t>4. It was reported by a 2014 study in Molecular Biology Reports that Foxk2 modulates gene expression related to autophagy in colorectal cancer cells.</w:t>
            </w:r>
            <w:r>
              <w:br/>
              <w:t>5. A 2017 study in the journal Autophagy identified Foxk2 as a factor that regulates autophagy in response to nutrient deprivation in human cells.</w:t>
            </w:r>
          </w:p>
        </w:tc>
      </w:tr>
      <w:tr w:rsidR="00933812" w14:paraId="1A1BF2FA" w14:textId="77777777">
        <w:tc>
          <w:tcPr>
            <w:tcW w:w="4320" w:type="dxa"/>
          </w:tcPr>
          <w:p w14:paraId="3CAEAFF9"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4A1B14F" w14:textId="0C04703A" w:rsidR="00933812" w:rsidRPr="003D43E8" w:rsidRDefault="003D43E8">
            <w:pPr>
              <w:rPr>
                <w:rFonts w:eastAsia="宋体"/>
                <w:lang w:eastAsia="zh-CN"/>
              </w:rPr>
            </w:pPr>
            <w:r>
              <w:rPr>
                <w:rFonts w:eastAsia="宋体" w:hint="eastAsia"/>
                <w:lang w:eastAsia="zh-CN"/>
              </w:rPr>
              <w:lastRenderedPageBreak/>
              <w:t>1</w:t>
            </w:r>
            <w:r>
              <w:rPr>
                <w:rFonts w:eastAsia="宋体"/>
                <w:lang w:eastAsia="zh-CN"/>
              </w:rPr>
              <w:t>,</w:t>
            </w:r>
            <w:r w:rsidR="005D72D7">
              <w:rPr>
                <w:rFonts w:eastAsia="宋体"/>
                <w:lang w:eastAsia="zh-CN"/>
              </w:rPr>
              <w:t>1,</w:t>
            </w:r>
            <w:r w:rsidR="004425C8">
              <w:rPr>
                <w:rFonts w:eastAsia="宋体"/>
                <w:lang w:eastAsia="zh-CN"/>
              </w:rPr>
              <w:t>1</w:t>
            </w:r>
            <w:r w:rsidR="009343D3">
              <w:rPr>
                <w:rFonts w:eastAsia="宋体"/>
                <w:lang w:eastAsia="zh-CN"/>
              </w:rPr>
              <w:t>,</w:t>
            </w:r>
            <w:r w:rsidR="00111714">
              <w:rPr>
                <w:rFonts w:eastAsia="宋体"/>
                <w:lang w:eastAsia="zh-CN"/>
              </w:rPr>
              <w:t>7,</w:t>
            </w:r>
            <w:r w:rsidR="00EC2E6F">
              <w:rPr>
                <w:rFonts w:eastAsia="宋体"/>
                <w:lang w:eastAsia="zh-CN"/>
              </w:rPr>
              <w:t>7</w:t>
            </w:r>
          </w:p>
        </w:tc>
      </w:tr>
    </w:tbl>
    <w:p w14:paraId="3D451B0A"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49"/>
        <w:gridCol w:w="5981"/>
      </w:tblGrid>
      <w:tr w:rsidR="00933812" w14:paraId="73DA3355" w14:textId="77777777">
        <w:tc>
          <w:tcPr>
            <w:tcW w:w="4320" w:type="dxa"/>
          </w:tcPr>
          <w:p w14:paraId="1F2B2DA5" w14:textId="77777777" w:rsidR="00933812" w:rsidRDefault="00873D25">
            <w:r>
              <w:t>ID</w:t>
            </w:r>
          </w:p>
        </w:tc>
        <w:tc>
          <w:tcPr>
            <w:tcW w:w="10080" w:type="dxa"/>
          </w:tcPr>
          <w:p w14:paraId="5682D2B4" w14:textId="77777777" w:rsidR="00933812" w:rsidRDefault="00873D25">
            <w:r>
              <w:t>261(38)</w:t>
            </w:r>
          </w:p>
        </w:tc>
      </w:tr>
      <w:tr w:rsidR="00933812" w14:paraId="28DA3171" w14:textId="77777777">
        <w:tc>
          <w:tcPr>
            <w:tcW w:w="4320" w:type="dxa"/>
          </w:tcPr>
          <w:p w14:paraId="14F02BF5" w14:textId="77777777" w:rsidR="00933812" w:rsidRDefault="00873D25">
            <w:r>
              <w:rPr>
                <w:rFonts w:ascii="仿宋" w:eastAsia="仿宋" w:hAnsi="仿宋"/>
              </w:rPr>
              <w:t>领域</w:t>
            </w:r>
          </w:p>
        </w:tc>
        <w:tc>
          <w:tcPr>
            <w:tcW w:w="4320" w:type="dxa"/>
          </w:tcPr>
          <w:p w14:paraId="5CD31504" w14:textId="77777777" w:rsidR="00933812" w:rsidRDefault="00873D25">
            <w:r>
              <w:t>Science</w:t>
            </w:r>
          </w:p>
        </w:tc>
      </w:tr>
      <w:tr w:rsidR="00933812" w14:paraId="431117F1" w14:textId="77777777">
        <w:tc>
          <w:tcPr>
            <w:tcW w:w="4320" w:type="dxa"/>
          </w:tcPr>
          <w:p w14:paraId="55A7809C" w14:textId="77777777" w:rsidR="00933812" w:rsidRDefault="00873D25">
            <w:r>
              <w:rPr>
                <w:rFonts w:ascii="仿宋" w:eastAsia="仿宋" w:hAnsi="仿宋"/>
              </w:rPr>
              <w:t>用户问题</w:t>
            </w:r>
          </w:p>
        </w:tc>
        <w:tc>
          <w:tcPr>
            <w:tcW w:w="4320" w:type="dxa"/>
          </w:tcPr>
          <w:p w14:paraId="15FDC23B" w14:textId="77777777" w:rsidR="00933812" w:rsidRDefault="00873D25">
            <w:r>
              <w:t>Do you agree with the claim that "GATA3 regulates self-renewal capacity in bone marrow hematopoietic stem cells."? Provide factual statements about the claim.</w:t>
            </w:r>
          </w:p>
        </w:tc>
      </w:tr>
      <w:tr w:rsidR="00933812" w14:paraId="2F1AEFA8" w14:textId="77777777">
        <w:tc>
          <w:tcPr>
            <w:tcW w:w="4320" w:type="dxa"/>
          </w:tcPr>
          <w:p w14:paraId="01D04F79"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F857D0C" w14:textId="55187E9F" w:rsidR="00933812" w:rsidRPr="00EC2E6F" w:rsidRDefault="00EC2E6F">
            <w:pPr>
              <w:rPr>
                <w:rFonts w:eastAsia="宋体"/>
                <w:lang w:eastAsia="zh-CN"/>
              </w:rPr>
            </w:pPr>
            <w:r>
              <w:rPr>
                <w:rFonts w:eastAsia="宋体" w:hint="eastAsia"/>
                <w:lang w:eastAsia="zh-CN"/>
              </w:rPr>
              <w:t>4</w:t>
            </w:r>
            <w:r>
              <w:rPr>
                <w:rFonts w:eastAsia="宋体"/>
                <w:lang w:eastAsia="zh-CN"/>
              </w:rPr>
              <w:t>,</w:t>
            </w:r>
            <w:r w:rsidR="003A25FB">
              <w:rPr>
                <w:rFonts w:eastAsia="宋体"/>
                <w:lang w:eastAsia="zh-CN"/>
              </w:rPr>
              <w:t>3</w:t>
            </w:r>
            <w:r>
              <w:rPr>
                <w:rFonts w:eastAsia="宋体"/>
                <w:lang w:eastAsia="zh-CN"/>
              </w:rPr>
              <w:t>,5</w:t>
            </w:r>
          </w:p>
        </w:tc>
      </w:tr>
      <w:tr w:rsidR="00933812" w14:paraId="228E76AB" w14:textId="77777777">
        <w:tc>
          <w:tcPr>
            <w:tcW w:w="4320" w:type="dxa"/>
          </w:tcPr>
          <w:p w14:paraId="3768D6A6" w14:textId="77777777" w:rsidR="00933812" w:rsidRDefault="00873D25">
            <w:r>
              <w:rPr>
                <w:rFonts w:ascii="仿宋" w:eastAsia="仿宋" w:hAnsi="仿宋"/>
              </w:rPr>
              <w:t>模型回复</w:t>
            </w:r>
          </w:p>
        </w:tc>
        <w:tc>
          <w:tcPr>
            <w:tcW w:w="4320" w:type="dxa"/>
          </w:tcPr>
          <w:p w14:paraId="4BFF773F" w14:textId="77777777" w:rsidR="00933812" w:rsidRDefault="00873D25">
            <w:r>
              <w:t>As an AI language model, I can provide factual statements regarding the claim you mentioned:</w:t>
            </w:r>
            <w:r>
              <w:br/>
              <w:t>1. GATA3 is a transcription factor that plays a crucial role in various developmental processes, including the regulation of hematopoiesis (production of blood cells).</w:t>
            </w:r>
            <w:r>
              <w:br/>
              <w:t>2. Hematopoietic stem cells (HSCs) are a type of stem cell that reside in the bone marrow and have the ability to self-renew (divide and produce more stem cells) and differentiate into various blood cell types.</w:t>
            </w:r>
            <w:r>
              <w:br/>
              <w:t>3. Several studies have suggested a role for GATA3 in regulating self-renewal capacity in HSCs.</w:t>
            </w:r>
            <w:r>
              <w:br/>
              <w:t>4. One study published in the journal Cell Stem Cell in 2013 found that GATA3 is required for the maintenance of HSCs in the bone marrow niche and regulates their self-renewal potential.</w:t>
            </w:r>
            <w:r>
              <w:br/>
              <w:t>5. Another study published in Nature Medicine in 2018 demonstrated that GATA3 is involved in regulating the fate decisions of HSCs by balancing self-renewal and differentiation.</w:t>
            </w:r>
            <w:r>
              <w:br/>
              <w:t>6. Additionally, a study published in Stem Cells in 2019 showed that depletion of GATA3 in HSCs impaired their long-term self-renewal capacity, leading to reduced hematopoiesis.</w:t>
            </w:r>
            <w:r>
              <w:br/>
              <w:t>It is important to note that scientific understanding is constantly evolving, and new research may provide further insights or alternative perspectives on the topic.</w:t>
            </w:r>
          </w:p>
        </w:tc>
      </w:tr>
      <w:tr w:rsidR="00933812" w14:paraId="34D22F7A" w14:textId="77777777">
        <w:tc>
          <w:tcPr>
            <w:tcW w:w="4320" w:type="dxa"/>
          </w:tcPr>
          <w:p w14:paraId="4E6B3C3C" w14:textId="77777777" w:rsidR="00933812" w:rsidRDefault="00873D25">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2F2B9E5" w14:textId="5FC9F6D9" w:rsidR="00933812" w:rsidRPr="00EC2E6F" w:rsidRDefault="00EC2E6F">
            <w:pPr>
              <w:rPr>
                <w:rFonts w:eastAsia="宋体"/>
                <w:lang w:eastAsia="zh-CN"/>
              </w:rPr>
            </w:pPr>
            <w:r>
              <w:rPr>
                <w:rFonts w:eastAsia="宋体" w:hint="eastAsia"/>
                <w:lang w:eastAsia="zh-CN"/>
              </w:rPr>
              <w:t>1</w:t>
            </w:r>
          </w:p>
        </w:tc>
      </w:tr>
      <w:tr w:rsidR="00933812" w14:paraId="6A2ED0A9" w14:textId="77777777">
        <w:tc>
          <w:tcPr>
            <w:tcW w:w="4320" w:type="dxa"/>
          </w:tcPr>
          <w:p w14:paraId="7E743861" w14:textId="77777777" w:rsidR="00933812" w:rsidRDefault="00873D25">
            <w:r>
              <w:rPr>
                <w:rFonts w:ascii="仿宋" w:eastAsia="仿宋" w:hAnsi="仿宋"/>
              </w:rPr>
              <w:t>提取的事实</w:t>
            </w:r>
          </w:p>
        </w:tc>
        <w:tc>
          <w:tcPr>
            <w:tcW w:w="4320" w:type="dxa"/>
          </w:tcPr>
          <w:p w14:paraId="4BA3E902" w14:textId="77777777" w:rsidR="00933812" w:rsidRDefault="00873D25">
            <w:r>
              <w:t>1. GATA3 is a transcription factor that regulates the production of blood cells.</w:t>
            </w:r>
            <w:r>
              <w:br/>
              <w:t xml:space="preserve">2. Hematopoietic stem cells reside in the bone marrow and </w:t>
            </w:r>
            <w:r>
              <w:lastRenderedPageBreak/>
              <w:t>can self-renew and differentiate into various blood cell types.</w:t>
            </w:r>
            <w:r>
              <w:br/>
              <w:t>3. Some studies suggest that GATA3 plays a role in regulating the self-renewal capacity of Hematopoietic stem cells.</w:t>
            </w:r>
            <w:r>
              <w:br/>
              <w:t>4. A 2013 study published in the Cell Stem Cell journal found GATA3 to be necessary for maintaining Hematopoietic stem cells in the bone marrow.</w:t>
            </w:r>
            <w:r>
              <w:br/>
              <w:t>5. A 2018 study in Nature Medicine demonstrated that GATA3 is involved in balancing the self-renewal and differentiation of Hematopoietic stem cells.</w:t>
            </w:r>
          </w:p>
        </w:tc>
      </w:tr>
      <w:tr w:rsidR="00933812" w14:paraId="6CE8CB38" w14:textId="77777777">
        <w:tc>
          <w:tcPr>
            <w:tcW w:w="4320" w:type="dxa"/>
          </w:tcPr>
          <w:p w14:paraId="2107C28E"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1BF8F49" w14:textId="60AE7587" w:rsidR="00933812" w:rsidRPr="00EC2E6F" w:rsidRDefault="00EC2E6F">
            <w:pPr>
              <w:rPr>
                <w:rFonts w:eastAsia="宋体"/>
                <w:lang w:eastAsia="zh-CN"/>
              </w:rPr>
            </w:pPr>
            <w:r>
              <w:rPr>
                <w:rFonts w:eastAsia="宋体" w:hint="eastAsia"/>
                <w:lang w:eastAsia="zh-CN"/>
              </w:rPr>
              <w:t>2</w:t>
            </w:r>
            <w:r>
              <w:rPr>
                <w:rFonts w:eastAsia="宋体"/>
                <w:lang w:eastAsia="zh-CN"/>
              </w:rPr>
              <w:t>,</w:t>
            </w:r>
            <w:r w:rsidR="00022B87">
              <w:rPr>
                <w:rFonts w:eastAsia="宋体"/>
                <w:lang w:eastAsia="zh-CN"/>
              </w:rPr>
              <w:t>1,</w:t>
            </w:r>
            <w:r w:rsidR="0018375E">
              <w:rPr>
                <w:rFonts w:eastAsia="宋体"/>
                <w:lang w:eastAsia="zh-CN"/>
              </w:rPr>
              <w:t>7</w:t>
            </w:r>
            <w:r w:rsidR="00500D44">
              <w:rPr>
                <w:rFonts w:eastAsia="宋体"/>
                <w:lang w:eastAsia="zh-CN"/>
              </w:rPr>
              <w:t>,</w:t>
            </w:r>
            <w:r w:rsidR="00361D8B">
              <w:rPr>
                <w:rFonts w:eastAsia="宋体"/>
                <w:lang w:eastAsia="zh-CN"/>
              </w:rPr>
              <w:t>7</w:t>
            </w:r>
            <w:r w:rsidR="00E87172">
              <w:rPr>
                <w:rFonts w:eastAsia="宋体"/>
                <w:lang w:eastAsia="zh-CN"/>
              </w:rPr>
              <w:t>,</w:t>
            </w:r>
            <w:r w:rsidR="00791D18">
              <w:rPr>
                <w:rFonts w:eastAsia="宋体"/>
                <w:lang w:eastAsia="zh-CN"/>
              </w:rPr>
              <w:t>7</w:t>
            </w:r>
          </w:p>
        </w:tc>
      </w:tr>
    </w:tbl>
    <w:p w14:paraId="39C90C2B"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561"/>
        <w:gridCol w:w="6069"/>
      </w:tblGrid>
      <w:tr w:rsidR="00933812" w14:paraId="6088F81C" w14:textId="77777777">
        <w:tc>
          <w:tcPr>
            <w:tcW w:w="4320" w:type="dxa"/>
          </w:tcPr>
          <w:p w14:paraId="70E4ABF4" w14:textId="77777777" w:rsidR="00933812" w:rsidRDefault="00873D25">
            <w:r>
              <w:t>ID</w:t>
            </w:r>
          </w:p>
        </w:tc>
        <w:tc>
          <w:tcPr>
            <w:tcW w:w="10080" w:type="dxa"/>
          </w:tcPr>
          <w:p w14:paraId="0FA5A3C8" w14:textId="77777777" w:rsidR="00933812" w:rsidRDefault="00873D25">
            <w:r>
              <w:t>268(39)</w:t>
            </w:r>
          </w:p>
        </w:tc>
      </w:tr>
      <w:tr w:rsidR="00933812" w14:paraId="12C9F40B" w14:textId="77777777">
        <w:tc>
          <w:tcPr>
            <w:tcW w:w="4320" w:type="dxa"/>
          </w:tcPr>
          <w:p w14:paraId="01A33CD1" w14:textId="77777777" w:rsidR="00933812" w:rsidRDefault="00873D25">
            <w:r>
              <w:rPr>
                <w:rFonts w:ascii="仿宋" w:eastAsia="仿宋" w:hAnsi="仿宋"/>
              </w:rPr>
              <w:t>领域</w:t>
            </w:r>
          </w:p>
        </w:tc>
        <w:tc>
          <w:tcPr>
            <w:tcW w:w="4320" w:type="dxa"/>
          </w:tcPr>
          <w:p w14:paraId="6E60CDF4" w14:textId="77777777" w:rsidR="00933812" w:rsidRDefault="00873D25">
            <w:r>
              <w:t>Science</w:t>
            </w:r>
          </w:p>
        </w:tc>
      </w:tr>
      <w:tr w:rsidR="00933812" w14:paraId="5F74B4F9" w14:textId="77777777">
        <w:tc>
          <w:tcPr>
            <w:tcW w:w="4320" w:type="dxa"/>
          </w:tcPr>
          <w:p w14:paraId="68A40650" w14:textId="77777777" w:rsidR="00933812" w:rsidRDefault="00873D25">
            <w:r>
              <w:rPr>
                <w:rFonts w:ascii="仿宋" w:eastAsia="仿宋" w:hAnsi="仿宋"/>
              </w:rPr>
              <w:t>用户问题</w:t>
            </w:r>
          </w:p>
        </w:tc>
        <w:tc>
          <w:tcPr>
            <w:tcW w:w="4320" w:type="dxa"/>
          </w:tcPr>
          <w:p w14:paraId="77930D5E" w14:textId="77777777" w:rsidR="00933812" w:rsidRDefault="00873D25">
            <w:r>
              <w:t>Can you clarify whether the claim "Genes regulated by Esrrb transcription factor are sensitive to Mbd3 function." is accurate or not? Build factual arguments about the claim.</w:t>
            </w:r>
          </w:p>
        </w:tc>
      </w:tr>
      <w:tr w:rsidR="00933812" w14:paraId="79F9BADF" w14:textId="77777777">
        <w:tc>
          <w:tcPr>
            <w:tcW w:w="4320" w:type="dxa"/>
          </w:tcPr>
          <w:p w14:paraId="1B4FAEF8"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AF812E5" w14:textId="2FEDDA1D" w:rsidR="00933812" w:rsidRPr="005406AD" w:rsidRDefault="005406AD">
            <w:pPr>
              <w:rPr>
                <w:rFonts w:eastAsia="宋体"/>
                <w:lang w:eastAsia="zh-CN"/>
              </w:rPr>
            </w:pPr>
            <w:r>
              <w:rPr>
                <w:rFonts w:eastAsia="宋体" w:hint="eastAsia"/>
                <w:lang w:eastAsia="zh-CN"/>
              </w:rPr>
              <w:t>4</w:t>
            </w:r>
            <w:r>
              <w:rPr>
                <w:rFonts w:eastAsia="宋体"/>
                <w:lang w:eastAsia="zh-CN"/>
              </w:rPr>
              <w:t>,3,5</w:t>
            </w:r>
          </w:p>
        </w:tc>
      </w:tr>
      <w:tr w:rsidR="00933812" w14:paraId="645474A5" w14:textId="77777777">
        <w:tc>
          <w:tcPr>
            <w:tcW w:w="4320" w:type="dxa"/>
          </w:tcPr>
          <w:p w14:paraId="7C82FB7D" w14:textId="77777777" w:rsidR="00933812" w:rsidRDefault="00873D25">
            <w:r>
              <w:rPr>
                <w:rFonts w:ascii="仿宋" w:eastAsia="仿宋" w:hAnsi="仿宋"/>
              </w:rPr>
              <w:t>模型回复</w:t>
            </w:r>
          </w:p>
        </w:tc>
        <w:tc>
          <w:tcPr>
            <w:tcW w:w="4320" w:type="dxa"/>
          </w:tcPr>
          <w:p w14:paraId="47F6DBA0" w14:textId="77777777" w:rsidR="00933812" w:rsidRDefault="00873D25">
            <w:r>
              <w:t>The claim "Genes regulated by Esrrb transcription factor are sensitive to Mbd3 function" is accurate. Here are some factual arguments to support this claim:</w:t>
            </w:r>
            <w:r>
              <w:br/>
              <w:t>1. Experimental evidence: Multiple studies have investigated the relationship between Esrrb and Mbd3, providing evidence to support their interdependence. For example, a study published in the journal Cell Stem Cell in 2012 demonstrated that Mbd3 and Esrrb interact directly through a protein-protein interaction, affecting the regulation of gene expression. This suggests a direct functional relationship between Esrrb and Mbd3.</w:t>
            </w:r>
            <w:r>
              <w:br/>
              <w:t xml:space="preserve">2. Co-localization of Esrrb and Mbd3: Chromatin immunoprecipitation sequencing (ChIP-seq) experiments, which analyze DNA-protein interactions, have shown that Esrrb and Mbd3 co-localize at specific DNA regions. This indicates that Mbd3 is likely involved in the regulation of </w:t>
            </w:r>
            <w:r>
              <w:lastRenderedPageBreak/>
              <w:t>genes targeted by Esrrb.</w:t>
            </w:r>
            <w:r>
              <w:br/>
              <w:t>3. Genetic knockout studies: Genetic knockout experiments where Mbd3 or Esrrb genes were individually deleted have demonstrated downstream effects on gene expression. For instance, a study published in the journal Nature in 2017 showed that deletion of the Mbd3 gene in mouse embryonic stem cells led to altered expression of Esrrb target genes. This suggests that Mbd3 is necessary for proper regulation of genes controlled by Esrrb.</w:t>
            </w:r>
            <w:r>
              <w:br/>
              <w:t>4. Epigenetic regulation: Both Esrrb and Mbd3 are involved in epigenetic regulation, which refers to modifications of DNA and associated proteins that can influence gene expression. Mbd3 is a component of the nucleosome remodeling and deacetylase (NuRD) complex, which is involved in chromatin remodeling and gene expression regulation. Esrrb, on the other hand, acts as a transcription factor that binds to specific DNA sequences and activates or represses gene expression. The interaction between Mbd3 and Esrrb implies that Mbd3 likely influences the chromatin structure around Esrrb target genes, hence affecting their sensitivity to Esrrb.</w:t>
            </w:r>
            <w:r>
              <w:br/>
              <w:t>Based on these factual arguments, it can be concluded that genes regulated by the Esrrb transcription factor are indeed sensitive to Mbd3 function.</w:t>
            </w:r>
          </w:p>
        </w:tc>
      </w:tr>
      <w:tr w:rsidR="00933812" w14:paraId="69131246" w14:textId="77777777">
        <w:tc>
          <w:tcPr>
            <w:tcW w:w="4320" w:type="dxa"/>
          </w:tcPr>
          <w:p w14:paraId="170BD0E2"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B593A01" w14:textId="24F61F41" w:rsidR="00933812" w:rsidRPr="005406AD" w:rsidRDefault="005406AD">
            <w:pPr>
              <w:rPr>
                <w:rFonts w:eastAsia="宋体"/>
                <w:lang w:eastAsia="zh-CN"/>
              </w:rPr>
            </w:pPr>
            <w:r>
              <w:rPr>
                <w:rFonts w:eastAsia="宋体" w:hint="eastAsia"/>
                <w:lang w:eastAsia="zh-CN"/>
              </w:rPr>
              <w:t>1</w:t>
            </w:r>
          </w:p>
        </w:tc>
      </w:tr>
      <w:tr w:rsidR="00933812" w14:paraId="3DED86D2" w14:textId="77777777">
        <w:tc>
          <w:tcPr>
            <w:tcW w:w="4320" w:type="dxa"/>
          </w:tcPr>
          <w:p w14:paraId="1BB10670" w14:textId="77777777" w:rsidR="00933812" w:rsidRDefault="00873D25">
            <w:r>
              <w:rPr>
                <w:rFonts w:ascii="仿宋" w:eastAsia="仿宋" w:hAnsi="仿宋"/>
              </w:rPr>
              <w:t>提取的事实</w:t>
            </w:r>
          </w:p>
        </w:tc>
        <w:tc>
          <w:tcPr>
            <w:tcW w:w="4320" w:type="dxa"/>
          </w:tcPr>
          <w:p w14:paraId="7150A597" w14:textId="77777777" w:rsidR="00933812" w:rsidRDefault="00873D25">
            <w:r>
              <w:t>1. Multiple studies have provided evidence to support the interdependence of Esrrb and Mbd3.</w:t>
            </w:r>
            <w:r>
              <w:br/>
              <w:t>2. A study published in the journal Cell Stem Cell in 2012 discovered a direct interaction between Mbd3 and Esrrb.</w:t>
            </w:r>
            <w:r>
              <w:br/>
              <w:t>3. Chromatin immunoprecipitation sequencing (ChIP-seq) experiments showed that Esrrb and Mbd3 co-localize at certain DNA regions.</w:t>
            </w:r>
            <w:r>
              <w:br/>
              <w:t>4. Genetic knockout experiments involving the deletion of Mbd3 or Esrrb genes have shown downstream effects on gene expression.</w:t>
            </w:r>
            <w:r>
              <w:br/>
              <w:t>5. Both Esrrb and Mbd3 are involved in epigenetic regulation, which refers to modifications of DNA and associated proteins influencing gene expression.</w:t>
            </w:r>
          </w:p>
        </w:tc>
      </w:tr>
      <w:tr w:rsidR="00933812" w14:paraId="3BD9395F" w14:textId="77777777">
        <w:tc>
          <w:tcPr>
            <w:tcW w:w="4320" w:type="dxa"/>
          </w:tcPr>
          <w:p w14:paraId="5C59EE98"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012321ED" w14:textId="7168E86B" w:rsidR="00933812" w:rsidRPr="005406AD" w:rsidRDefault="005406AD">
            <w:pPr>
              <w:rPr>
                <w:rFonts w:eastAsia="宋体"/>
                <w:lang w:eastAsia="zh-CN"/>
              </w:rPr>
            </w:pPr>
            <w:r>
              <w:rPr>
                <w:rFonts w:eastAsia="宋体" w:hint="eastAsia"/>
                <w:lang w:eastAsia="zh-CN"/>
              </w:rPr>
              <w:lastRenderedPageBreak/>
              <w:t>7</w:t>
            </w:r>
            <w:r>
              <w:rPr>
                <w:rFonts w:eastAsia="宋体"/>
                <w:lang w:eastAsia="zh-CN"/>
              </w:rPr>
              <w:t>,7</w:t>
            </w:r>
            <w:r w:rsidR="00EA2ECA">
              <w:rPr>
                <w:rFonts w:eastAsia="宋体"/>
                <w:lang w:eastAsia="zh-CN"/>
              </w:rPr>
              <w:t>,</w:t>
            </w:r>
            <w:r w:rsidR="00DB5843">
              <w:rPr>
                <w:rFonts w:eastAsia="宋体"/>
                <w:lang w:eastAsia="zh-CN"/>
              </w:rPr>
              <w:t>7,</w:t>
            </w:r>
            <w:r w:rsidR="00BB3BC0">
              <w:rPr>
                <w:rFonts w:eastAsia="宋体"/>
                <w:lang w:eastAsia="zh-CN"/>
              </w:rPr>
              <w:t>1</w:t>
            </w:r>
            <w:r w:rsidR="006C13C4">
              <w:rPr>
                <w:rFonts w:eastAsia="宋体"/>
                <w:lang w:eastAsia="zh-CN"/>
              </w:rPr>
              <w:t>,1</w:t>
            </w:r>
          </w:p>
        </w:tc>
      </w:tr>
    </w:tbl>
    <w:p w14:paraId="177AB4CD"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585"/>
        <w:gridCol w:w="6045"/>
      </w:tblGrid>
      <w:tr w:rsidR="00933812" w14:paraId="14FA809A" w14:textId="77777777">
        <w:tc>
          <w:tcPr>
            <w:tcW w:w="4320" w:type="dxa"/>
          </w:tcPr>
          <w:p w14:paraId="5976DFC2" w14:textId="77777777" w:rsidR="00933812" w:rsidRDefault="00873D25">
            <w:r>
              <w:t>ID</w:t>
            </w:r>
          </w:p>
        </w:tc>
        <w:tc>
          <w:tcPr>
            <w:tcW w:w="10080" w:type="dxa"/>
          </w:tcPr>
          <w:p w14:paraId="4072F3A9" w14:textId="77777777" w:rsidR="00933812" w:rsidRDefault="00873D25">
            <w:r>
              <w:t>278(40)</w:t>
            </w:r>
          </w:p>
        </w:tc>
      </w:tr>
      <w:tr w:rsidR="00933812" w14:paraId="2784123B" w14:textId="77777777">
        <w:tc>
          <w:tcPr>
            <w:tcW w:w="4320" w:type="dxa"/>
          </w:tcPr>
          <w:p w14:paraId="69243E21" w14:textId="77777777" w:rsidR="00933812" w:rsidRDefault="00873D25">
            <w:r>
              <w:rPr>
                <w:rFonts w:ascii="仿宋" w:eastAsia="仿宋" w:hAnsi="仿宋"/>
              </w:rPr>
              <w:t>领域</w:t>
            </w:r>
          </w:p>
        </w:tc>
        <w:tc>
          <w:tcPr>
            <w:tcW w:w="4320" w:type="dxa"/>
          </w:tcPr>
          <w:p w14:paraId="2E705BF2" w14:textId="77777777" w:rsidR="00933812" w:rsidRDefault="00873D25">
            <w:r>
              <w:t>Science</w:t>
            </w:r>
          </w:p>
        </w:tc>
      </w:tr>
      <w:tr w:rsidR="00933812" w14:paraId="3E44FB97" w14:textId="77777777">
        <w:tc>
          <w:tcPr>
            <w:tcW w:w="4320" w:type="dxa"/>
          </w:tcPr>
          <w:p w14:paraId="10BC2792" w14:textId="77777777" w:rsidR="00933812" w:rsidRDefault="00873D25">
            <w:r>
              <w:rPr>
                <w:rFonts w:ascii="仿宋" w:eastAsia="仿宋" w:hAnsi="仿宋"/>
              </w:rPr>
              <w:t>用户问题</w:t>
            </w:r>
          </w:p>
        </w:tc>
        <w:tc>
          <w:tcPr>
            <w:tcW w:w="4320" w:type="dxa"/>
          </w:tcPr>
          <w:p w14:paraId="1D46C01E" w14:textId="77777777" w:rsidR="00933812" w:rsidRDefault="00873D25">
            <w:r>
              <w:t>Can you clarify whether the claim "Gpr124 increases BBB breakdown in mouse models of ischemic stroke." is accurate or not? Build factual arguments about the claim.</w:t>
            </w:r>
          </w:p>
        </w:tc>
      </w:tr>
      <w:tr w:rsidR="00933812" w14:paraId="45AB806A" w14:textId="77777777">
        <w:tc>
          <w:tcPr>
            <w:tcW w:w="4320" w:type="dxa"/>
          </w:tcPr>
          <w:p w14:paraId="7774AEA3"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25C9ACD" w14:textId="7C09B92F" w:rsidR="00933812" w:rsidRPr="00091E27" w:rsidRDefault="00091E27">
            <w:pPr>
              <w:rPr>
                <w:rFonts w:eastAsia="宋体"/>
                <w:lang w:eastAsia="zh-CN"/>
              </w:rPr>
            </w:pPr>
            <w:r>
              <w:rPr>
                <w:rFonts w:eastAsia="宋体" w:hint="eastAsia"/>
                <w:lang w:eastAsia="zh-CN"/>
              </w:rPr>
              <w:t>5</w:t>
            </w:r>
            <w:r>
              <w:rPr>
                <w:rFonts w:eastAsia="宋体"/>
                <w:lang w:eastAsia="zh-CN"/>
              </w:rPr>
              <w:t>,3,5</w:t>
            </w:r>
          </w:p>
        </w:tc>
      </w:tr>
      <w:tr w:rsidR="00933812" w14:paraId="5455069E" w14:textId="77777777">
        <w:tc>
          <w:tcPr>
            <w:tcW w:w="4320" w:type="dxa"/>
          </w:tcPr>
          <w:p w14:paraId="5F6A4975" w14:textId="77777777" w:rsidR="00933812" w:rsidRDefault="00873D25">
            <w:r>
              <w:rPr>
                <w:rFonts w:ascii="仿宋" w:eastAsia="仿宋" w:hAnsi="仿宋"/>
              </w:rPr>
              <w:t>模型回复</w:t>
            </w:r>
          </w:p>
        </w:tc>
        <w:tc>
          <w:tcPr>
            <w:tcW w:w="4320" w:type="dxa"/>
          </w:tcPr>
          <w:p w14:paraId="0B90FD60" w14:textId="77777777" w:rsidR="00933812" w:rsidRDefault="00873D25">
            <w:r>
              <w:t>To determine the accuracy of the claim "Gpr124 increases BBB breakdown in mouse models of ischemic stroke," we need to evaluate the available evidence. While I cannot access updated research articles, I can provide you with some general information.</w:t>
            </w:r>
            <w:r>
              <w:br/>
              <w:t>1. Context: Ischemic Stroke and BBB Breakdown</w:t>
            </w:r>
            <w:r>
              <w:br/>
              <w:t>Ischemic stroke refers to a condition where blood flow to the brain is reduced or blocked, leading to oxygen deprivation and potential damage. Breakdown of the blood-brain barrier (BBB) is a common phenomenon during ischemic stroke, which allows the infiltration of immune cells and molecules into the brain tissue.</w:t>
            </w:r>
            <w:r>
              <w:br/>
              <w:t>2. Gpr124 Function:</w:t>
            </w:r>
            <w:r>
              <w:br/>
              <w:t>Gpr124 is a protein receptor that plays a role in angiogenesis, a process involved in the formation of new blood vessels from pre-existing ones. It is primarily expressed on endothelial cells lining blood vessels, including those in the brain.</w:t>
            </w:r>
            <w:r>
              <w:br/>
              <w:t>3. Evidence Supporting Gpr124's Role in BBB Breakdown:</w:t>
            </w:r>
            <w:r>
              <w:br/>
              <w:t>Several studies provide evidence supporting the claim that Gpr124 increases BBB breakdown in mouse models of ischemic stroke. Here are a few points:</w:t>
            </w:r>
            <w:r>
              <w:br/>
              <w:t>- A study published in Nature Medicine in 2013 (Zhou et al.) observed that Gpr124 deficiency in mice significantly reduced BBB breakdown in models of ischemic stroke. This suggests Gpr124's involvement in regulating BBB integrity under ischemic conditions.</w:t>
            </w:r>
            <w:r>
              <w:br/>
              <w:t>- Another study published in the Journal of Neuroscience in 2016 (Andreone et al.) further confirmed these findings. The researchers used a different approach where they conditionally deleted Gpr124 in mice and demonstrated reduced BBB disruption following ischemic injury.</w:t>
            </w:r>
            <w:r>
              <w:br/>
              <w:t xml:space="preserve">- A more recent study published in the Journal of Experimental Medicine in 2020 (Yang et al.) explored the mechanisms by which Gpr124 promotes BBB breakdown. </w:t>
            </w:r>
            <w:r>
              <w:lastRenderedPageBreak/>
              <w:t>They found that Gpr124 activates the Wnt/β-catenin signaling pathway, leading to increased expression of matrix metalloproteinases (MMPs), enzymes known to degrade components of BBB.</w:t>
            </w:r>
            <w:r>
              <w:br/>
              <w:t>Considering these studies, there is significant evidence suggesting that Gpr124 is involved in promoting BBB breakdown in mouse models of ischemic stroke.</w:t>
            </w:r>
            <w:r>
              <w:br/>
              <w:t>However, please note that scientific understanding evolves, and it is always recommended to consult the latest research articles for the most up-to-date information and potentially alternative perspectives on the topic.</w:t>
            </w:r>
          </w:p>
        </w:tc>
      </w:tr>
      <w:tr w:rsidR="00933812" w14:paraId="526CEC07" w14:textId="77777777">
        <w:tc>
          <w:tcPr>
            <w:tcW w:w="4320" w:type="dxa"/>
          </w:tcPr>
          <w:p w14:paraId="5CEBC4D2"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BEA9BEE" w14:textId="3934DFBF" w:rsidR="00933812" w:rsidRPr="00091E27" w:rsidRDefault="00091E27">
            <w:pPr>
              <w:rPr>
                <w:rFonts w:eastAsia="宋体"/>
                <w:lang w:eastAsia="zh-CN"/>
              </w:rPr>
            </w:pPr>
            <w:r>
              <w:rPr>
                <w:rFonts w:eastAsia="宋体" w:hint="eastAsia"/>
                <w:lang w:eastAsia="zh-CN"/>
              </w:rPr>
              <w:t>1</w:t>
            </w:r>
          </w:p>
        </w:tc>
      </w:tr>
      <w:tr w:rsidR="00933812" w14:paraId="7C37E703" w14:textId="77777777">
        <w:tc>
          <w:tcPr>
            <w:tcW w:w="4320" w:type="dxa"/>
          </w:tcPr>
          <w:p w14:paraId="37A797F8" w14:textId="77777777" w:rsidR="00933812" w:rsidRDefault="00873D25">
            <w:r>
              <w:rPr>
                <w:rFonts w:ascii="仿宋" w:eastAsia="仿宋" w:hAnsi="仿宋"/>
              </w:rPr>
              <w:t>提取的事实</w:t>
            </w:r>
          </w:p>
        </w:tc>
        <w:tc>
          <w:tcPr>
            <w:tcW w:w="4320" w:type="dxa"/>
          </w:tcPr>
          <w:p w14:paraId="337DCD40" w14:textId="77777777" w:rsidR="00933812" w:rsidRDefault="00873D25">
            <w:r>
              <w:t>1. Ischemic stroke is a condition where blood flow to the brain is reduced or blocked, causing possible damage.</w:t>
            </w:r>
            <w:r>
              <w:br/>
              <w:t>2. Breakdown of the blood-brain barrier (BBB) often occurs during ischemic stroke, permitting immune cells and molecules to infiltrate brain tissue.</w:t>
            </w:r>
            <w:r>
              <w:br/>
              <w:t>3. Gpr124 is a protein receptor that contributes to angiogenesis, the formation of new blood vessels from pre-existing ones.</w:t>
            </w:r>
            <w:r>
              <w:br/>
              <w:t>4. A 2013 study published in Nature Medicine observed that Gpr124 deficiency in mice significantly reduced BBB breakdown in models of ischemic stroke.</w:t>
            </w:r>
            <w:r>
              <w:br/>
              <w:t>5. A 2016 study published in the Journal of Neuroscience further confirmed these findings, reporting reduced BBB disruption following ischemic injury in mice where Gpr124 was conditionally deleted.</w:t>
            </w:r>
            <w:r>
              <w:br/>
              <w:t>6. A 2020 study published in the Journal of Experimental Medicine found that Gpr124 stimulates the Wnt/β-catenin signaling pathway, leading to increased expression of matrix metalloproteinases, enzymes known to degrade components of BBB.</w:t>
            </w:r>
          </w:p>
        </w:tc>
      </w:tr>
      <w:tr w:rsidR="00933812" w14:paraId="6FE5CD9B" w14:textId="77777777">
        <w:tc>
          <w:tcPr>
            <w:tcW w:w="4320" w:type="dxa"/>
          </w:tcPr>
          <w:p w14:paraId="07A66B55"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6705E7E" w14:textId="4D6CE7D6" w:rsidR="00933812" w:rsidRPr="00091E27" w:rsidRDefault="00091E27">
            <w:pPr>
              <w:rPr>
                <w:rFonts w:eastAsia="宋体"/>
                <w:lang w:eastAsia="zh-CN"/>
              </w:rPr>
            </w:pPr>
            <w:r>
              <w:rPr>
                <w:rFonts w:eastAsia="宋体" w:hint="eastAsia"/>
                <w:lang w:eastAsia="zh-CN"/>
              </w:rPr>
              <w:t>1</w:t>
            </w:r>
            <w:r>
              <w:rPr>
                <w:rFonts w:eastAsia="宋体"/>
                <w:lang w:eastAsia="zh-CN"/>
              </w:rPr>
              <w:t>,</w:t>
            </w:r>
            <w:r w:rsidR="000A54CD">
              <w:rPr>
                <w:rFonts w:eastAsia="宋体"/>
                <w:lang w:eastAsia="zh-CN"/>
              </w:rPr>
              <w:t>1,</w:t>
            </w:r>
            <w:r w:rsidR="007C54A0">
              <w:rPr>
                <w:rFonts w:eastAsia="宋体"/>
                <w:lang w:eastAsia="zh-CN"/>
              </w:rPr>
              <w:t>1,</w:t>
            </w:r>
            <w:r w:rsidR="001426AE">
              <w:rPr>
                <w:rFonts w:eastAsia="宋体"/>
                <w:lang w:eastAsia="zh-CN"/>
              </w:rPr>
              <w:t>7</w:t>
            </w:r>
            <w:r w:rsidR="004B3A5A">
              <w:rPr>
                <w:rFonts w:eastAsia="宋体"/>
                <w:lang w:eastAsia="zh-CN"/>
              </w:rPr>
              <w:t>,</w:t>
            </w:r>
            <w:r w:rsidR="007766F4">
              <w:rPr>
                <w:rFonts w:eastAsia="宋体"/>
                <w:lang w:eastAsia="zh-CN"/>
              </w:rPr>
              <w:t>1,</w:t>
            </w:r>
            <w:r w:rsidR="001F71BA">
              <w:rPr>
                <w:rFonts w:eastAsia="宋体"/>
                <w:lang w:eastAsia="zh-CN"/>
              </w:rPr>
              <w:t>1</w:t>
            </w:r>
          </w:p>
        </w:tc>
      </w:tr>
    </w:tbl>
    <w:p w14:paraId="5E0D983C"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35"/>
        <w:gridCol w:w="5995"/>
      </w:tblGrid>
      <w:tr w:rsidR="00933812" w14:paraId="376D753E" w14:textId="77777777">
        <w:tc>
          <w:tcPr>
            <w:tcW w:w="4320" w:type="dxa"/>
          </w:tcPr>
          <w:p w14:paraId="4A962969" w14:textId="77777777" w:rsidR="00933812" w:rsidRDefault="00873D25">
            <w:r>
              <w:t>ID</w:t>
            </w:r>
          </w:p>
        </w:tc>
        <w:tc>
          <w:tcPr>
            <w:tcW w:w="10080" w:type="dxa"/>
          </w:tcPr>
          <w:p w14:paraId="7DBF8565" w14:textId="77777777" w:rsidR="00933812" w:rsidRDefault="00873D25">
            <w:r>
              <w:t>279(41)</w:t>
            </w:r>
          </w:p>
        </w:tc>
      </w:tr>
      <w:tr w:rsidR="00933812" w14:paraId="593E749D" w14:textId="77777777">
        <w:tc>
          <w:tcPr>
            <w:tcW w:w="4320" w:type="dxa"/>
          </w:tcPr>
          <w:p w14:paraId="7D37A79B" w14:textId="77777777" w:rsidR="00933812" w:rsidRDefault="00873D25">
            <w:r>
              <w:rPr>
                <w:rFonts w:ascii="仿宋" w:eastAsia="仿宋" w:hAnsi="仿宋"/>
              </w:rPr>
              <w:lastRenderedPageBreak/>
              <w:t>领域</w:t>
            </w:r>
          </w:p>
        </w:tc>
        <w:tc>
          <w:tcPr>
            <w:tcW w:w="4320" w:type="dxa"/>
          </w:tcPr>
          <w:p w14:paraId="5B25EE93" w14:textId="77777777" w:rsidR="00933812" w:rsidRDefault="00873D25">
            <w:r>
              <w:t>Science</w:t>
            </w:r>
          </w:p>
        </w:tc>
      </w:tr>
      <w:tr w:rsidR="00933812" w14:paraId="25822F4C" w14:textId="77777777">
        <w:tc>
          <w:tcPr>
            <w:tcW w:w="4320" w:type="dxa"/>
          </w:tcPr>
          <w:p w14:paraId="4C0C8480" w14:textId="77777777" w:rsidR="00933812" w:rsidRDefault="00873D25">
            <w:r>
              <w:rPr>
                <w:rFonts w:ascii="仿宋" w:eastAsia="仿宋" w:hAnsi="仿宋"/>
              </w:rPr>
              <w:t>用户问题</w:t>
            </w:r>
          </w:p>
        </w:tc>
        <w:tc>
          <w:tcPr>
            <w:tcW w:w="4320" w:type="dxa"/>
          </w:tcPr>
          <w:p w14:paraId="1743F7B2" w14:textId="77777777" w:rsidR="00933812" w:rsidRDefault="00873D25">
            <w:r>
              <w:t>How truthful is the statement that "Gpr124 suppresses BBB breakdown in mouse models of ischemic stroke."? Present a series of factual points about the statement.</w:t>
            </w:r>
          </w:p>
        </w:tc>
      </w:tr>
      <w:tr w:rsidR="00933812" w14:paraId="3CC829D9" w14:textId="77777777">
        <w:tc>
          <w:tcPr>
            <w:tcW w:w="4320" w:type="dxa"/>
          </w:tcPr>
          <w:p w14:paraId="0E5D42F7"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ADEB4BB" w14:textId="5A88010D" w:rsidR="00933812" w:rsidRPr="00B475D8" w:rsidRDefault="001468AF">
            <w:pPr>
              <w:rPr>
                <w:rFonts w:eastAsia="宋体"/>
                <w:lang w:eastAsia="zh-CN"/>
              </w:rPr>
            </w:pPr>
            <w:r>
              <w:rPr>
                <w:rFonts w:eastAsia="宋体" w:hint="eastAsia"/>
                <w:lang w:eastAsia="zh-CN"/>
              </w:rPr>
              <w:t>4</w:t>
            </w:r>
            <w:r>
              <w:rPr>
                <w:rFonts w:eastAsia="宋体"/>
                <w:lang w:eastAsia="zh-CN"/>
              </w:rPr>
              <w:t>,3,5</w:t>
            </w:r>
          </w:p>
        </w:tc>
      </w:tr>
      <w:tr w:rsidR="00933812" w14:paraId="2A16D850" w14:textId="77777777">
        <w:tc>
          <w:tcPr>
            <w:tcW w:w="4320" w:type="dxa"/>
          </w:tcPr>
          <w:p w14:paraId="65FA4159" w14:textId="77777777" w:rsidR="00933812" w:rsidRDefault="00873D25">
            <w:r>
              <w:rPr>
                <w:rFonts w:ascii="仿宋" w:eastAsia="仿宋" w:hAnsi="仿宋"/>
              </w:rPr>
              <w:t>模型回复</w:t>
            </w:r>
          </w:p>
        </w:tc>
        <w:tc>
          <w:tcPr>
            <w:tcW w:w="4320" w:type="dxa"/>
          </w:tcPr>
          <w:p w14:paraId="4CA9D32A" w14:textId="77777777" w:rsidR="00933812" w:rsidRDefault="00873D25">
            <w:r>
              <w:t>1. Gpr124 is a transmembrane receptor protein primarily expressed in brain endothelial cells, which are a key component of the blood-brain barrier (BBB).</w:t>
            </w:r>
            <w:r>
              <w:br/>
              <w:t>2. BBB breakdown refers to the disruption or dysfunction of the blood-brain barrier, which can occur as a result of ischemic stroke, a condition characterized by reduced blood flow to the brain.</w:t>
            </w:r>
            <w:r>
              <w:br/>
              <w:t>3. Ischemic stroke mouse models are experimental systems that mimic certain aspects of ischemic stroke in humans. These models are commonly used to study the mechanisms and potential treatments for stroke.</w:t>
            </w:r>
            <w:r>
              <w:br/>
              <w:t>4. Multiple scientific studies and research reports have shown that Gpr124 plays a crucial role in maintaining BBB integrity and protecting it from breakdown during ischemic stroke.</w:t>
            </w:r>
            <w:r>
              <w:br/>
              <w:t>5. For instance, a study published in 2013 in the journal "Nature Neuroscience" demonstrated that Gpr124 signaling promotes BBB integrity by regulating the organization of tight junction proteins between endothelial cells.</w:t>
            </w:r>
            <w:r>
              <w:br/>
              <w:t>6. Another study published in 2017 in the journal "Science Translational Medicine" showed that Gpr124 deficiency in mice resulted in increased BBB permeability and worsened brain damage following ischemic stroke.</w:t>
            </w:r>
            <w:r>
              <w:br/>
              <w:t>7. Additionally, several other publications have reported similar findings, consistently demonstrating the protective role of Gpr124 in preventing BBB breakdown during ischemic stroke in mouse models.</w:t>
            </w:r>
            <w:r>
              <w:br/>
              <w:t>8. While the statement "Gpr124 suppresses BBB breakdown in mouse models of ischemic stroke" is generally true based on the available scientific evidence, it is essential to note that these findings are limited to mouse models and further research is needed to determine if similar mechanisms and outcomes occur in human ischemic stroke cases.</w:t>
            </w:r>
          </w:p>
        </w:tc>
      </w:tr>
      <w:tr w:rsidR="00933812" w14:paraId="7644D123" w14:textId="77777777">
        <w:tc>
          <w:tcPr>
            <w:tcW w:w="4320" w:type="dxa"/>
          </w:tcPr>
          <w:p w14:paraId="497537AC" w14:textId="77777777" w:rsidR="00933812" w:rsidRDefault="00873D25">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0E5ADAF" w14:textId="4AA4D177" w:rsidR="00933812" w:rsidRPr="001468AF" w:rsidRDefault="001468AF">
            <w:pPr>
              <w:rPr>
                <w:rFonts w:eastAsia="宋体"/>
                <w:lang w:eastAsia="zh-CN"/>
              </w:rPr>
            </w:pPr>
            <w:r>
              <w:rPr>
                <w:rFonts w:eastAsia="宋体" w:hint="eastAsia"/>
                <w:lang w:eastAsia="zh-CN"/>
              </w:rPr>
              <w:t>1</w:t>
            </w:r>
          </w:p>
        </w:tc>
      </w:tr>
      <w:tr w:rsidR="00933812" w14:paraId="211A5F9B" w14:textId="77777777">
        <w:tc>
          <w:tcPr>
            <w:tcW w:w="4320" w:type="dxa"/>
          </w:tcPr>
          <w:p w14:paraId="49181F41" w14:textId="77777777" w:rsidR="00933812" w:rsidRDefault="00873D25">
            <w:r>
              <w:rPr>
                <w:rFonts w:ascii="仿宋" w:eastAsia="仿宋" w:hAnsi="仿宋"/>
              </w:rPr>
              <w:t>提取的事实</w:t>
            </w:r>
          </w:p>
        </w:tc>
        <w:tc>
          <w:tcPr>
            <w:tcW w:w="4320" w:type="dxa"/>
          </w:tcPr>
          <w:p w14:paraId="3D73DE0D" w14:textId="77777777" w:rsidR="00933812" w:rsidRDefault="00873D25">
            <w:r>
              <w:t>1. Gpr124 is a transmembrane receptor protein primarily expressed in brain endothelial cells, which are a part of the blood-brain barrier.</w:t>
            </w:r>
            <w:r>
              <w:br/>
              <w:t xml:space="preserve">2. BBB breakdown refers to the disruption or dysfunction of </w:t>
            </w:r>
            <w:r>
              <w:lastRenderedPageBreak/>
              <w:t>the blood-brain barrier often due to ischemic stroke.</w:t>
            </w:r>
            <w:r>
              <w:br/>
              <w:t>3. Ischemic stroke mouse models mimic aspects of human ischemic stroke to study potential treatments and mechanisms.</w:t>
            </w:r>
            <w:r>
              <w:br/>
              <w:t>4. A study published in 2013 in the journal "Nature Neuroscience" revealed that Gpr124 signaling maintains the integrity of the blood-brain barrier.</w:t>
            </w:r>
            <w:r>
              <w:br/>
              <w:t>5. A different study published in 2017 in "Science Translational Medicine" found that Gpr124 deficiency led to increased BBB permeability and severe brain damage following an ischemic stroke in mice.</w:t>
            </w:r>
          </w:p>
        </w:tc>
      </w:tr>
      <w:tr w:rsidR="00933812" w14:paraId="0F76B51E" w14:textId="77777777">
        <w:tc>
          <w:tcPr>
            <w:tcW w:w="4320" w:type="dxa"/>
          </w:tcPr>
          <w:p w14:paraId="0BD290B5"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806299A" w14:textId="508A8CC3" w:rsidR="00933812" w:rsidRPr="001468AF" w:rsidRDefault="001468AF">
            <w:pPr>
              <w:rPr>
                <w:rFonts w:eastAsia="宋体"/>
                <w:lang w:eastAsia="zh-CN"/>
              </w:rPr>
            </w:pPr>
            <w:r>
              <w:rPr>
                <w:rFonts w:eastAsia="宋体" w:hint="eastAsia"/>
                <w:lang w:eastAsia="zh-CN"/>
              </w:rPr>
              <w:t>1</w:t>
            </w:r>
            <w:r>
              <w:rPr>
                <w:rFonts w:eastAsia="宋体"/>
                <w:lang w:eastAsia="zh-CN"/>
              </w:rPr>
              <w:t>,</w:t>
            </w:r>
            <w:r w:rsidR="003F1930">
              <w:rPr>
                <w:rFonts w:eastAsia="宋体"/>
                <w:lang w:eastAsia="zh-CN"/>
              </w:rPr>
              <w:t>1</w:t>
            </w:r>
            <w:r w:rsidR="00FE677D">
              <w:rPr>
                <w:rFonts w:eastAsia="宋体"/>
                <w:lang w:eastAsia="zh-CN"/>
              </w:rPr>
              <w:t>,</w:t>
            </w:r>
            <w:r w:rsidR="00372607">
              <w:rPr>
                <w:rFonts w:eastAsia="宋体"/>
                <w:lang w:eastAsia="zh-CN"/>
              </w:rPr>
              <w:t>1,</w:t>
            </w:r>
            <w:r w:rsidR="005845A5">
              <w:rPr>
                <w:rFonts w:eastAsia="宋体"/>
                <w:lang w:eastAsia="zh-CN"/>
              </w:rPr>
              <w:t>1,</w:t>
            </w:r>
            <w:r w:rsidR="00BF52C3">
              <w:rPr>
                <w:rFonts w:eastAsia="宋体"/>
                <w:lang w:eastAsia="zh-CN"/>
              </w:rPr>
              <w:t>7</w:t>
            </w:r>
          </w:p>
        </w:tc>
      </w:tr>
    </w:tbl>
    <w:p w14:paraId="580EEDE7"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554"/>
        <w:gridCol w:w="6076"/>
      </w:tblGrid>
      <w:tr w:rsidR="00933812" w14:paraId="63F81DAC" w14:textId="77777777">
        <w:tc>
          <w:tcPr>
            <w:tcW w:w="4320" w:type="dxa"/>
          </w:tcPr>
          <w:p w14:paraId="4FC9A4FD" w14:textId="77777777" w:rsidR="00933812" w:rsidRDefault="00873D25">
            <w:r>
              <w:t>ID</w:t>
            </w:r>
          </w:p>
        </w:tc>
        <w:tc>
          <w:tcPr>
            <w:tcW w:w="10080" w:type="dxa"/>
          </w:tcPr>
          <w:p w14:paraId="05CB513C" w14:textId="77777777" w:rsidR="00933812" w:rsidRDefault="00873D25">
            <w:r>
              <w:t>280(42)</w:t>
            </w:r>
          </w:p>
        </w:tc>
      </w:tr>
      <w:tr w:rsidR="00933812" w14:paraId="42FC0158" w14:textId="77777777">
        <w:tc>
          <w:tcPr>
            <w:tcW w:w="4320" w:type="dxa"/>
          </w:tcPr>
          <w:p w14:paraId="40973623" w14:textId="77777777" w:rsidR="00933812" w:rsidRDefault="00873D25">
            <w:r>
              <w:rPr>
                <w:rFonts w:ascii="仿宋" w:eastAsia="仿宋" w:hAnsi="仿宋"/>
              </w:rPr>
              <w:t>领域</w:t>
            </w:r>
          </w:p>
        </w:tc>
        <w:tc>
          <w:tcPr>
            <w:tcW w:w="4320" w:type="dxa"/>
          </w:tcPr>
          <w:p w14:paraId="0404B0B7" w14:textId="77777777" w:rsidR="00933812" w:rsidRDefault="00873D25">
            <w:r>
              <w:t>Science</w:t>
            </w:r>
          </w:p>
        </w:tc>
      </w:tr>
      <w:tr w:rsidR="00933812" w14:paraId="315EDBD9" w14:textId="77777777">
        <w:tc>
          <w:tcPr>
            <w:tcW w:w="4320" w:type="dxa"/>
          </w:tcPr>
          <w:p w14:paraId="58CC74E5" w14:textId="77777777" w:rsidR="00933812" w:rsidRDefault="00873D25">
            <w:r>
              <w:rPr>
                <w:rFonts w:ascii="仿宋" w:eastAsia="仿宋" w:hAnsi="仿宋"/>
              </w:rPr>
              <w:t>用户问题</w:t>
            </w:r>
          </w:p>
        </w:tc>
        <w:tc>
          <w:tcPr>
            <w:tcW w:w="4320" w:type="dxa"/>
          </w:tcPr>
          <w:p w14:paraId="36AD4C8F" w14:textId="77777777" w:rsidR="00933812" w:rsidRDefault="00873D25">
            <w:r>
              <w:t>Consider the following statement: "Guanine nucleotide dissociation inhibitor (Rho-GDI) interacts with the p75 NTR death domain" Is it right? Present fact-based arguments about the statement.</w:t>
            </w:r>
          </w:p>
        </w:tc>
      </w:tr>
      <w:tr w:rsidR="00933812" w14:paraId="48E2490D" w14:textId="77777777">
        <w:tc>
          <w:tcPr>
            <w:tcW w:w="4320" w:type="dxa"/>
          </w:tcPr>
          <w:p w14:paraId="1F24DBC4"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40FB010" w14:textId="36B816A8" w:rsidR="00933812" w:rsidRPr="004E0467" w:rsidRDefault="004E0467">
            <w:pPr>
              <w:rPr>
                <w:rFonts w:eastAsia="宋体"/>
                <w:lang w:eastAsia="zh-CN"/>
              </w:rPr>
            </w:pPr>
            <w:r>
              <w:rPr>
                <w:rFonts w:eastAsia="宋体" w:hint="eastAsia"/>
                <w:lang w:eastAsia="zh-CN"/>
              </w:rPr>
              <w:t>3</w:t>
            </w:r>
            <w:r>
              <w:rPr>
                <w:rFonts w:eastAsia="宋体"/>
                <w:lang w:eastAsia="zh-CN"/>
              </w:rPr>
              <w:t>,3,5</w:t>
            </w:r>
          </w:p>
        </w:tc>
      </w:tr>
      <w:tr w:rsidR="00933812" w14:paraId="7085D699" w14:textId="77777777">
        <w:tc>
          <w:tcPr>
            <w:tcW w:w="4320" w:type="dxa"/>
          </w:tcPr>
          <w:p w14:paraId="2C195F80" w14:textId="77777777" w:rsidR="00933812" w:rsidRDefault="00873D25">
            <w:r>
              <w:rPr>
                <w:rFonts w:ascii="仿宋" w:eastAsia="仿宋" w:hAnsi="仿宋"/>
              </w:rPr>
              <w:t>模型回复</w:t>
            </w:r>
          </w:p>
        </w:tc>
        <w:tc>
          <w:tcPr>
            <w:tcW w:w="4320" w:type="dxa"/>
          </w:tcPr>
          <w:p w14:paraId="64717AEE" w14:textId="77777777" w:rsidR="00933812" w:rsidRDefault="00873D25">
            <w:r>
              <w:t>To evaluate the accuracy of the statement "Guanine nucleotide dissociation inhibitor (Rho-GDI) interacts with the p75 NTR death domain," we can analyze available scientific literature and research findings. It is important to note that scientific knowledge is constantly advancing, and new studies may provide further insight or updates regarding protein interactions. Based on existing evidence, here are some fact-based arguments:</w:t>
            </w:r>
            <w:r>
              <w:br/>
              <w:t xml:space="preserve">1. Interaction between Rho-GDI and p75 NTR death domain: Several research studies suggest that Rho-GDI does indeed interact with the p75 NTR death domain. The p75 NTR (nerve growth factor receptor) is known to have various death domain interactions, contributing to diverse signaling </w:t>
            </w:r>
            <w:r>
              <w:lastRenderedPageBreak/>
              <w:t xml:space="preserve">pathways and cellular functions. Rho-GDI is a protein involved in regulating Rho GTPases, which control many cellular processes. </w:t>
            </w:r>
            <w:r>
              <w:br/>
              <w:t>2. Experimental evidence: Studies employing methods like co-immunoprecipitation, fluorescence resonance energy transfer (FRET), or yeast two-hybrid assays have provided experimental evidence supporting the interaction between Rho-GDI and the p75 NTR death domain. These techniques allow researchers to directly observe protein-protein interactions.</w:t>
            </w:r>
            <w:r>
              <w:br/>
              <w:t>3. Functional implications: The identified interaction between Rho-GDI and the p75 NTR death domain suggests potential functional implications. It has been suggested that this interaction may play a role in modulating Rho GTPase signaling pathways regulated by p75 NTR. Understanding these interactions is crucial for deciphering the molecular mechanisms underlying cellular processes mediated by both Rho-GDI and p75 NTR.</w:t>
            </w:r>
            <w:r>
              <w:br/>
              <w:t>4. Relevance in disease and therapeutics: Dysregulation of Rho GTPases and p75 NTR signaling has been implicated in various diseases and conditions, such as cancer, neurodegenerative disorders, and cardiovascular diseases. Characterizing the interactions between Rho-GDI and p75 NTR could facilitate the development of potential therapeutic interventions that target these pathways.</w:t>
            </w:r>
            <w:r>
              <w:br/>
              <w:t>However, it's worth mentioning that the scientific literature is vast and complex, and there may be differing or incomplete information on specific protein interactions. It is always recommended to consult the latest research and additional studies for a comprehensive understanding of the subject matter.</w:t>
            </w:r>
          </w:p>
        </w:tc>
      </w:tr>
      <w:tr w:rsidR="00933812" w14:paraId="62E493A8" w14:textId="77777777">
        <w:tc>
          <w:tcPr>
            <w:tcW w:w="4320" w:type="dxa"/>
          </w:tcPr>
          <w:p w14:paraId="59869920"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BAD500C" w14:textId="31776A37" w:rsidR="00933812" w:rsidRPr="004E0467" w:rsidRDefault="004E0467">
            <w:pPr>
              <w:rPr>
                <w:rFonts w:eastAsia="宋体"/>
                <w:lang w:eastAsia="zh-CN"/>
              </w:rPr>
            </w:pPr>
            <w:r>
              <w:rPr>
                <w:rFonts w:eastAsia="宋体" w:hint="eastAsia"/>
                <w:lang w:eastAsia="zh-CN"/>
              </w:rPr>
              <w:t>1</w:t>
            </w:r>
          </w:p>
        </w:tc>
      </w:tr>
      <w:tr w:rsidR="00933812" w14:paraId="12993520" w14:textId="77777777">
        <w:tc>
          <w:tcPr>
            <w:tcW w:w="4320" w:type="dxa"/>
          </w:tcPr>
          <w:p w14:paraId="76016FD1" w14:textId="77777777" w:rsidR="00933812" w:rsidRDefault="00873D25">
            <w:r>
              <w:rPr>
                <w:rFonts w:ascii="仿宋" w:eastAsia="仿宋" w:hAnsi="仿宋"/>
              </w:rPr>
              <w:t>提取的事实</w:t>
            </w:r>
          </w:p>
        </w:tc>
        <w:tc>
          <w:tcPr>
            <w:tcW w:w="4320" w:type="dxa"/>
          </w:tcPr>
          <w:p w14:paraId="302B9253" w14:textId="77777777" w:rsidR="00933812" w:rsidRDefault="00873D25">
            <w:r>
              <w:t>1. Guanine nucleotide dissociation inhibitor (Rho-GDI) is known to interact with the p75 NTR death domain, according to multiple research studies.</w:t>
            </w:r>
            <w:r>
              <w:br/>
              <w:t>2. Experimental evidence of Rho-GDI's interaction with the p75 NTR death domain has been provided through methods like co-immunoprecipitation, fluorescence resonance energy transfer (FRET), and yeast two-hybrid assays.</w:t>
            </w:r>
            <w:r>
              <w:br/>
              <w:t>3. Rho-GDI and the p75 NTR are suggested to have functional implications, potentially playing a role in modulating Rho GTPase signaling pathways regulated by p75 NTR.</w:t>
            </w:r>
            <w:r>
              <w:br/>
              <w:t>4. Dysregulation of Rho GTPases and p75 NTR signaling pathways has been linked with various diseases and disorders, including cancer, neurodegenerative disorders, and cardiovascular diseases.</w:t>
            </w:r>
            <w:r>
              <w:br/>
              <w:t xml:space="preserve">5. The interaction between Rho-GDI and p75 NTR could </w:t>
            </w:r>
            <w:r>
              <w:lastRenderedPageBreak/>
              <w:t>potentially be used to develop therapeutic interventions that target these pathways.</w:t>
            </w:r>
          </w:p>
        </w:tc>
      </w:tr>
      <w:tr w:rsidR="00933812" w14:paraId="50533C05" w14:textId="77777777">
        <w:tc>
          <w:tcPr>
            <w:tcW w:w="4320" w:type="dxa"/>
          </w:tcPr>
          <w:p w14:paraId="1A97BE3B"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A699A5A" w14:textId="34B572C4" w:rsidR="00933812" w:rsidRPr="004E0467" w:rsidRDefault="004E0467">
            <w:pPr>
              <w:rPr>
                <w:rFonts w:eastAsia="宋体"/>
                <w:lang w:eastAsia="zh-CN"/>
              </w:rPr>
            </w:pPr>
            <w:r>
              <w:rPr>
                <w:rFonts w:eastAsia="宋体" w:hint="eastAsia"/>
                <w:lang w:eastAsia="zh-CN"/>
              </w:rPr>
              <w:t>1</w:t>
            </w:r>
            <w:r>
              <w:rPr>
                <w:rFonts w:eastAsia="宋体"/>
                <w:lang w:eastAsia="zh-CN"/>
              </w:rPr>
              <w:t>,</w:t>
            </w:r>
            <w:r w:rsidR="00F6381E">
              <w:rPr>
                <w:rFonts w:eastAsia="宋体"/>
                <w:lang w:eastAsia="zh-CN"/>
              </w:rPr>
              <w:t>7</w:t>
            </w:r>
            <w:r w:rsidR="00544D6A">
              <w:rPr>
                <w:rFonts w:eastAsia="宋体"/>
                <w:lang w:eastAsia="zh-CN"/>
              </w:rPr>
              <w:t>,</w:t>
            </w:r>
            <w:r w:rsidR="008E63F7">
              <w:rPr>
                <w:rFonts w:eastAsia="宋体"/>
                <w:lang w:eastAsia="zh-CN"/>
              </w:rPr>
              <w:t>1,</w:t>
            </w:r>
            <w:r w:rsidR="00F6381E">
              <w:rPr>
                <w:rFonts w:eastAsia="宋体"/>
                <w:lang w:eastAsia="zh-CN"/>
              </w:rPr>
              <w:t>7</w:t>
            </w:r>
            <w:r w:rsidR="003F59DD">
              <w:rPr>
                <w:rFonts w:eastAsia="宋体"/>
                <w:lang w:eastAsia="zh-CN"/>
              </w:rPr>
              <w:t>,</w:t>
            </w:r>
            <w:r w:rsidR="009E0B20">
              <w:rPr>
                <w:rFonts w:eastAsia="宋体"/>
                <w:lang w:eastAsia="zh-CN"/>
              </w:rPr>
              <w:t>1</w:t>
            </w:r>
          </w:p>
        </w:tc>
      </w:tr>
    </w:tbl>
    <w:p w14:paraId="2432770A"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52"/>
        <w:gridCol w:w="5978"/>
      </w:tblGrid>
      <w:tr w:rsidR="00933812" w14:paraId="113526ED" w14:textId="77777777">
        <w:tc>
          <w:tcPr>
            <w:tcW w:w="4320" w:type="dxa"/>
          </w:tcPr>
          <w:p w14:paraId="3F0D91B3" w14:textId="77777777" w:rsidR="00933812" w:rsidRDefault="00873D25">
            <w:r>
              <w:t>ID</w:t>
            </w:r>
          </w:p>
        </w:tc>
        <w:tc>
          <w:tcPr>
            <w:tcW w:w="10080" w:type="dxa"/>
          </w:tcPr>
          <w:p w14:paraId="069B5C6B" w14:textId="77777777" w:rsidR="00933812" w:rsidRDefault="00873D25">
            <w:r>
              <w:t>288(43)</w:t>
            </w:r>
          </w:p>
        </w:tc>
      </w:tr>
      <w:tr w:rsidR="00933812" w14:paraId="626D997C" w14:textId="77777777">
        <w:tc>
          <w:tcPr>
            <w:tcW w:w="4320" w:type="dxa"/>
          </w:tcPr>
          <w:p w14:paraId="3F231276" w14:textId="77777777" w:rsidR="00933812" w:rsidRDefault="00873D25">
            <w:r>
              <w:rPr>
                <w:rFonts w:ascii="仿宋" w:eastAsia="仿宋" w:hAnsi="仿宋"/>
              </w:rPr>
              <w:t>领域</w:t>
            </w:r>
          </w:p>
        </w:tc>
        <w:tc>
          <w:tcPr>
            <w:tcW w:w="4320" w:type="dxa"/>
          </w:tcPr>
          <w:p w14:paraId="3F8813D5" w14:textId="77777777" w:rsidR="00933812" w:rsidRDefault="00873D25">
            <w:r>
              <w:t>Science</w:t>
            </w:r>
          </w:p>
        </w:tc>
      </w:tr>
      <w:tr w:rsidR="00933812" w14:paraId="4A7F0601" w14:textId="77777777">
        <w:tc>
          <w:tcPr>
            <w:tcW w:w="4320" w:type="dxa"/>
          </w:tcPr>
          <w:p w14:paraId="21A61259" w14:textId="77777777" w:rsidR="00933812" w:rsidRDefault="00873D25">
            <w:r>
              <w:rPr>
                <w:rFonts w:ascii="仿宋" w:eastAsia="仿宋" w:hAnsi="仿宋"/>
              </w:rPr>
              <w:t>用户问题</w:t>
            </w:r>
          </w:p>
        </w:tc>
        <w:tc>
          <w:tcPr>
            <w:tcW w:w="4320" w:type="dxa"/>
          </w:tcPr>
          <w:p w14:paraId="7B1AB42C" w14:textId="77777777" w:rsidR="00933812" w:rsidRDefault="00873D25">
            <w:r>
              <w:t>Can you clarify whether the claim "HIV trans-activator protein (TAT) effectively transports large and small molecules across cellular membranes into larger populations of neurons." is accurate or not? Build factual arguments about the claim.</w:t>
            </w:r>
          </w:p>
        </w:tc>
      </w:tr>
      <w:tr w:rsidR="00933812" w14:paraId="27D786E2" w14:textId="77777777">
        <w:tc>
          <w:tcPr>
            <w:tcW w:w="4320" w:type="dxa"/>
          </w:tcPr>
          <w:p w14:paraId="06161E52"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995EDFB" w14:textId="101B326B" w:rsidR="00933812" w:rsidRPr="00396627" w:rsidRDefault="00396627">
            <w:pPr>
              <w:rPr>
                <w:rFonts w:eastAsia="宋体"/>
                <w:lang w:eastAsia="zh-CN"/>
              </w:rPr>
            </w:pPr>
            <w:r>
              <w:rPr>
                <w:rFonts w:eastAsia="宋体" w:hint="eastAsia"/>
                <w:lang w:eastAsia="zh-CN"/>
              </w:rPr>
              <w:t>2</w:t>
            </w:r>
            <w:r>
              <w:rPr>
                <w:rFonts w:eastAsia="宋体"/>
                <w:lang w:eastAsia="zh-CN"/>
              </w:rPr>
              <w:t>,4,5</w:t>
            </w:r>
          </w:p>
        </w:tc>
      </w:tr>
      <w:tr w:rsidR="00933812" w14:paraId="707B82FA" w14:textId="77777777">
        <w:tc>
          <w:tcPr>
            <w:tcW w:w="4320" w:type="dxa"/>
          </w:tcPr>
          <w:p w14:paraId="125E57A2" w14:textId="77777777" w:rsidR="00933812" w:rsidRDefault="00873D25">
            <w:r>
              <w:rPr>
                <w:rFonts w:ascii="仿宋" w:eastAsia="仿宋" w:hAnsi="仿宋"/>
              </w:rPr>
              <w:t>模型回复</w:t>
            </w:r>
          </w:p>
        </w:tc>
        <w:tc>
          <w:tcPr>
            <w:tcW w:w="4320" w:type="dxa"/>
          </w:tcPr>
          <w:p w14:paraId="485498EC" w14:textId="77777777" w:rsidR="00933812" w:rsidRDefault="00873D25">
            <w:r>
              <w:t>The claim "HIV trans-activator protein (TAT) effectively transports large and small molecules across cellular membranes into larger populations of neurons" is accurate. Here are the factual arguments supporting the claim:</w:t>
            </w:r>
            <w:r>
              <w:br/>
              <w:t>1. Scientific studies have shown the ability of TAT to transport various molecules: Multiple research studies have demonstrated the effectiveness of TAT in transporting large and small molecules across cellular membranes. For instance, a study published in the journal PLoS One in 2011 titled "Trans-Activator of Transcription from HIV-1 Enhances Preintegration Complex Formation and Downstream Integration in Divergent Lentiviral Vectors" found that TAT facilitated the transport of large lentiviral particles across the cellular membrane. Similarly, a study titled "HIV-1 Tat protein transduction domain (Tat-TS) mediates efficient delivery of ZFNs into mammalian cells" published in the journal Nucleic Acids Research in 2012 demonstrated successful delivery of Zinc Finger Nucleases using TAT.</w:t>
            </w:r>
            <w:r>
              <w:br/>
              <w:t xml:space="preserve">2. TAT's role in drug delivery to neurons: TAT has been extensively explored as a potential vehicle for drug delivery to neurons. A study published in the Journal of Controlled Release in 2014 titled "TAT peptide-functionalized </w:t>
            </w:r>
            <w:r>
              <w:lastRenderedPageBreak/>
              <w:t>nanoparticles for transmucosal delivery of protein drugs" investigated the use of TAT-conjugated nanoparticles for delivering protein drugs across the blood-brain barrier, targeting the central nervous system. This demonstrates the ability of TAT to effectively transport molecules to neurons.</w:t>
            </w:r>
            <w:r>
              <w:br/>
              <w:t>3. TAT's mechanism of cellular uptake: TAT possesses a unique mechanism of cellular uptake called "protein transduction domain" (PTD). This PTD enables TAT to traverse cell membranes efficiently, even in the presence of barriers like the blood-brain barrier. A study published in the Journal of Controlled Release in 2009 titled "The uptake and intracellular fate of PLGA nanoparticles in epithelial cells" characterized the uptake and internalization mechanisms of TAT-conjugated nanoparticles and confirmed their effective translocation across cellular barriers.</w:t>
            </w:r>
            <w:r>
              <w:br/>
              <w:t>Overall, multiple scientific studies support the claim that TAT effectively transports large and small molecules across cellular membranes into larger populations of neurons. However, further research and development may be necessary to optimize TAT-mediated delivery for specific molecules and applications.</w:t>
            </w:r>
          </w:p>
        </w:tc>
      </w:tr>
      <w:tr w:rsidR="00933812" w14:paraId="282245DC" w14:textId="77777777">
        <w:tc>
          <w:tcPr>
            <w:tcW w:w="4320" w:type="dxa"/>
          </w:tcPr>
          <w:p w14:paraId="4D5CAA94"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708D00C" w14:textId="0ECA16C9" w:rsidR="00933812" w:rsidRPr="00396627" w:rsidRDefault="00396627">
            <w:pPr>
              <w:rPr>
                <w:rFonts w:eastAsia="宋体"/>
                <w:lang w:eastAsia="zh-CN"/>
              </w:rPr>
            </w:pPr>
            <w:r>
              <w:rPr>
                <w:rFonts w:eastAsia="宋体" w:hint="eastAsia"/>
                <w:lang w:eastAsia="zh-CN"/>
              </w:rPr>
              <w:t>1</w:t>
            </w:r>
          </w:p>
        </w:tc>
      </w:tr>
      <w:tr w:rsidR="00933812" w14:paraId="1A869CFA" w14:textId="77777777">
        <w:tc>
          <w:tcPr>
            <w:tcW w:w="4320" w:type="dxa"/>
          </w:tcPr>
          <w:p w14:paraId="45DED92C" w14:textId="77777777" w:rsidR="00933812" w:rsidRDefault="00873D25">
            <w:r>
              <w:rPr>
                <w:rFonts w:ascii="仿宋" w:eastAsia="仿宋" w:hAnsi="仿宋"/>
              </w:rPr>
              <w:t>提取的事实</w:t>
            </w:r>
          </w:p>
        </w:tc>
        <w:tc>
          <w:tcPr>
            <w:tcW w:w="4320" w:type="dxa"/>
          </w:tcPr>
          <w:p w14:paraId="113E3512" w14:textId="77777777" w:rsidR="00933812" w:rsidRDefault="00873D25">
            <w:r>
              <w:t>1. Scientific studies have shown the ability of the HIV trans-activator protein (TAT) to transport various molecules across cellular membranes.</w:t>
            </w:r>
            <w:r>
              <w:br/>
              <w:t>2. A study published in the journal PLoS One in 2011 found that TAT facilitated the transport of large lentiviral particles across the cellular membrane.</w:t>
            </w:r>
            <w:r>
              <w:br/>
              <w:t>3. A 2012 study published in the journal Nucleic Acids Research demonstrated successful delivery of Zinc Finger Nucleases using TAT.</w:t>
            </w:r>
            <w:r>
              <w:br/>
              <w:t>4. TAT has been used in attempts to deliver drug treatments to neurons, as evidenced by a 2014 study published in the Journal of Controlled Release.</w:t>
            </w:r>
            <w:r>
              <w:br/>
              <w:t>5. TAT uses a unique mechanism of cellular uptake called the "protein transduction domain" (PTD) that enables it to traverse cell membranes efficiently.</w:t>
            </w:r>
          </w:p>
        </w:tc>
      </w:tr>
      <w:tr w:rsidR="00933812" w14:paraId="2BA3A382" w14:textId="77777777">
        <w:tc>
          <w:tcPr>
            <w:tcW w:w="4320" w:type="dxa"/>
          </w:tcPr>
          <w:p w14:paraId="3940E775"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09FC35AB" w14:textId="2DCC8971" w:rsidR="00933812" w:rsidRPr="004D5CBC" w:rsidRDefault="004D5CBC">
            <w:pPr>
              <w:rPr>
                <w:rFonts w:eastAsia="宋体"/>
                <w:lang w:eastAsia="zh-CN"/>
              </w:rPr>
            </w:pPr>
            <w:r>
              <w:rPr>
                <w:rFonts w:eastAsia="宋体" w:hint="eastAsia"/>
                <w:lang w:eastAsia="zh-CN"/>
              </w:rPr>
              <w:lastRenderedPageBreak/>
              <w:t>1</w:t>
            </w:r>
            <w:r>
              <w:rPr>
                <w:rFonts w:eastAsia="宋体"/>
                <w:lang w:eastAsia="zh-CN"/>
              </w:rPr>
              <w:t>,</w:t>
            </w:r>
            <w:r w:rsidR="00F93CEA">
              <w:rPr>
                <w:rFonts w:eastAsia="宋体"/>
                <w:lang w:eastAsia="zh-CN"/>
              </w:rPr>
              <w:t>7,</w:t>
            </w:r>
            <w:r w:rsidR="00345F1A">
              <w:rPr>
                <w:rFonts w:eastAsia="宋体"/>
                <w:lang w:eastAsia="zh-CN"/>
              </w:rPr>
              <w:t>1,</w:t>
            </w:r>
            <w:r w:rsidR="00023CAB">
              <w:rPr>
                <w:rFonts w:eastAsia="宋体"/>
                <w:lang w:eastAsia="zh-CN"/>
              </w:rPr>
              <w:t>7,</w:t>
            </w:r>
            <w:r w:rsidR="00285EC3">
              <w:rPr>
                <w:rFonts w:eastAsia="宋体"/>
                <w:lang w:eastAsia="zh-CN"/>
              </w:rPr>
              <w:t>1</w:t>
            </w:r>
          </w:p>
        </w:tc>
      </w:tr>
    </w:tbl>
    <w:p w14:paraId="3FC48985"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57"/>
        <w:gridCol w:w="5973"/>
      </w:tblGrid>
      <w:tr w:rsidR="00933812" w14:paraId="7051991C" w14:textId="77777777">
        <w:tc>
          <w:tcPr>
            <w:tcW w:w="4320" w:type="dxa"/>
          </w:tcPr>
          <w:p w14:paraId="71DC7E3E" w14:textId="77777777" w:rsidR="00933812" w:rsidRDefault="00873D25">
            <w:r>
              <w:t>ID</w:t>
            </w:r>
          </w:p>
        </w:tc>
        <w:tc>
          <w:tcPr>
            <w:tcW w:w="10080" w:type="dxa"/>
          </w:tcPr>
          <w:p w14:paraId="32E402F1" w14:textId="77777777" w:rsidR="00933812" w:rsidRDefault="00873D25">
            <w:r>
              <w:t>296(44)</w:t>
            </w:r>
          </w:p>
        </w:tc>
      </w:tr>
      <w:tr w:rsidR="00933812" w14:paraId="1338109A" w14:textId="77777777">
        <w:tc>
          <w:tcPr>
            <w:tcW w:w="4320" w:type="dxa"/>
          </w:tcPr>
          <w:p w14:paraId="056BC4E8" w14:textId="77777777" w:rsidR="00933812" w:rsidRDefault="00873D25">
            <w:r>
              <w:rPr>
                <w:rFonts w:ascii="仿宋" w:eastAsia="仿宋" w:hAnsi="仿宋"/>
              </w:rPr>
              <w:t>领域</w:t>
            </w:r>
          </w:p>
        </w:tc>
        <w:tc>
          <w:tcPr>
            <w:tcW w:w="4320" w:type="dxa"/>
          </w:tcPr>
          <w:p w14:paraId="126DA3F8" w14:textId="77777777" w:rsidR="00933812" w:rsidRDefault="00873D25">
            <w:r>
              <w:t>Science</w:t>
            </w:r>
          </w:p>
        </w:tc>
      </w:tr>
      <w:tr w:rsidR="00933812" w14:paraId="23E117B5" w14:textId="77777777">
        <w:tc>
          <w:tcPr>
            <w:tcW w:w="4320" w:type="dxa"/>
          </w:tcPr>
          <w:p w14:paraId="68E19D90" w14:textId="77777777" w:rsidR="00933812" w:rsidRDefault="00873D25">
            <w:r>
              <w:rPr>
                <w:rFonts w:ascii="仿宋" w:eastAsia="仿宋" w:hAnsi="仿宋"/>
              </w:rPr>
              <w:t>用户问题</w:t>
            </w:r>
          </w:p>
        </w:tc>
        <w:tc>
          <w:tcPr>
            <w:tcW w:w="4320" w:type="dxa"/>
          </w:tcPr>
          <w:p w14:paraId="3266914D" w14:textId="77777777" w:rsidR="00933812" w:rsidRDefault="00873D25">
            <w:r>
              <w:t>Do you agree with the claim that "Headaches are correlated with cognitive impairment."? Provide factual statements about the claim.</w:t>
            </w:r>
          </w:p>
        </w:tc>
      </w:tr>
      <w:tr w:rsidR="00933812" w14:paraId="2991E252" w14:textId="77777777">
        <w:tc>
          <w:tcPr>
            <w:tcW w:w="4320" w:type="dxa"/>
          </w:tcPr>
          <w:p w14:paraId="0D574157"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7725E20" w14:textId="3CB66522" w:rsidR="00933812" w:rsidRPr="00A63EB9" w:rsidRDefault="00A63EB9">
            <w:pPr>
              <w:rPr>
                <w:rFonts w:eastAsia="宋体"/>
                <w:lang w:eastAsia="zh-CN"/>
              </w:rPr>
            </w:pPr>
            <w:r>
              <w:rPr>
                <w:rFonts w:eastAsia="宋体" w:hint="eastAsia"/>
                <w:lang w:eastAsia="zh-CN"/>
              </w:rPr>
              <w:t>5</w:t>
            </w:r>
            <w:r>
              <w:rPr>
                <w:rFonts w:eastAsia="宋体"/>
                <w:lang w:eastAsia="zh-CN"/>
              </w:rPr>
              <w:t>,5,5</w:t>
            </w:r>
          </w:p>
        </w:tc>
      </w:tr>
      <w:tr w:rsidR="00933812" w14:paraId="41FBBAC5" w14:textId="77777777">
        <w:tc>
          <w:tcPr>
            <w:tcW w:w="4320" w:type="dxa"/>
          </w:tcPr>
          <w:p w14:paraId="5CA41E75" w14:textId="77777777" w:rsidR="00933812" w:rsidRDefault="00873D25">
            <w:r>
              <w:rPr>
                <w:rFonts w:ascii="仿宋" w:eastAsia="仿宋" w:hAnsi="仿宋"/>
              </w:rPr>
              <w:t>模型回复</w:t>
            </w:r>
          </w:p>
        </w:tc>
        <w:tc>
          <w:tcPr>
            <w:tcW w:w="4320" w:type="dxa"/>
          </w:tcPr>
          <w:p w14:paraId="1F3150F6" w14:textId="77777777" w:rsidR="00933812" w:rsidRDefault="00873D25">
            <w:r>
              <w:t>As an AI language model, I don't have personal opinions. However, I can provide you with factual statements regarding the claim that "Headaches are correlated with cognitive impairment." It is important to note that correlations do not imply causation, meaning a correlation between two variables does not necessarily mean that one variable causes the other. Here are some factual statements:</w:t>
            </w:r>
            <w:r>
              <w:br/>
              <w:t>1. Studies have found a correlation between frequent headaches and cognitive impairment symptoms. For example, a study published in the journal Headache in 2016 found that migraine sufferers reported difficulties with cognitive tasks, memory, attention, and executive functions.</w:t>
            </w:r>
            <w:r>
              <w:br/>
              <w:t>2. Another study published in the journal Cephalalgia in 2013 observed that individuals with frequent tension-type headaches had lower cognitive performance in tasks related to attention, processing speed, and working memory.</w:t>
            </w:r>
            <w:r>
              <w:br/>
              <w:t>3. A review published in the journal Pain Physician in 2015 suggested that chronic daily headache patients may experience cognitive dysfunction, including impairments in verbal and visual memory, attention, and concentration.</w:t>
            </w:r>
            <w:r>
              <w:br/>
              <w:t>4. It is worth noting that causation is often difficult to establish in these studies due to various confounding factors. Headaches could be a symptom of an underlying condition that also affects cognitive function, rather than being the direct cause of cognitive impairment.</w:t>
            </w:r>
            <w:r>
              <w:br/>
              <w:t>Overall, while there is evidence suggesting a correlation between headaches and cognitive impairment, further research is needed to ascertain the nature of this relationship and to determine if there are any causal links between the two variables.</w:t>
            </w:r>
          </w:p>
        </w:tc>
      </w:tr>
      <w:tr w:rsidR="00933812" w14:paraId="5CEC860D" w14:textId="77777777">
        <w:tc>
          <w:tcPr>
            <w:tcW w:w="4320" w:type="dxa"/>
          </w:tcPr>
          <w:p w14:paraId="7138E364" w14:textId="77777777" w:rsidR="00933812" w:rsidRDefault="00873D25">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E786CA3" w14:textId="57C309DA" w:rsidR="00933812" w:rsidRPr="00A63EB9" w:rsidRDefault="00A63EB9">
            <w:pPr>
              <w:rPr>
                <w:rFonts w:eastAsia="宋体"/>
                <w:lang w:eastAsia="zh-CN"/>
              </w:rPr>
            </w:pPr>
            <w:r>
              <w:rPr>
                <w:rFonts w:eastAsia="宋体" w:hint="eastAsia"/>
                <w:lang w:eastAsia="zh-CN"/>
              </w:rPr>
              <w:t>1</w:t>
            </w:r>
          </w:p>
        </w:tc>
      </w:tr>
      <w:tr w:rsidR="00933812" w14:paraId="1DA54310" w14:textId="77777777">
        <w:tc>
          <w:tcPr>
            <w:tcW w:w="4320" w:type="dxa"/>
          </w:tcPr>
          <w:p w14:paraId="78DF7C95" w14:textId="77777777" w:rsidR="00933812" w:rsidRDefault="00873D25">
            <w:r>
              <w:rPr>
                <w:rFonts w:ascii="仿宋" w:eastAsia="仿宋" w:hAnsi="仿宋"/>
              </w:rPr>
              <w:lastRenderedPageBreak/>
              <w:t>提取的事实</w:t>
            </w:r>
          </w:p>
        </w:tc>
        <w:tc>
          <w:tcPr>
            <w:tcW w:w="4320" w:type="dxa"/>
          </w:tcPr>
          <w:p w14:paraId="30BB547E" w14:textId="77777777" w:rsidR="00933812" w:rsidRDefault="00873D25">
            <w:r>
              <w:t>1. Studies have identified a correlation between frequent headaches and cognitive impairment symptoms.</w:t>
            </w:r>
            <w:r>
              <w:br/>
              <w:t>2. A study published in 'Headache' journal in 2016 reported that migraine sufferers had difficulties with cognitive tasks, memory, attention, and executive functions.</w:t>
            </w:r>
            <w:r>
              <w:br/>
              <w:t>3. A study in the journal 'Cephalalgia' in 2013 observed that individuals with frequent tension-type headaches had poorer cognitive performance in tasks related to attention, processing speed, and working memory.</w:t>
            </w:r>
            <w:r>
              <w:br/>
              <w:t>4. A 2015 review in the 'Pain Physician' journal suggested that chronic daily headache patients may experience cognitive dysfunction, including defects in verbal and visual memory, attention, and concentration.</w:t>
            </w:r>
            <w:r>
              <w:br/>
              <w:t>5. Determining causation in studies of cognitive function and headaches can be complicated due to potential confounding factors.</w:t>
            </w:r>
          </w:p>
        </w:tc>
      </w:tr>
      <w:tr w:rsidR="00933812" w14:paraId="66378AFE" w14:textId="77777777">
        <w:tc>
          <w:tcPr>
            <w:tcW w:w="4320" w:type="dxa"/>
          </w:tcPr>
          <w:p w14:paraId="680A75C2"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4546F1C" w14:textId="266698D6" w:rsidR="00933812" w:rsidRPr="00A63EB9" w:rsidRDefault="00A63EB9">
            <w:pPr>
              <w:rPr>
                <w:rFonts w:eastAsia="宋体"/>
                <w:lang w:eastAsia="zh-CN"/>
              </w:rPr>
            </w:pPr>
            <w:r>
              <w:rPr>
                <w:rFonts w:eastAsia="宋体" w:hint="eastAsia"/>
                <w:lang w:eastAsia="zh-CN"/>
              </w:rPr>
              <w:t>1</w:t>
            </w:r>
            <w:r>
              <w:rPr>
                <w:rFonts w:eastAsia="宋体"/>
                <w:lang w:eastAsia="zh-CN"/>
              </w:rPr>
              <w:t>,</w:t>
            </w:r>
            <w:r w:rsidR="00056CB6">
              <w:rPr>
                <w:rFonts w:eastAsia="宋体"/>
                <w:lang w:eastAsia="zh-CN"/>
              </w:rPr>
              <w:t>7</w:t>
            </w:r>
            <w:r w:rsidR="007B5332">
              <w:rPr>
                <w:rFonts w:eastAsia="宋体"/>
                <w:lang w:eastAsia="zh-CN"/>
              </w:rPr>
              <w:t>,</w:t>
            </w:r>
            <w:r w:rsidR="00997FB9">
              <w:rPr>
                <w:rFonts w:eastAsia="宋体"/>
                <w:lang w:eastAsia="zh-CN"/>
              </w:rPr>
              <w:t>1</w:t>
            </w:r>
            <w:r w:rsidR="007B5332">
              <w:rPr>
                <w:rFonts w:eastAsia="宋体"/>
                <w:lang w:eastAsia="zh-CN"/>
              </w:rPr>
              <w:t>,</w:t>
            </w:r>
            <w:r w:rsidR="00EC1897">
              <w:rPr>
                <w:rFonts w:eastAsia="宋体"/>
                <w:lang w:eastAsia="zh-CN"/>
              </w:rPr>
              <w:t>7</w:t>
            </w:r>
            <w:r w:rsidR="007B5332">
              <w:rPr>
                <w:rFonts w:eastAsia="宋体"/>
                <w:lang w:eastAsia="zh-CN"/>
              </w:rPr>
              <w:t>,1</w:t>
            </w:r>
          </w:p>
        </w:tc>
      </w:tr>
    </w:tbl>
    <w:p w14:paraId="7BDC1BFE"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57"/>
        <w:gridCol w:w="5973"/>
      </w:tblGrid>
      <w:tr w:rsidR="00933812" w14:paraId="3E0F4AE5" w14:textId="77777777">
        <w:tc>
          <w:tcPr>
            <w:tcW w:w="4320" w:type="dxa"/>
          </w:tcPr>
          <w:p w14:paraId="462AEACA" w14:textId="77777777" w:rsidR="00933812" w:rsidRDefault="00873D25">
            <w:r>
              <w:t>ID</w:t>
            </w:r>
          </w:p>
        </w:tc>
        <w:tc>
          <w:tcPr>
            <w:tcW w:w="10080" w:type="dxa"/>
          </w:tcPr>
          <w:p w14:paraId="777E299C" w14:textId="77777777" w:rsidR="00933812" w:rsidRDefault="00873D25">
            <w:r>
              <w:t>301(45)</w:t>
            </w:r>
          </w:p>
        </w:tc>
      </w:tr>
      <w:tr w:rsidR="00933812" w14:paraId="4C366A7E" w14:textId="77777777">
        <w:tc>
          <w:tcPr>
            <w:tcW w:w="4320" w:type="dxa"/>
          </w:tcPr>
          <w:p w14:paraId="6BB90B88" w14:textId="77777777" w:rsidR="00933812" w:rsidRDefault="00873D25">
            <w:r>
              <w:rPr>
                <w:rFonts w:ascii="仿宋" w:eastAsia="仿宋" w:hAnsi="仿宋"/>
              </w:rPr>
              <w:t>领域</w:t>
            </w:r>
          </w:p>
        </w:tc>
        <w:tc>
          <w:tcPr>
            <w:tcW w:w="4320" w:type="dxa"/>
          </w:tcPr>
          <w:p w14:paraId="34FC402A" w14:textId="77777777" w:rsidR="00933812" w:rsidRDefault="00873D25">
            <w:r>
              <w:t>Science</w:t>
            </w:r>
          </w:p>
        </w:tc>
      </w:tr>
      <w:tr w:rsidR="00933812" w14:paraId="3F4A4BB0" w14:textId="77777777">
        <w:tc>
          <w:tcPr>
            <w:tcW w:w="4320" w:type="dxa"/>
          </w:tcPr>
          <w:p w14:paraId="5EA03871" w14:textId="77777777" w:rsidR="00933812" w:rsidRDefault="00873D25">
            <w:r>
              <w:rPr>
                <w:rFonts w:ascii="仿宋" w:eastAsia="仿宋" w:hAnsi="仿宋"/>
              </w:rPr>
              <w:t>用户问题</w:t>
            </w:r>
          </w:p>
        </w:tc>
        <w:tc>
          <w:tcPr>
            <w:tcW w:w="4320" w:type="dxa"/>
          </w:tcPr>
          <w:p w14:paraId="43A22AA1" w14:textId="77777777" w:rsidR="00933812" w:rsidRDefault="00873D25">
            <w:r>
              <w:t>Do you agree with the claim that "High levels of CRP lead to a higher risk of exacerbations in chronic obstructive pulmonary disease (COPD)."? Provide factual statements about the claim.</w:t>
            </w:r>
          </w:p>
        </w:tc>
      </w:tr>
      <w:tr w:rsidR="00933812" w14:paraId="5F1A42CE" w14:textId="77777777">
        <w:tc>
          <w:tcPr>
            <w:tcW w:w="4320" w:type="dxa"/>
          </w:tcPr>
          <w:p w14:paraId="204679AE"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AB6BA6A" w14:textId="1CE5009A" w:rsidR="00933812" w:rsidRPr="00104F9A" w:rsidRDefault="00104F9A">
            <w:pPr>
              <w:rPr>
                <w:rFonts w:eastAsia="宋体"/>
                <w:lang w:eastAsia="zh-CN"/>
              </w:rPr>
            </w:pPr>
            <w:r>
              <w:rPr>
                <w:rFonts w:eastAsia="宋体" w:hint="eastAsia"/>
                <w:lang w:eastAsia="zh-CN"/>
              </w:rPr>
              <w:t>4</w:t>
            </w:r>
            <w:r>
              <w:rPr>
                <w:rFonts w:eastAsia="宋体"/>
                <w:lang w:eastAsia="zh-CN"/>
              </w:rPr>
              <w:t>,3,5</w:t>
            </w:r>
          </w:p>
        </w:tc>
      </w:tr>
      <w:tr w:rsidR="00933812" w14:paraId="02590C1E" w14:textId="77777777">
        <w:tc>
          <w:tcPr>
            <w:tcW w:w="4320" w:type="dxa"/>
          </w:tcPr>
          <w:p w14:paraId="0D81D1EC" w14:textId="77777777" w:rsidR="00933812" w:rsidRDefault="00873D25">
            <w:r>
              <w:rPr>
                <w:rFonts w:ascii="仿宋" w:eastAsia="仿宋" w:hAnsi="仿宋"/>
              </w:rPr>
              <w:t>模型回复</w:t>
            </w:r>
          </w:p>
        </w:tc>
        <w:tc>
          <w:tcPr>
            <w:tcW w:w="4320" w:type="dxa"/>
          </w:tcPr>
          <w:p w14:paraId="485F1297" w14:textId="77777777" w:rsidR="00933812" w:rsidRDefault="00873D25">
            <w:r>
              <w:t>Yes, there is evidence to support the claim that high levels of C-reactive protein (CRP) lead to a higher risk of exacerbations in chronic obstructive pulmonary disease (COPD).</w:t>
            </w:r>
            <w:r>
              <w:br/>
              <w:t xml:space="preserve">1. Research studies have found an association between elevated CRP levels and increased risk of exacerbations in COPD patients. For example, a study published in the Journal of the American Medical Association (JAMA) in 2000 concluded that elevated CRP levels were associated with a </w:t>
            </w:r>
            <w:r>
              <w:lastRenderedPageBreak/>
              <w:t>significantly increased risk of exacerbations in COPD patients.</w:t>
            </w:r>
            <w:r>
              <w:br/>
              <w:t>2. Another study published in the European Respiratory Journal in 2012 found that COPD patients with high CRP levels had a higher frequency of exacerbations compared to those with lower CRP levels.</w:t>
            </w:r>
            <w:r>
              <w:br/>
              <w:t>3. CRP is an inflammatory marker produced by the liver in response to inflammation in the body. Inflammation plays a key role in the pathogenesis of COPD exacerbations. Higher levels of CRP indicate increased inflammation, which in turn can contribute to the development and severity of exacerbations.</w:t>
            </w:r>
            <w:r>
              <w:br/>
              <w:t>4. CRP has been suggested as a potential biomarker for assessing the risk of exacerbations in COPD patients. Several studies have investigated the use of CRP as a predictive marker for exacerbations, with positive findings supporting its potential role in assessing the risk of exacerbation episodes.</w:t>
            </w:r>
            <w:r>
              <w:br/>
              <w:t>Therefore, based on the available research and the link between inflammation and COPD exacerbations, it is reasonable to conclude that high levels of CRP can indeed lead to a higher risk of exacerbations in COPD.</w:t>
            </w:r>
          </w:p>
        </w:tc>
      </w:tr>
      <w:tr w:rsidR="00933812" w14:paraId="6ACE7E27" w14:textId="77777777">
        <w:tc>
          <w:tcPr>
            <w:tcW w:w="4320" w:type="dxa"/>
          </w:tcPr>
          <w:p w14:paraId="2D328589"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63999D0" w14:textId="54EBCE9F" w:rsidR="00933812" w:rsidRPr="00104F9A" w:rsidRDefault="00104F9A">
            <w:pPr>
              <w:rPr>
                <w:rFonts w:eastAsia="宋体"/>
                <w:lang w:eastAsia="zh-CN"/>
              </w:rPr>
            </w:pPr>
            <w:r>
              <w:rPr>
                <w:rFonts w:eastAsia="宋体" w:hint="eastAsia"/>
                <w:lang w:eastAsia="zh-CN"/>
              </w:rPr>
              <w:t>1</w:t>
            </w:r>
          </w:p>
        </w:tc>
      </w:tr>
      <w:tr w:rsidR="00933812" w14:paraId="105C7B0B" w14:textId="77777777">
        <w:tc>
          <w:tcPr>
            <w:tcW w:w="4320" w:type="dxa"/>
          </w:tcPr>
          <w:p w14:paraId="0ECA83D9" w14:textId="77777777" w:rsidR="00933812" w:rsidRDefault="00873D25">
            <w:r>
              <w:rPr>
                <w:rFonts w:ascii="仿宋" w:eastAsia="仿宋" w:hAnsi="仿宋"/>
              </w:rPr>
              <w:t>提取的事实</w:t>
            </w:r>
          </w:p>
        </w:tc>
        <w:tc>
          <w:tcPr>
            <w:tcW w:w="4320" w:type="dxa"/>
          </w:tcPr>
          <w:p w14:paraId="0A30E20B" w14:textId="77777777" w:rsidR="00933812" w:rsidRDefault="00873D25">
            <w:r>
              <w:t>1. C-reactive protein (CRP) is an inflammatory marker produced by the liver in response to inflammation in the body.</w:t>
            </w:r>
            <w:r>
              <w:br/>
              <w:t>2. A study published in the Journal of the American Medical Association (JAMA) in 2000 concluded that elevated CRP levels were associated with a significantly increased risk of exacerbations in patients with chronic obstructive pulmonary disease (COPD).</w:t>
            </w:r>
            <w:r>
              <w:br/>
              <w:t>3. Another study published in the European Respiratory Journal in 2012 found that COPD patients with high CRP levels had a higher frequency of exacerbations compared to those with lower CRP levels.</w:t>
            </w:r>
            <w:r>
              <w:br/>
              <w:t>4. Some research has suggested using CRP as a biomarker for assessing the risk of exacerbations in COPD patients due to its link with inflammation.</w:t>
            </w:r>
            <w:r>
              <w:br/>
              <w:t>5. Inflammation plays a significant role in the development and severity of COPD exacerbations.</w:t>
            </w:r>
          </w:p>
        </w:tc>
      </w:tr>
      <w:tr w:rsidR="00933812" w14:paraId="0808A972" w14:textId="77777777">
        <w:tc>
          <w:tcPr>
            <w:tcW w:w="4320" w:type="dxa"/>
          </w:tcPr>
          <w:p w14:paraId="46E90D91"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5BA52D5" w14:textId="21802CBD" w:rsidR="00933812" w:rsidRPr="00104F9A" w:rsidRDefault="00104F9A">
            <w:pPr>
              <w:rPr>
                <w:rFonts w:eastAsia="宋体"/>
                <w:lang w:eastAsia="zh-CN"/>
              </w:rPr>
            </w:pPr>
            <w:r>
              <w:rPr>
                <w:rFonts w:eastAsia="宋体" w:hint="eastAsia"/>
                <w:lang w:eastAsia="zh-CN"/>
              </w:rPr>
              <w:lastRenderedPageBreak/>
              <w:t>1</w:t>
            </w:r>
            <w:r>
              <w:rPr>
                <w:rFonts w:eastAsia="宋体"/>
                <w:lang w:eastAsia="zh-CN"/>
              </w:rPr>
              <w:t>,</w:t>
            </w:r>
            <w:r w:rsidR="007C7325">
              <w:rPr>
                <w:rFonts w:eastAsia="宋体"/>
                <w:lang w:eastAsia="zh-CN"/>
              </w:rPr>
              <w:t>7</w:t>
            </w:r>
            <w:r w:rsidR="00F82FE1">
              <w:rPr>
                <w:rFonts w:eastAsia="宋体"/>
                <w:lang w:eastAsia="zh-CN"/>
              </w:rPr>
              <w:t>,</w:t>
            </w:r>
            <w:r w:rsidR="00626E24">
              <w:rPr>
                <w:rFonts w:eastAsia="宋体"/>
                <w:lang w:eastAsia="zh-CN"/>
              </w:rPr>
              <w:t>1</w:t>
            </w:r>
            <w:r w:rsidR="00F82FE1">
              <w:rPr>
                <w:rFonts w:eastAsia="宋体"/>
                <w:lang w:eastAsia="zh-CN"/>
              </w:rPr>
              <w:t>,</w:t>
            </w:r>
            <w:r w:rsidR="00B12907">
              <w:rPr>
                <w:rFonts w:eastAsia="宋体"/>
                <w:lang w:eastAsia="zh-CN"/>
              </w:rPr>
              <w:t>1,</w:t>
            </w:r>
            <w:r w:rsidR="00A01ADA">
              <w:rPr>
                <w:rFonts w:eastAsia="宋体"/>
                <w:lang w:eastAsia="zh-CN"/>
              </w:rPr>
              <w:t>1</w:t>
            </w:r>
          </w:p>
        </w:tc>
      </w:tr>
    </w:tbl>
    <w:p w14:paraId="4F593BD3"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50"/>
        <w:gridCol w:w="5980"/>
      </w:tblGrid>
      <w:tr w:rsidR="00933812" w14:paraId="772386C4" w14:textId="77777777">
        <w:tc>
          <w:tcPr>
            <w:tcW w:w="4320" w:type="dxa"/>
          </w:tcPr>
          <w:p w14:paraId="2D58FD72" w14:textId="77777777" w:rsidR="00933812" w:rsidRDefault="00873D25">
            <w:r>
              <w:t>ID</w:t>
            </w:r>
          </w:p>
        </w:tc>
        <w:tc>
          <w:tcPr>
            <w:tcW w:w="10080" w:type="dxa"/>
          </w:tcPr>
          <w:p w14:paraId="49FFD88D" w14:textId="77777777" w:rsidR="00933812" w:rsidRDefault="00873D25">
            <w:r>
              <w:t>312(46)</w:t>
            </w:r>
          </w:p>
        </w:tc>
      </w:tr>
      <w:tr w:rsidR="00933812" w14:paraId="555C401C" w14:textId="77777777">
        <w:tc>
          <w:tcPr>
            <w:tcW w:w="4320" w:type="dxa"/>
          </w:tcPr>
          <w:p w14:paraId="28F5FC79" w14:textId="77777777" w:rsidR="00933812" w:rsidRDefault="00873D25">
            <w:r>
              <w:rPr>
                <w:rFonts w:ascii="仿宋" w:eastAsia="仿宋" w:hAnsi="仿宋"/>
              </w:rPr>
              <w:t>领域</w:t>
            </w:r>
          </w:p>
        </w:tc>
        <w:tc>
          <w:tcPr>
            <w:tcW w:w="4320" w:type="dxa"/>
          </w:tcPr>
          <w:p w14:paraId="7FE37DC1" w14:textId="77777777" w:rsidR="00933812" w:rsidRDefault="00873D25">
            <w:r>
              <w:t>Science</w:t>
            </w:r>
          </w:p>
        </w:tc>
      </w:tr>
      <w:tr w:rsidR="00933812" w14:paraId="1C0884CD" w14:textId="77777777">
        <w:tc>
          <w:tcPr>
            <w:tcW w:w="4320" w:type="dxa"/>
          </w:tcPr>
          <w:p w14:paraId="4F145AB2" w14:textId="77777777" w:rsidR="00933812" w:rsidRDefault="00873D25">
            <w:r>
              <w:rPr>
                <w:rFonts w:ascii="仿宋" w:eastAsia="仿宋" w:hAnsi="仿宋"/>
              </w:rPr>
              <w:t>用户问题</w:t>
            </w:r>
          </w:p>
        </w:tc>
        <w:tc>
          <w:tcPr>
            <w:tcW w:w="4320" w:type="dxa"/>
          </w:tcPr>
          <w:p w14:paraId="5AE8476A" w14:textId="77777777" w:rsidR="00933812" w:rsidRDefault="00873D25">
            <w:r>
              <w:t>What is the validity of the assertion that "IL-10 production by monocytes inhibits CD4 + T cell response."? Outline fact-based statements about the assertion.</w:t>
            </w:r>
          </w:p>
        </w:tc>
      </w:tr>
      <w:tr w:rsidR="00933812" w14:paraId="564DC171" w14:textId="77777777">
        <w:tc>
          <w:tcPr>
            <w:tcW w:w="4320" w:type="dxa"/>
          </w:tcPr>
          <w:p w14:paraId="0DDB7768"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7807679" w14:textId="3F984C70" w:rsidR="00933812" w:rsidRPr="00A84E00" w:rsidRDefault="00A84E00">
            <w:pPr>
              <w:rPr>
                <w:rFonts w:eastAsia="宋体"/>
                <w:lang w:eastAsia="zh-CN"/>
              </w:rPr>
            </w:pPr>
            <w:r>
              <w:rPr>
                <w:rFonts w:eastAsia="宋体" w:hint="eastAsia"/>
                <w:lang w:eastAsia="zh-CN"/>
              </w:rPr>
              <w:t>4</w:t>
            </w:r>
            <w:r>
              <w:rPr>
                <w:rFonts w:eastAsia="宋体"/>
                <w:lang w:eastAsia="zh-CN"/>
              </w:rPr>
              <w:t>,3,5</w:t>
            </w:r>
          </w:p>
        </w:tc>
      </w:tr>
      <w:tr w:rsidR="00933812" w14:paraId="3B1C0AB0" w14:textId="77777777">
        <w:tc>
          <w:tcPr>
            <w:tcW w:w="4320" w:type="dxa"/>
          </w:tcPr>
          <w:p w14:paraId="000302D1" w14:textId="77777777" w:rsidR="00933812" w:rsidRDefault="00873D25">
            <w:r>
              <w:rPr>
                <w:rFonts w:ascii="仿宋" w:eastAsia="仿宋" w:hAnsi="仿宋"/>
              </w:rPr>
              <w:t>模型回复</w:t>
            </w:r>
          </w:p>
        </w:tc>
        <w:tc>
          <w:tcPr>
            <w:tcW w:w="4320" w:type="dxa"/>
          </w:tcPr>
          <w:p w14:paraId="0E8FBB95" w14:textId="77777777" w:rsidR="00933812" w:rsidRDefault="00873D25">
            <w:r>
              <w:t>1. IL-10 is an anti-inflammatory cytokine produced by various immune cells, including monocytes.</w:t>
            </w:r>
            <w:r>
              <w:br/>
              <w:t>2. CD4+ T cells are a type of white blood cell involved in immune response regulation.</w:t>
            </w:r>
            <w:r>
              <w:br/>
              <w:t>3. Several studies have shown that IL-10 can inhibit CD4+ T cell responses in certain contexts.</w:t>
            </w:r>
            <w:r>
              <w:br/>
              <w:t>4. In a study published in the Journal of Immunology, researchers found that IL-10 produced by monocytes inhibited CD4+ T cell proliferation and activation in a mouse model of tuberculosis.</w:t>
            </w:r>
            <w:r>
              <w:br/>
              <w:t>5. Another study published in the Journal of Leukocyte Biology demonstrated that IL-10 produced by monocytes suppressed CD4+ T cell proliferation and cytokine production in patients with chronic hepatitis B.</w:t>
            </w:r>
            <w:r>
              <w:br/>
              <w:t>6. However, it is important to note that the effect of IL-10 on CD4+ T cell response can depend on various factors, including the specific immune context and the concentrations of IL-10 produced.</w:t>
            </w:r>
            <w:r>
              <w:br/>
              <w:t>7. IL-10's inhibition of CD4+ T cell response is not an absolute rule and can be context-dependent, as IL-10 has been shown to have both inhibitory and stimulatory effects on CD4+ T cell function in different experimental conditions.</w:t>
            </w:r>
            <w:r>
              <w:br/>
              <w:t>8. Additional research is necessary to fully understand the mechanisms behind IL-10's modulation of CD4+ T cell responses and its implications in different immune-related diseases.</w:t>
            </w:r>
          </w:p>
        </w:tc>
      </w:tr>
      <w:tr w:rsidR="00933812" w14:paraId="49C7DBBB" w14:textId="77777777">
        <w:tc>
          <w:tcPr>
            <w:tcW w:w="4320" w:type="dxa"/>
          </w:tcPr>
          <w:p w14:paraId="3DD2D525" w14:textId="77777777" w:rsidR="00933812" w:rsidRDefault="00873D25">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C47CE72" w14:textId="2D1864E4" w:rsidR="00933812" w:rsidRPr="00A84E00" w:rsidRDefault="00A84E00">
            <w:pPr>
              <w:rPr>
                <w:rFonts w:eastAsia="宋体"/>
                <w:lang w:eastAsia="zh-CN"/>
              </w:rPr>
            </w:pPr>
            <w:r>
              <w:rPr>
                <w:rFonts w:eastAsia="宋体" w:hint="eastAsia"/>
                <w:lang w:eastAsia="zh-CN"/>
              </w:rPr>
              <w:t>1</w:t>
            </w:r>
          </w:p>
        </w:tc>
      </w:tr>
      <w:tr w:rsidR="00933812" w14:paraId="572FDAB3" w14:textId="77777777">
        <w:tc>
          <w:tcPr>
            <w:tcW w:w="4320" w:type="dxa"/>
          </w:tcPr>
          <w:p w14:paraId="1345797E" w14:textId="77777777" w:rsidR="00933812" w:rsidRDefault="00873D25">
            <w:r>
              <w:rPr>
                <w:rFonts w:ascii="仿宋" w:eastAsia="仿宋" w:hAnsi="仿宋"/>
              </w:rPr>
              <w:t>提取的事实</w:t>
            </w:r>
          </w:p>
        </w:tc>
        <w:tc>
          <w:tcPr>
            <w:tcW w:w="4320" w:type="dxa"/>
          </w:tcPr>
          <w:p w14:paraId="6B52811B" w14:textId="77777777" w:rsidR="00933812" w:rsidRDefault="00873D25">
            <w:r>
              <w:t>1. IL-10 is an anti-inflammatory cytokine produced by various immune cells, including monocytes.</w:t>
            </w:r>
            <w:r>
              <w:br/>
              <w:t xml:space="preserve">2. CD4+ T cells are a type of white blood cell involved in </w:t>
            </w:r>
            <w:r>
              <w:lastRenderedPageBreak/>
              <w:t>regulating the immune response.</w:t>
            </w:r>
            <w:r>
              <w:br/>
              <w:t>3. Some studies indicate that IL-10 can inhibit CD4+ T cell responses in certain circumstances.</w:t>
            </w:r>
            <w:r>
              <w:br/>
              <w:t>4. Research published in the Journal of Immunology states that IL-10 produced by monocytes inhibited CD4+ T cell proliferation and activation in a mouse model of tuberculosis.</w:t>
            </w:r>
            <w:r>
              <w:br/>
              <w:t>5. A study published in the Journal of Leukocyte Biology suggests that IL-10 produced by monocytes suppressed CD4+ T cell proliferation and cytokine production in patients with chronic hepatitis B.</w:t>
            </w:r>
          </w:p>
        </w:tc>
      </w:tr>
      <w:tr w:rsidR="00933812" w14:paraId="33B049EE" w14:textId="77777777">
        <w:tc>
          <w:tcPr>
            <w:tcW w:w="4320" w:type="dxa"/>
          </w:tcPr>
          <w:p w14:paraId="61E5E276"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B2DB61D" w14:textId="4C6F5725" w:rsidR="00933812" w:rsidRPr="00A84E00" w:rsidRDefault="00A84E00">
            <w:pPr>
              <w:rPr>
                <w:rFonts w:eastAsia="宋体"/>
                <w:lang w:eastAsia="zh-CN"/>
              </w:rPr>
            </w:pPr>
            <w:r>
              <w:rPr>
                <w:rFonts w:eastAsia="宋体" w:hint="eastAsia"/>
                <w:lang w:eastAsia="zh-CN"/>
              </w:rPr>
              <w:t>1</w:t>
            </w:r>
            <w:r>
              <w:rPr>
                <w:rFonts w:eastAsia="宋体"/>
                <w:lang w:eastAsia="zh-CN"/>
              </w:rPr>
              <w:t>,</w:t>
            </w:r>
            <w:r w:rsidR="00A619B0">
              <w:rPr>
                <w:rFonts w:eastAsia="宋体"/>
                <w:lang w:eastAsia="zh-CN"/>
              </w:rPr>
              <w:t>1,</w:t>
            </w:r>
            <w:r w:rsidR="00A40C94">
              <w:rPr>
                <w:rFonts w:eastAsia="宋体"/>
                <w:lang w:eastAsia="zh-CN"/>
              </w:rPr>
              <w:t>1,</w:t>
            </w:r>
            <w:r w:rsidR="00AC4208">
              <w:rPr>
                <w:rFonts w:eastAsia="宋体"/>
                <w:lang w:eastAsia="zh-CN"/>
              </w:rPr>
              <w:t>7,</w:t>
            </w:r>
            <w:r w:rsidR="00784E4B">
              <w:rPr>
                <w:rFonts w:eastAsia="宋体"/>
                <w:lang w:eastAsia="zh-CN"/>
              </w:rPr>
              <w:t>7</w:t>
            </w:r>
          </w:p>
        </w:tc>
      </w:tr>
    </w:tbl>
    <w:p w14:paraId="0D110FAC"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12"/>
        <w:gridCol w:w="6018"/>
      </w:tblGrid>
      <w:tr w:rsidR="00933812" w14:paraId="45943357" w14:textId="77777777">
        <w:tc>
          <w:tcPr>
            <w:tcW w:w="4320" w:type="dxa"/>
          </w:tcPr>
          <w:p w14:paraId="6292F5A6" w14:textId="77777777" w:rsidR="00933812" w:rsidRDefault="00873D25">
            <w:r>
              <w:t>ID</w:t>
            </w:r>
          </w:p>
        </w:tc>
        <w:tc>
          <w:tcPr>
            <w:tcW w:w="10080" w:type="dxa"/>
          </w:tcPr>
          <w:p w14:paraId="3AE6DC0A" w14:textId="77777777" w:rsidR="00933812" w:rsidRDefault="00873D25">
            <w:r>
              <w:t>323(47)</w:t>
            </w:r>
          </w:p>
        </w:tc>
      </w:tr>
      <w:tr w:rsidR="00933812" w14:paraId="58F04DE5" w14:textId="77777777">
        <w:tc>
          <w:tcPr>
            <w:tcW w:w="4320" w:type="dxa"/>
          </w:tcPr>
          <w:p w14:paraId="618263ED" w14:textId="77777777" w:rsidR="00933812" w:rsidRDefault="00873D25">
            <w:r>
              <w:rPr>
                <w:rFonts w:ascii="仿宋" w:eastAsia="仿宋" w:hAnsi="仿宋"/>
              </w:rPr>
              <w:t>领域</w:t>
            </w:r>
          </w:p>
        </w:tc>
        <w:tc>
          <w:tcPr>
            <w:tcW w:w="4320" w:type="dxa"/>
          </w:tcPr>
          <w:p w14:paraId="62405456" w14:textId="77777777" w:rsidR="00933812" w:rsidRDefault="00873D25">
            <w:r>
              <w:t>Science</w:t>
            </w:r>
          </w:p>
        </w:tc>
      </w:tr>
      <w:tr w:rsidR="00933812" w14:paraId="19FF7BB0" w14:textId="77777777">
        <w:tc>
          <w:tcPr>
            <w:tcW w:w="4320" w:type="dxa"/>
          </w:tcPr>
          <w:p w14:paraId="15E91E30" w14:textId="77777777" w:rsidR="00933812" w:rsidRDefault="00873D25">
            <w:r>
              <w:rPr>
                <w:rFonts w:ascii="仿宋" w:eastAsia="仿宋" w:hAnsi="仿宋"/>
              </w:rPr>
              <w:t>用户问题</w:t>
            </w:r>
          </w:p>
        </w:tc>
        <w:tc>
          <w:tcPr>
            <w:tcW w:w="4320" w:type="dxa"/>
          </w:tcPr>
          <w:p w14:paraId="2B37E2AB" w14:textId="77777777" w:rsidR="00933812" w:rsidRDefault="00873D25">
            <w:r>
              <w:t>Can you clarify whether the claim "In S. cerevisiae, the absence of RNA surveillance pathways reduces sensitivity to high iron conditions." is accurate or not? Build factual arguments about the claim.</w:t>
            </w:r>
          </w:p>
        </w:tc>
      </w:tr>
      <w:tr w:rsidR="00933812" w14:paraId="52EFCDC8" w14:textId="77777777">
        <w:tc>
          <w:tcPr>
            <w:tcW w:w="4320" w:type="dxa"/>
          </w:tcPr>
          <w:p w14:paraId="7938BFF0"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1285273" w14:textId="16871277" w:rsidR="00933812" w:rsidRPr="00CC399B" w:rsidRDefault="00CC399B">
            <w:pPr>
              <w:rPr>
                <w:rFonts w:eastAsia="宋体"/>
                <w:lang w:eastAsia="zh-CN"/>
              </w:rPr>
            </w:pPr>
            <w:r>
              <w:rPr>
                <w:rFonts w:eastAsia="宋体" w:hint="eastAsia"/>
                <w:lang w:eastAsia="zh-CN"/>
              </w:rPr>
              <w:t>4</w:t>
            </w:r>
            <w:r>
              <w:rPr>
                <w:rFonts w:eastAsia="宋体"/>
                <w:lang w:eastAsia="zh-CN"/>
              </w:rPr>
              <w:t>,3,5</w:t>
            </w:r>
          </w:p>
        </w:tc>
      </w:tr>
      <w:tr w:rsidR="00933812" w14:paraId="01D7796F" w14:textId="77777777">
        <w:tc>
          <w:tcPr>
            <w:tcW w:w="4320" w:type="dxa"/>
          </w:tcPr>
          <w:p w14:paraId="54B660D9" w14:textId="77777777" w:rsidR="00933812" w:rsidRDefault="00873D25">
            <w:r>
              <w:rPr>
                <w:rFonts w:ascii="仿宋" w:eastAsia="仿宋" w:hAnsi="仿宋"/>
              </w:rPr>
              <w:t>模型回复</w:t>
            </w:r>
          </w:p>
        </w:tc>
        <w:tc>
          <w:tcPr>
            <w:tcW w:w="4320" w:type="dxa"/>
          </w:tcPr>
          <w:p w14:paraId="73AE53F3" w14:textId="77777777" w:rsidR="00933812" w:rsidRDefault="00873D25">
            <w:r>
              <w:t>To determine the accuracy of the claim that "In S. cerevisiae, the absence of RNA surveillance pathways reduces sensitivity to high iron conditions," we need to explore the current scientific knowledge on the topic. There is evidence suggesting that the absence of RNA surveillance pathways may indeed affect the response to high iron conditions in S. cerevisiae. However, it is important to note that research in this field is continuously evolving, and new findings may alter our understanding.</w:t>
            </w:r>
            <w:r>
              <w:br/>
              <w:t xml:space="preserve">One argument in support of the claim is that RNA surveillance pathways are responsible for maintaining proper RNA quality control, including degradation of aberrant or unprocessed transcripts. In S. cerevisiae, several RNA surveillance pathways, such as the nonsense-mediated decay (NMD) </w:t>
            </w:r>
            <w:r>
              <w:lastRenderedPageBreak/>
              <w:t>pathway and the nonstop decay (NSD) pathway, have been identified. These pathways are crucial for maintaining cellular homeostasis and preventing the accumulation of abnormal, potentially harmful transcripts.</w:t>
            </w:r>
            <w:r>
              <w:br/>
              <w:t>Iron is an essential micronutrient for many organisms, including S. cerevisiae. However, high iron concentrations can be toxic and lead to oxidative stress. In response to high iron conditions, S. cerevisiae activates several regulatory mechanisms to minimize iron toxicity and promote iron homeostasis. These mechanisms involve regulating iron uptake, storage, and intracellular trafficking.</w:t>
            </w:r>
            <w:r>
              <w:br/>
              <w:t>Recent studies have suggested a link between RNA surveillance pathways and iron metabolism in S. cerevisiae. For example, a study published in the journal "Molecular Cell" in 2020 demonstrated that the NMD pathway influences iron homeostasis by targeting specific iron-related transcripts for degradation. Disruption of the NMD pathway resulted in altered iron metabolism and reduced sensitivity to high iron conditions.</w:t>
            </w:r>
            <w:r>
              <w:br/>
              <w:t>Additionally, another study published in "Nature Communications" in 2017 showed that the NSD pathway plays a crucial role in protecting S. cerevisiae from iron-mediated toxicity. The absence of the NSD pathway led to increased sensitivity to high iron conditions and impaired iron regulation.</w:t>
            </w:r>
            <w:r>
              <w:br/>
              <w:t>These findings suggest that RNA surveillance pathways in S. cerevisiae are involved in maintaining proper iron homeostasis and modulating sensitivity to high iron conditions. The absence or disruption of these pathways may reduce sensitivity to high iron concentrations, potentially resulting in altered iron metabolism regulation and impaired cellular response to iron-mediated stress.</w:t>
            </w:r>
            <w:r>
              <w:br/>
              <w:t>However, it is important to note that further research is needed to fully understand the complex interplay between RNA surveillance pathways and iron metabolism in S. cerevisiae. Different genetic or environmental factors may also influence the sensitivity to high iron conditions, making the claim dependent on specific experimental conditions and genetic backgrounds. Therefore, while the claim appears to be supported by scientific evidence, it should be interpreted with caution and subject to future research validation and scrutiny.</w:t>
            </w:r>
          </w:p>
        </w:tc>
      </w:tr>
      <w:tr w:rsidR="00933812" w14:paraId="2F4884B3" w14:textId="77777777">
        <w:tc>
          <w:tcPr>
            <w:tcW w:w="4320" w:type="dxa"/>
          </w:tcPr>
          <w:p w14:paraId="425A3705"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9FD8E4B" w14:textId="60580578" w:rsidR="00933812" w:rsidRPr="00CC399B" w:rsidRDefault="00CC399B">
            <w:pPr>
              <w:rPr>
                <w:rFonts w:eastAsia="宋体"/>
                <w:lang w:eastAsia="zh-CN"/>
              </w:rPr>
            </w:pPr>
            <w:r>
              <w:rPr>
                <w:rFonts w:eastAsia="宋体" w:hint="eastAsia"/>
                <w:lang w:eastAsia="zh-CN"/>
              </w:rPr>
              <w:t>1</w:t>
            </w:r>
          </w:p>
        </w:tc>
      </w:tr>
      <w:tr w:rsidR="00933812" w14:paraId="4946EFBD" w14:textId="77777777">
        <w:tc>
          <w:tcPr>
            <w:tcW w:w="4320" w:type="dxa"/>
          </w:tcPr>
          <w:p w14:paraId="0C179C60" w14:textId="77777777" w:rsidR="00933812" w:rsidRDefault="00873D25">
            <w:r>
              <w:rPr>
                <w:rFonts w:ascii="仿宋" w:eastAsia="仿宋" w:hAnsi="仿宋"/>
              </w:rPr>
              <w:t>提取的事实</w:t>
            </w:r>
          </w:p>
        </w:tc>
        <w:tc>
          <w:tcPr>
            <w:tcW w:w="4320" w:type="dxa"/>
          </w:tcPr>
          <w:p w14:paraId="00D6BE16" w14:textId="77777777" w:rsidR="00933812" w:rsidRDefault="00873D25">
            <w:r>
              <w:t>1. RNA surveillance pathways maintain proper RNA quality control, including degradation of aberrant or unprocessed transcripts in S. cerevisiae.</w:t>
            </w:r>
            <w:r>
              <w:br/>
              <w:t xml:space="preserve">2. In S. cerevisiae, several RNA surveillance pathways, such as </w:t>
            </w:r>
            <w:r>
              <w:lastRenderedPageBreak/>
              <w:t>the nonsense-mediated decay (NMD) pathway and the nonstop decay (NSD) pathway, have been identified.</w:t>
            </w:r>
            <w:r>
              <w:br/>
              <w:t>3. High iron concentrations can be toxic and lead to oxidative stress in many organisms including S. cerevisiae.</w:t>
            </w:r>
            <w:r>
              <w:br/>
              <w:t>4. A study published in the journal "Molecular Cell" in 2020 demonstrated that the NMD pathway influences iron homeostasis in S. cerevisiae by targeting specific iron-related transcripts for degradation.</w:t>
            </w:r>
            <w:r>
              <w:br/>
              <w:t>5. A study published in "Nature Communications" in 2017 showed that the NSD pathway plays a role in protecting S. cerevisiae from iron-mediated toxicity.</w:t>
            </w:r>
          </w:p>
        </w:tc>
      </w:tr>
      <w:tr w:rsidR="00933812" w14:paraId="2803085B" w14:textId="77777777">
        <w:tc>
          <w:tcPr>
            <w:tcW w:w="4320" w:type="dxa"/>
          </w:tcPr>
          <w:p w14:paraId="416803C6"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E658744" w14:textId="015BD106" w:rsidR="00933812" w:rsidRPr="000C328A" w:rsidRDefault="000C328A">
            <w:pPr>
              <w:rPr>
                <w:rFonts w:eastAsia="宋体"/>
                <w:lang w:eastAsia="zh-CN"/>
              </w:rPr>
            </w:pPr>
            <w:r>
              <w:rPr>
                <w:rFonts w:eastAsia="宋体" w:hint="eastAsia"/>
                <w:lang w:eastAsia="zh-CN"/>
              </w:rPr>
              <w:t>1</w:t>
            </w:r>
            <w:r>
              <w:rPr>
                <w:rFonts w:eastAsia="宋体"/>
                <w:lang w:eastAsia="zh-CN"/>
              </w:rPr>
              <w:t>,</w:t>
            </w:r>
            <w:r w:rsidR="00FD5534">
              <w:rPr>
                <w:rFonts w:eastAsia="宋体"/>
                <w:lang w:eastAsia="zh-CN"/>
              </w:rPr>
              <w:t>1,</w:t>
            </w:r>
            <w:r w:rsidR="005F4E45">
              <w:rPr>
                <w:rFonts w:eastAsia="宋体"/>
                <w:lang w:eastAsia="zh-CN"/>
              </w:rPr>
              <w:t>1,</w:t>
            </w:r>
            <w:r w:rsidR="004E7032">
              <w:rPr>
                <w:rFonts w:eastAsia="宋体"/>
                <w:lang w:eastAsia="zh-CN"/>
              </w:rPr>
              <w:t>7,</w:t>
            </w:r>
            <w:r w:rsidR="00D81C94">
              <w:rPr>
                <w:rFonts w:eastAsia="宋体"/>
                <w:lang w:eastAsia="zh-CN"/>
              </w:rPr>
              <w:t>7</w:t>
            </w:r>
          </w:p>
        </w:tc>
      </w:tr>
    </w:tbl>
    <w:p w14:paraId="17645DEF"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576"/>
        <w:gridCol w:w="6054"/>
      </w:tblGrid>
      <w:tr w:rsidR="00933812" w14:paraId="78CFC13C" w14:textId="77777777">
        <w:tc>
          <w:tcPr>
            <w:tcW w:w="4320" w:type="dxa"/>
          </w:tcPr>
          <w:p w14:paraId="00744942" w14:textId="77777777" w:rsidR="00933812" w:rsidRDefault="00873D25">
            <w:r>
              <w:t>ID</w:t>
            </w:r>
          </w:p>
        </w:tc>
        <w:tc>
          <w:tcPr>
            <w:tcW w:w="10080" w:type="dxa"/>
          </w:tcPr>
          <w:p w14:paraId="082B1BA2" w14:textId="77777777" w:rsidR="00933812" w:rsidRDefault="00873D25">
            <w:r>
              <w:t>327(48)</w:t>
            </w:r>
          </w:p>
        </w:tc>
      </w:tr>
      <w:tr w:rsidR="00933812" w14:paraId="22C9E27F" w14:textId="77777777">
        <w:tc>
          <w:tcPr>
            <w:tcW w:w="4320" w:type="dxa"/>
          </w:tcPr>
          <w:p w14:paraId="553506A8" w14:textId="77777777" w:rsidR="00933812" w:rsidRDefault="00873D25">
            <w:r>
              <w:rPr>
                <w:rFonts w:ascii="仿宋" w:eastAsia="仿宋" w:hAnsi="仿宋"/>
              </w:rPr>
              <w:t>领域</w:t>
            </w:r>
          </w:p>
        </w:tc>
        <w:tc>
          <w:tcPr>
            <w:tcW w:w="4320" w:type="dxa"/>
          </w:tcPr>
          <w:p w14:paraId="6E4D33D2" w14:textId="77777777" w:rsidR="00933812" w:rsidRDefault="00873D25">
            <w:r>
              <w:t>Science</w:t>
            </w:r>
          </w:p>
        </w:tc>
      </w:tr>
      <w:tr w:rsidR="00933812" w14:paraId="54366A97" w14:textId="77777777">
        <w:tc>
          <w:tcPr>
            <w:tcW w:w="4320" w:type="dxa"/>
          </w:tcPr>
          <w:p w14:paraId="3602E87F" w14:textId="77777777" w:rsidR="00933812" w:rsidRDefault="00873D25">
            <w:r>
              <w:rPr>
                <w:rFonts w:ascii="仿宋" w:eastAsia="仿宋" w:hAnsi="仿宋"/>
              </w:rPr>
              <w:t>用户问题</w:t>
            </w:r>
          </w:p>
        </w:tc>
        <w:tc>
          <w:tcPr>
            <w:tcW w:w="4320" w:type="dxa"/>
          </w:tcPr>
          <w:p w14:paraId="289E191E" w14:textId="77777777" w:rsidR="00933812" w:rsidRDefault="00873D25">
            <w:r>
              <w:t>What is the validity of the assertion that "In chronic viral infections or tumors, peptides that selectively inhibit PTPRS can be utilized to boost insufficient activity of pDCs."? Outline fact-based statements about the assertion.</w:t>
            </w:r>
          </w:p>
        </w:tc>
      </w:tr>
      <w:tr w:rsidR="00933812" w14:paraId="453ADFC6" w14:textId="77777777">
        <w:tc>
          <w:tcPr>
            <w:tcW w:w="4320" w:type="dxa"/>
          </w:tcPr>
          <w:p w14:paraId="46A402C3"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D0ADFDD" w14:textId="18A0145B" w:rsidR="00933812" w:rsidRPr="002116C1" w:rsidRDefault="002116C1">
            <w:pPr>
              <w:rPr>
                <w:rFonts w:eastAsia="宋体"/>
                <w:lang w:eastAsia="zh-CN"/>
              </w:rPr>
            </w:pPr>
            <w:r>
              <w:rPr>
                <w:rFonts w:eastAsia="宋体" w:hint="eastAsia"/>
                <w:lang w:eastAsia="zh-CN"/>
              </w:rPr>
              <w:t>3</w:t>
            </w:r>
            <w:r>
              <w:rPr>
                <w:rFonts w:eastAsia="宋体"/>
                <w:lang w:eastAsia="zh-CN"/>
              </w:rPr>
              <w:t>,3,5</w:t>
            </w:r>
          </w:p>
        </w:tc>
      </w:tr>
      <w:tr w:rsidR="00933812" w14:paraId="0C16C938" w14:textId="77777777">
        <w:tc>
          <w:tcPr>
            <w:tcW w:w="4320" w:type="dxa"/>
          </w:tcPr>
          <w:p w14:paraId="7EA79B7F" w14:textId="77777777" w:rsidR="00933812" w:rsidRDefault="00873D25">
            <w:r>
              <w:rPr>
                <w:rFonts w:ascii="仿宋" w:eastAsia="仿宋" w:hAnsi="仿宋"/>
              </w:rPr>
              <w:t>模型回复</w:t>
            </w:r>
          </w:p>
        </w:tc>
        <w:tc>
          <w:tcPr>
            <w:tcW w:w="4320" w:type="dxa"/>
          </w:tcPr>
          <w:p w14:paraId="7F055EE7" w14:textId="77777777" w:rsidR="00933812" w:rsidRDefault="00873D25">
            <w:r>
              <w:t>1) PTPRS (protein tyrosine phosphatase receptor type S) is a protein receptor expressed on plasmacytoid dendritic cells (pDCs), a type of immune cell involved in antiviral immune response.</w:t>
            </w:r>
            <w:r>
              <w:br/>
              <w:t>2) Chronic viral infections, such as hepatitis B virus (HBV) or human immunodeficiency virus (HIV), can cause dysfunction or impaired activity of pDCs, which leads to inadequate immune responses against the virus.</w:t>
            </w:r>
            <w:r>
              <w:br/>
              <w:t>3) Tumors can also manipulate the immune system to create an immunosuppressive environment that limits the activity of pDCs, limiting their ability to mount an effective immune response against the tumor.</w:t>
            </w:r>
            <w:r>
              <w:br/>
              <w:t xml:space="preserve">4) Peptides are short chains of amino acids that can have </w:t>
            </w:r>
            <w:r>
              <w:lastRenderedPageBreak/>
              <w:t>various functions, including the ability to interact with specific protein receptors.</w:t>
            </w:r>
            <w:r>
              <w:br/>
              <w:t>5) In the context of chronic viral infections or tumors, peptides that selectively inhibit PTPRS could potentially block the negative regulation exerted by PTPRS on pDCs, thereby increasing their activity and boosting the immune response.</w:t>
            </w:r>
            <w:r>
              <w:br/>
              <w:t>6) By blocking PTPRS, the inhibitory signals that normally dampen the immune response could be alleviated, resulting in enhanced antiviral or anti-tumor immune activity.</w:t>
            </w:r>
            <w:r>
              <w:br/>
              <w:t>7) However, it is important to note that the validity of this assertion is yet to be firmly established. While studies have shown promising results on the potential benefits of targeting PTPRS in boosting pDC activity, further research is needed to fully understand the mechanism and assess the efficacy of this approach in chronic viral infections or tumors.</w:t>
            </w:r>
            <w:r>
              <w:br/>
              <w:t>8) Experimental studies using animal models or in vitro experiments may be necessary to determine the exact role of PTPRS inhibition and its effects on pDC function in these specific contexts.</w:t>
            </w:r>
            <w:r>
              <w:br/>
              <w:t>9) Clinical trials involving human subjects would be required to evaluate the safety, efficacy, and potential therapeutic benefits of using peptides that selectively inhibit PTPRS to boost pDC activity in chronic viral infections or tumors.</w:t>
            </w:r>
            <w:r>
              <w:br/>
              <w:t>Overall, while the assertion is based on scientific knowledge and the understanding of pDCs and PTPRS, further research is needed to establish the validity and potential clinical applicability of this approach.</w:t>
            </w:r>
          </w:p>
        </w:tc>
      </w:tr>
      <w:tr w:rsidR="00933812" w14:paraId="43EFFFE2" w14:textId="77777777">
        <w:tc>
          <w:tcPr>
            <w:tcW w:w="4320" w:type="dxa"/>
          </w:tcPr>
          <w:p w14:paraId="61322236"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B576CA6" w14:textId="5A7C2344" w:rsidR="00933812" w:rsidRPr="002116C1" w:rsidRDefault="002116C1">
            <w:pPr>
              <w:rPr>
                <w:rFonts w:eastAsia="宋体"/>
                <w:lang w:eastAsia="zh-CN"/>
              </w:rPr>
            </w:pPr>
            <w:r>
              <w:rPr>
                <w:rFonts w:eastAsia="宋体" w:hint="eastAsia"/>
                <w:lang w:eastAsia="zh-CN"/>
              </w:rPr>
              <w:t>1</w:t>
            </w:r>
          </w:p>
        </w:tc>
      </w:tr>
      <w:tr w:rsidR="00933812" w14:paraId="6B69ACAE" w14:textId="77777777">
        <w:tc>
          <w:tcPr>
            <w:tcW w:w="4320" w:type="dxa"/>
          </w:tcPr>
          <w:p w14:paraId="69386A4C" w14:textId="77777777" w:rsidR="00933812" w:rsidRDefault="00873D25">
            <w:r>
              <w:rPr>
                <w:rFonts w:ascii="仿宋" w:eastAsia="仿宋" w:hAnsi="仿宋"/>
              </w:rPr>
              <w:t>提取的事实</w:t>
            </w:r>
          </w:p>
        </w:tc>
        <w:tc>
          <w:tcPr>
            <w:tcW w:w="4320" w:type="dxa"/>
          </w:tcPr>
          <w:p w14:paraId="3452E6B6" w14:textId="77777777" w:rsidR="00933812" w:rsidRDefault="00873D25">
            <w:r>
              <w:t>1. PTPRS is a protein receptor expressed on plasmacytoid dendritic cells (pDCs).</w:t>
            </w:r>
            <w:r>
              <w:br/>
              <w:t>2. Chronic viral infections, such as HBV or HIV, can cause impaired activity of pDCs.</w:t>
            </w:r>
            <w:r>
              <w:br/>
              <w:t>3. Tumors can manipulate the immune system to limit the activity of pDCs.</w:t>
            </w:r>
            <w:r>
              <w:br/>
              <w:t>4. Peptides are short chains of amino acids with varying functions, including the ability to interact with specific protein receptors.</w:t>
            </w:r>
            <w:r>
              <w:br/>
              <w:t>5. Blocking PTPRS might enhance antiviral or anti-tumor immune activity by increasing pDC activity.</w:t>
            </w:r>
          </w:p>
        </w:tc>
      </w:tr>
      <w:tr w:rsidR="00933812" w14:paraId="240595D0" w14:textId="77777777">
        <w:tc>
          <w:tcPr>
            <w:tcW w:w="4320" w:type="dxa"/>
          </w:tcPr>
          <w:p w14:paraId="501283E0"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159FB2B" w14:textId="2DD8FD97" w:rsidR="00933812" w:rsidRPr="002116C1" w:rsidRDefault="009D2E12">
            <w:pPr>
              <w:rPr>
                <w:rFonts w:eastAsia="宋体"/>
                <w:lang w:eastAsia="zh-CN"/>
              </w:rPr>
            </w:pPr>
            <w:r>
              <w:rPr>
                <w:rFonts w:eastAsia="宋体"/>
                <w:lang w:eastAsia="zh-CN"/>
              </w:rPr>
              <w:lastRenderedPageBreak/>
              <w:t>1,</w:t>
            </w:r>
            <w:r w:rsidR="00D709F0">
              <w:rPr>
                <w:rFonts w:eastAsia="宋体"/>
                <w:lang w:eastAsia="zh-CN"/>
              </w:rPr>
              <w:t>1,</w:t>
            </w:r>
            <w:r w:rsidR="00A466B5">
              <w:rPr>
                <w:rFonts w:eastAsia="宋体"/>
                <w:lang w:eastAsia="zh-CN"/>
              </w:rPr>
              <w:t>1,</w:t>
            </w:r>
            <w:r w:rsidR="00C26B63">
              <w:rPr>
                <w:rFonts w:eastAsia="宋体"/>
                <w:lang w:eastAsia="zh-CN"/>
              </w:rPr>
              <w:t>1,</w:t>
            </w:r>
            <w:r w:rsidR="0008312C">
              <w:rPr>
                <w:rFonts w:eastAsia="宋体"/>
                <w:lang w:eastAsia="zh-CN"/>
              </w:rPr>
              <w:t>1</w:t>
            </w:r>
          </w:p>
        </w:tc>
      </w:tr>
    </w:tbl>
    <w:p w14:paraId="05510357"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35"/>
        <w:gridCol w:w="5995"/>
      </w:tblGrid>
      <w:tr w:rsidR="00933812" w14:paraId="4A25D4B8" w14:textId="77777777">
        <w:tc>
          <w:tcPr>
            <w:tcW w:w="4320" w:type="dxa"/>
          </w:tcPr>
          <w:p w14:paraId="0FF9CB9E" w14:textId="77777777" w:rsidR="00933812" w:rsidRDefault="00873D25">
            <w:r>
              <w:t>ID</w:t>
            </w:r>
          </w:p>
        </w:tc>
        <w:tc>
          <w:tcPr>
            <w:tcW w:w="10080" w:type="dxa"/>
          </w:tcPr>
          <w:p w14:paraId="7D0529E9" w14:textId="77777777" w:rsidR="00933812" w:rsidRDefault="00873D25">
            <w:r>
              <w:t>328(49)</w:t>
            </w:r>
          </w:p>
        </w:tc>
      </w:tr>
      <w:tr w:rsidR="00933812" w14:paraId="25873005" w14:textId="77777777">
        <w:tc>
          <w:tcPr>
            <w:tcW w:w="4320" w:type="dxa"/>
          </w:tcPr>
          <w:p w14:paraId="285E6119" w14:textId="77777777" w:rsidR="00933812" w:rsidRDefault="00873D25">
            <w:r>
              <w:rPr>
                <w:rFonts w:ascii="仿宋" w:eastAsia="仿宋" w:hAnsi="仿宋"/>
              </w:rPr>
              <w:t>领域</w:t>
            </w:r>
          </w:p>
        </w:tc>
        <w:tc>
          <w:tcPr>
            <w:tcW w:w="4320" w:type="dxa"/>
          </w:tcPr>
          <w:p w14:paraId="47BFD625" w14:textId="77777777" w:rsidR="00933812" w:rsidRDefault="00873D25">
            <w:r>
              <w:t>Science</w:t>
            </w:r>
          </w:p>
        </w:tc>
      </w:tr>
      <w:tr w:rsidR="00933812" w14:paraId="4A666E7A" w14:textId="77777777">
        <w:tc>
          <w:tcPr>
            <w:tcW w:w="4320" w:type="dxa"/>
          </w:tcPr>
          <w:p w14:paraId="4E49FCD8" w14:textId="77777777" w:rsidR="00933812" w:rsidRDefault="00873D25">
            <w:r>
              <w:rPr>
                <w:rFonts w:ascii="仿宋" w:eastAsia="仿宋" w:hAnsi="仿宋"/>
              </w:rPr>
              <w:t>用户问题</w:t>
            </w:r>
          </w:p>
        </w:tc>
        <w:tc>
          <w:tcPr>
            <w:tcW w:w="4320" w:type="dxa"/>
          </w:tcPr>
          <w:p w14:paraId="0775B9D2" w14:textId="77777777" w:rsidR="00933812" w:rsidRDefault="00873D25">
            <w:r>
              <w:t>Can you clarify whether the claim "In domesticated populations of Saccharomyces cerevisiae, segmental aneuploidy is very common." is accurate or not? Build factual arguments about the claim.</w:t>
            </w:r>
          </w:p>
        </w:tc>
      </w:tr>
      <w:tr w:rsidR="00933812" w14:paraId="12DF948A" w14:textId="77777777">
        <w:tc>
          <w:tcPr>
            <w:tcW w:w="4320" w:type="dxa"/>
          </w:tcPr>
          <w:p w14:paraId="56A91935"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038ECC2" w14:textId="1AC73B79" w:rsidR="00933812" w:rsidRPr="006117AD" w:rsidRDefault="0017034D">
            <w:pPr>
              <w:rPr>
                <w:rFonts w:eastAsia="宋体"/>
                <w:lang w:eastAsia="zh-CN"/>
              </w:rPr>
            </w:pPr>
            <w:r>
              <w:rPr>
                <w:rFonts w:eastAsia="宋体" w:hint="eastAsia"/>
                <w:lang w:eastAsia="zh-CN"/>
              </w:rPr>
              <w:t>3</w:t>
            </w:r>
            <w:r w:rsidR="006117AD">
              <w:rPr>
                <w:rFonts w:eastAsia="宋体"/>
                <w:lang w:eastAsia="zh-CN"/>
              </w:rPr>
              <w:t>,5,5</w:t>
            </w:r>
          </w:p>
        </w:tc>
      </w:tr>
      <w:tr w:rsidR="00933812" w14:paraId="101B17A8" w14:textId="77777777">
        <w:tc>
          <w:tcPr>
            <w:tcW w:w="4320" w:type="dxa"/>
          </w:tcPr>
          <w:p w14:paraId="26521F3E" w14:textId="77777777" w:rsidR="00933812" w:rsidRDefault="00873D25">
            <w:r>
              <w:rPr>
                <w:rFonts w:ascii="仿宋" w:eastAsia="仿宋" w:hAnsi="仿宋"/>
              </w:rPr>
              <w:t>模型回复</w:t>
            </w:r>
          </w:p>
        </w:tc>
        <w:tc>
          <w:tcPr>
            <w:tcW w:w="4320" w:type="dxa"/>
          </w:tcPr>
          <w:p w14:paraId="37854E56" w14:textId="77777777" w:rsidR="00933812" w:rsidRDefault="00873D25">
            <w:r>
              <w:t xml:space="preserve">The claim that "In domesticated populations of Saccharomyces cerevisiae, segmental aneuploidy is very common" is accurate. </w:t>
            </w:r>
            <w:r>
              <w:br/>
              <w:t>1. Research studies: Numerous research studies have shown that segmental aneuploidy is indeed prevalent in domesticated populations of Saccharomyces cerevisiae. For example, a study published in Molecular Biology and Evolution in 2009 analyzed the genomes of 36 different domesticated yeast strains and found widespread segmental aneuploidies in all of them. This indicates that this phenomenon is common within domesticated populations.</w:t>
            </w:r>
            <w:r>
              <w:br/>
              <w:t>2. Genetic instability: Saccharomyces cerevisiae has a naturally high level of genome instability, which contributes to the occurrence of segmental aneuploidy. This yeast species is known for its ability to undergo frequent genetic changes, including chromosomal rearrangements and duplications. These genetic changes can lead to the formation of segmental aneuploidies, which involve the gain or loss of specific chromosomal segments.</w:t>
            </w:r>
            <w:r>
              <w:br/>
              <w:t>3. Selective pressure: Domestication and artificial selection of Saccharomyces cerevisiae strains by humans have created selective pressures that favor specific genetic changes, including segmental aneuploidies. Domesticated yeast strains are often subjected to harsh conditions during the production of alcoholic beverages or biofuels. These conditions create a selective advantage for yeast cells that have acquired segmental aneuploidies, as they can exhibit improved traits such as enhanced resistance to stress, increased ethanol tolerance, or higher fermentation efficiency.</w:t>
            </w:r>
            <w:r>
              <w:br/>
              <w:t xml:space="preserve">4. Industrial applications: The prevalence of segmental aneuploidy in domesticated Saccharomyces cerevisiae </w:t>
            </w:r>
            <w:r>
              <w:lastRenderedPageBreak/>
              <w:t>populations is supported by its practical implications in various industrial applications. Yeast strains with specific segmental aneuploidies have been employed for industrial purposes, such as bioethanol production and bioremediation. The ability to select and utilize yeast strains with desired segmental aneuploidies confirms the common occurrence of this phenomenon in domesticated populations of Saccharomyces cerevisiae.</w:t>
            </w:r>
            <w:r>
              <w:br/>
              <w:t>In conclusion, through research findings, genetic instability, selective pressure, and industrial applications, it can be established that segmental aneuploidy is indeed very common in domesticated populations of Saccharomyces cerevisiae.</w:t>
            </w:r>
          </w:p>
        </w:tc>
      </w:tr>
      <w:tr w:rsidR="00933812" w14:paraId="4D1B1F87" w14:textId="77777777">
        <w:tc>
          <w:tcPr>
            <w:tcW w:w="4320" w:type="dxa"/>
          </w:tcPr>
          <w:p w14:paraId="7A673669"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49F44B1" w14:textId="38B4B309" w:rsidR="00933812" w:rsidRPr="006117AD" w:rsidRDefault="006117AD">
            <w:pPr>
              <w:rPr>
                <w:rFonts w:eastAsia="宋体"/>
                <w:lang w:eastAsia="zh-CN"/>
              </w:rPr>
            </w:pPr>
            <w:r>
              <w:rPr>
                <w:rFonts w:eastAsia="宋体" w:hint="eastAsia"/>
                <w:lang w:eastAsia="zh-CN"/>
              </w:rPr>
              <w:t>1</w:t>
            </w:r>
          </w:p>
        </w:tc>
      </w:tr>
      <w:tr w:rsidR="00933812" w14:paraId="3E6C5F20" w14:textId="77777777">
        <w:tc>
          <w:tcPr>
            <w:tcW w:w="4320" w:type="dxa"/>
          </w:tcPr>
          <w:p w14:paraId="24956718" w14:textId="77777777" w:rsidR="00933812" w:rsidRDefault="00873D25">
            <w:r>
              <w:rPr>
                <w:rFonts w:ascii="仿宋" w:eastAsia="仿宋" w:hAnsi="仿宋"/>
              </w:rPr>
              <w:t>提取的事实</w:t>
            </w:r>
          </w:p>
        </w:tc>
        <w:tc>
          <w:tcPr>
            <w:tcW w:w="4320" w:type="dxa"/>
          </w:tcPr>
          <w:p w14:paraId="12A0D086" w14:textId="77777777" w:rsidR="00933812" w:rsidRDefault="00873D25">
            <w:r>
              <w:t>1. The claim "In domesticated populations of Saccharomyces cerevisiae, segmental aneuploidy is very common" is supported by scientific research.</w:t>
            </w:r>
            <w:r>
              <w:br/>
              <w:t>2. A 2009 study published in Molecular Biology and Evolution found widespread segmental aneuploidies in all 36 different domesticated yeast strains analyzed.</w:t>
            </w:r>
            <w:r>
              <w:br/>
              <w:t>3. Saccharomyces cerevisiae has a naturally high level of genome instability, which contributes to the occurrence of segmental aneuploidy.</w:t>
            </w:r>
            <w:r>
              <w:br/>
              <w:t>4. Domestication and artificial selection of Saccharomyces cerevisiae strains create selective pressures that favor genetic changes, including segmental aneuploidies.</w:t>
            </w:r>
            <w:r>
              <w:br/>
              <w:t>5. Within industrial applications, yeast strains with specific segmental aneuploidies have been utilized for purposes such as bioethanol production and bioremediation.</w:t>
            </w:r>
          </w:p>
        </w:tc>
      </w:tr>
      <w:tr w:rsidR="00933812" w14:paraId="6EDB573C" w14:textId="77777777">
        <w:tc>
          <w:tcPr>
            <w:tcW w:w="4320" w:type="dxa"/>
          </w:tcPr>
          <w:p w14:paraId="5E8A1C2D"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367C41C" w14:textId="4EC0EB60" w:rsidR="00933812" w:rsidRPr="00023753" w:rsidRDefault="00652E0F">
            <w:pPr>
              <w:rPr>
                <w:rFonts w:eastAsia="宋体"/>
                <w:lang w:eastAsia="zh-CN"/>
              </w:rPr>
            </w:pPr>
            <w:r>
              <w:rPr>
                <w:rFonts w:eastAsia="宋体" w:hint="eastAsia"/>
                <w:lang w:eastAsia="zh-CN"/>
              </w:rPr>
              <w:t>8</w:t>
            </w:r>
            <w:r w:rsidR="00023753">
              <w:rPr>
                <w:rFonts w:eastAsia="宋体"/>
                <w:lang w:eastAsia="zh-CN"/>
              </w:rPr>
              <w:t>,</w:t>
            </w:r>
            <w:r w:rsidR="00962914">
              <w:rPr>
                <w:rFonts w:eastAsia="宋体"/>
                <w:lang w:eastAsia="zh-CN"/>
              </w:rPr>
              <w:t>7,</w:t>
            </w:r>
            <w:r w:rsidR="00726B47">
              <w:rPr>
                <w:rFonts w:eastAsia="宋体"/>
                <w:lang w:eastAsia="zh-CN"/>
              </w:rPr>
              <w:t>1,</w:t>
            </w:r>
            <w:r w:rsidR="000D11E6">
              <w:rPr>
                <w:rFonts w:eastAsia="宋体"/>
                <w:lang w:eastAsia="zh-CN"/>
              </w:rPr>
              <w:t>1,</w:t>
            </w:r>
            <w:r w:rsidR="006503DA">
              <w:rPr>
                <w:rFonts w:eastAsia="宋体"/>
                <w:lang w:eastAsia="zh-CN"/>
              </w:rPr>
              <w:t>1</w:t>
            </w:r>
          </w:p>
        </w:tc>
      </w:tr>
    </w:tbl>
    <w:p w14:paraId="6FAE9CBE" w14:textId="77777777" w:rsidR="00933812" w:rsidRDefault="00873D25">
      <w:pPr>
        <w:rPr>
          <w:lang w:eastAsia="zh-CN"/>
        </w:rPr>
      </w:pPr>
      <w:r>
        <w:rPr>
          <w:lang w:eastAsia="zh-CN"/>
        </w:rPr>
        <w:br/>
      </w:r>
    </w:p>
    <w:sectPr w:rsidR="009338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125850236">
    <w:abstractNumId w:val="8"/>
  </w:num>
  <w:num w:numId="2" w16cid:durableId="1095438220">
    <w:abstractNumId w:val="6"/>
  </w:num>
  <w:num w:numId="3" w16cid:durableId="1675184226">
    <w:abstractNumId w:val="5"/>
  </w:num>
  <w:num w:numId="4" w16cid:durableId="1411007299">
    <w:abstractNumId w:val="4"/>
  </w:num>
  <w:num w:numId="5" w16cid:durableId="871263606">
    <w:abstractNumId w:val="7"/>
  </w:num>
  <w:num w:numId="6" w16cid:durableId="1541898038">
    <w:abstractNumId w:val="3"/>
  </w:num>
  <w:num w:numId="7" w16cid:durableId="1996834931">
    <w:abstractNumId w:val="2"/>
  </w:num>
  <w:num w:numId="8" w16cid:durableId="1347321535">
    <w:abstractNumId w:val="1"/>
  </w:num>
  <w:num w:numId="9" w16cid:durableId="89665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3D8A"/>
    <w:rsid w:val="00005AB4"/>
    <w:rsid w:val="000062AA"/>
    <w:rsid w:val="00011D9F"/>
    <w:rsid w:val="00020128"/>
    <w:rsid w:val="0002288F"/>
    <w:rsid w:val="00022B87"/>
    <w:rsid w:val="00023753"/>
    <w:rsid w:val="00023CAB"/>
    <w:rsid w:val="00034616"/>
    <w:rsid w:val="00040758"/>
    <w:rsid w:val="00041F30"/>
    <w:rsid w:val="00056CB6"/>
    <w:rsid w:val="0006063C"/>
    <w:rsid w:val="00062BAA"/>
    <w:rsid w:val="00062E41"/>
    <w:rsid w:val="00072778"/>
    <w:rsid w:val="0008312C"/>
    <w:rsid w:val="000837E2"/>
    <w:rsid w:val="00084AD1"/>
    <w:rsid w:val="00086079"/>
    <w:rsid w:val="00091E27"/>
    <w:rsid w:val="0009339E"/>
    <w:rsid w:val="000A3A73"/>
    <w:rsid w:val="000A54CD"/>
    <w:rsid w:val="000A6750"/>
    <w:rsid w:val="000B13D8"/>
    <w:rsid w:val="000B3D7C"/>
    <w:rsid w:val="000C328A"/>
    <w:rsid w:val="000C3F6E"/>
    <w:rsid w:val="000D11E6"/>
    <w:rsid w:val="000D7535"/>
    <w:rsid w:val="000E0740"/>
    <w:rsid w:val="000E43B8"/>
    <w:rsid w:val="000F4501"/>
    <w:rsid w:val="000F5EAE"/>
    <w:rsid w:val="00104F9A"/>
    <w:rsid w:val="00111714"/>
    <w:rsid w:val="00116C8A"/>
    <w:rsid w:val="00117AE8"/>
    <w:rsid w:val="00122425"/>
    <w:rsid w:val="001225EF"/>
    <w:rsid w:val="001277B8"/>
    <w:rsid w:val="00135991"/>
    <w:rsid w:val="001426AE"/>
    <w:rsid w:val="00144C39"/>
    <w:rsid w:val="001468AF"/>
    <w:rsid w:val="0015074B"/>
    <w:rsid w:val="00152B8E"/>
    <w:rsid w:val="00153ADD"/>
    <w:rsid w:val="00162224"/>
    <w:rsid w:val="00164A0E"/>
    <w:rsid w:val="0017034D"/>
    <w:rsid w:val="00182864"/>
    <w:rsid w:val="001830FE"/>
    <w:rsid w:val="0018375E"/>
    <w:rsid w:val="001877E2"/>
    <w:rsid w:val="001B3FE3"/>
    <w:rsid w:val="001B5FC5"/>
    <w:rsid w:val="001B6CB7"/>
    <w:rsid w:val="001C1A85"/>
    <w:rsid w:val="001C207B"/>
    <w:rsid w:val="001C5222"/>
    <w:rsid w:val="001D4A78"/>
    <w:rsid w:val="001F185D"/>
    <w:rsid w:val="001F71BA"/>
    <w:rsid w:val="002064C0"/>
    <w:rsid w:val="002116C1"/>
    <w:rsid w:val="00224C4F"/>
    <w:rsid w:val="00232DC4"/>
    <w:rsid w:val="00240C57"/>
    <w:rsid w:val="00277C53"/>
    <w:rsid w:val="00277FA2"/>
    <w:rsid w:val="00280605"/>
    <w:rsid w:val="00285EC3"/>
    <w:rsid w:val="00294FCA"/>
    <w:rsid w:val="0029639D"/>
    <w:rsid w:val="002A110F"/>
    <w:rsid w:val="002B0A53"/>
    <w:rsid w:val="002B47DF"/>
    <w:rsid w:val="002C0F3C"/>
    <w:rsid w:val="002C586B"/>
    <w:rsid w:val="002E6618"/>
    <w:rsid w:val="002F232C"/>
    <w:rsid w:val="002F6FA3"/>
    <w:rsid w:val="0030769C"/>
    <w:rsid w:val="0031507C"/>
    <w:rsid w:val="00326F90"/>
    <w:rsid w:val="003277BA"/>
    <w:rsid w:val="00345F1A"/>
    <w:rsid w:val="00347F5C"/>
    <w:rsid w:val="00355579"/>
    <w:rsid w:val="00361D8B"/>
    <w:rsid w:val="00372607"/>
    <w:rsid w:val="00374EE8"/>
    <w:rsid w:val="00380CB0"/>
    <w:rsid w:val="003855E0"/>
    <w:rsid w:val="00387B3A"/>
    <w:rsid w:val="00393755"/>
    <w:rsid w:val="003946E5"/>
    <w:rsid w:val="00396627"/>
    <w:rsid w:val="003A25FB"/>
    <w:rsid w:val="003B5CF6"/>
    <w:rsid w:val="003B7AD8"/>
    <w:rsid w:val="003C014D"/>
    <w:rsid w:val="003D1EBC"/>
    <w:rsid w:val="003D43E8"/>
    <w:rsid w:val="003D7882"/>
    <w:rsid w:val="003F1930"/>
    <w:rsid w:val="003F59DD"/>
    <w:rsid w:val="004049D6"/>
    <w:rsid w:val="00406B44"/>
    <w:rsid w:val="004073B3"/>
    <w:rsid w:val="00410CCE"/>
    <w:rsid w:val="004120F4"/>
    <w:rsid w:val="00412A67"/>
    <w:rsid w:val="0041526E"/>
    <w:rsid w:val="004263F5"/>
    <w:rsid w:val="004325C3"/>
    <w:rsid w:val="00440E83"/>
    <w:rsid w:val="00441540"/>
    <w:rsid w:val="004425C8"/>
    <w:rsid w:val="00453A51"/>
    <w:rsid w:val="0047361C"/>
    <w:rsid w:val="00474999"/>
    <w:rsid w:val="004762D6"/>
    <w:rsid w:val="0048741F"/>
    <w:rsid w:val="004904DC"/>
    <w:rsid w:val="00497110"/>
    <w:rsid w:val="00497739"/>
    <w:rsid w:val="004A3BD2"/>
    <w:rsid w:val="004A7655"/>
    <w:rsid w:val="004B3A5A"/>
    <w:rsid w:val="004C2701"/>
    <w:rsid w:val="004C5D3A"/>
    <w:rsid w:val="004C7A2E"/>
    <w:rsid w:val="004D1D6E"/>
    <w:rsid w:val="004D4AD6"/>
    <w:rsid w:val="004D5CBC"/>
    <w:rsid w:val="004D6BEE"/>
    <w:rsid w:val="004E0467"/>
    <w:rsid w:val="004E3E66"/>
    <w:rsid w:val="004E4159"/>
    <w:rsid w:val="004E6432"/>
    <w:rsid w:val="004E7032"/>
    <w:rsid w:val="004F239C"/>
    <w:rsid w:val="004F54AE"/>
    <w:rsid w:val="004F55CB"/>
    <w:rsid w:val="00500D44"/>
    <w:rsid w:val="00507957"/>
    <w:rsid w:val="005116A5"/>
    <w:rsid w:val="00513542"/>
    <w:rsid w:val="00523133"/>
    <w:rsid w:val="005240B3"/>
    <w:rsid w:val="005258D6"/>
    <w:rsid w:val="005406AD"/>
    <w:rsid w:val="00544D6A"/>
    <w:rsid w:val="00551089"/>
    <w:rsid w:val="005532F4"/>
    <w:rsid w:val="005722E4"/>
    <w:rsid w:val="005845A5"/>
    <w:rsid w:val="005876BA"/>
    <w:rsid w:val="005923E2"/>
    <w:rsid w:val="005A35DA"/>
    <w:rsid w:val="005A5156"/>
    <w:rsid w:val="005A51E1"/>
    <w:rsid w:val="005B17E6"/>
    <w:rsid w:val="005C4C25"/>
    <w:rsid w:val="005D3DD2"/>
    <w:rsid w:val="005D5132"/>
    <w:rsid w:val="005D72D7"/>
    <w:rsid w:val="005E6E9F"/>
    <w:rsid w:val="005F4E45"/>
    <w:rsid w:val="006117AD"/>
    <w:rsid w:val="006128C7"/>
    <w:rsid w:val="00617677"/>
    <w:rsid w:val="00626E24"/>
    <w:rsid w:val="00646B4C"/>
    <w:rsid w:val="006503DA"/>
    <w:rsid w:val="00652E0F"/>
    <w:rsid w:val="00656B73"/>
    <w:rsid w:val="00664B90"/>
    <w:rsid w:val="006744CB"/>
    <w:rsid w:val="00693A33"/>
    <w:rsid w:val="006A07D5"/>
    <w:rsid w:val="006A176C"/>
    <w:rsid w:val="006A22B2"/>
    <w:rsid w:val="006B1787"/>
    <w:rsid w:val="006B2E24"/>
    <w:rsid w:val="006B54FA"/>
    <w:rsid w:val="006C13C4"/>
    <w:rsid w:val="006D0B35"/>
    <w:rsid w:val="006D5C91"/>
    <w:rsid w:val="006E0818"/>
    <w:rsid w:val="006E2F20"/>
    <w:rsid w:val="006F0754"/>
    <w:rsid w:val="006F4A9B"/>
    <w:rsid w:val="00704D54"/>
    <w:rsid w:val="00710829"/>
    <w:rsid w:val="00710DD0"/>
    <w:rsid w:val="00711272"/>
    <w:rsid w:val="00714C16"/>
    <w:rsid w:val="00726B47"/>
    <w:rsid w:val="007575EB"/>
    <w:rsid w:val="00762FA8"/>
    <w:rsid w:val="007766F4"/>
    <w:rsid w:val="00784E4B"/>
    <w:rsid w:val="00791D18"/>
    <w:rsid w:val="00795D18"/>
    <w:rsid w:val="00796CD8"/>
    <w:rsid w:val="007A1677"/>
    <w:rsid w:val="007B2A8F"/>
    <w:rsid w:val="007B5332"/>
    <w:rsid w:val="007B5872"/>
    <w:rsid w:val="007C34A9"/>
    <w:rsid w:val="007C54A0"/>
    <w:rsid w:val="007C6B1A"/>
    <w:rsid w:val="007C7325"/>
    <w:rsid w:val="007D2B9D"/>
    <w:rsid w:val="007F2E90"/>
    <w:rsid w:val="007F57AB"/>
    <w:rsid w:val="007F5AD6"/>
    <w:rsid w:val="007F74A5"/>
    <w:rsid w:val="00805561"/>
    <w:rsid w:val="0081203B"/>
    <w:rsid w:val="00834F03"/>
    <w:rsid w:val="00844F7C"/>
    <w:rsid w:val="008537A4"/>
    <w:rsid w:val="00855C4E"/>
    <w:rsid w:val="008637ED"/>
    <w:rsid w:val="00866882"/>
    <w:rsid w:val="00873D25"/>
    <w:rsid w:val="00880E7E"/>
    <w:rsid w:val="008A7328"/>
    <w:rsid w:val="008B43EA"/>
    <w:rsid w:val="008C544A"/>
    <w:rsid w:val="008C66C8"/>
    <w:rsid w:val="008D0248"/>
    <w:rsid w:val="008D1FCD"/>
    <w:rsid w:val="008D43F6"/>
    <w:rsid w:val="008D45DF"/>
    <w:rsid w:val="008E310E"/>
    <w:rsid w:val="008E3772"/>
    <w:rsid w:val="008E5D43"/>
    <w:rsid w:val="008E63F7"/>
    <w:rsid w:val="008F5EB1"/>
    <w:rsid w:val="008F625B"/>
    <w:rsid w:val="008F6CED"/>
    <w:rsid w:val="008F717B"/>
    <w:rsid w:val="009058F0"/>
    <w:rsid w:val="009157A6"/>
    <w:rsid w:val="009168F1"/>
    <w:rsid w:val="00930F10"/>
    <w:rsid w:val="00933812"/>
    <w:rsid w:val="009343D3"/>
    <w:rsid w:val="009362E4"/>
    <w:rsid w:val="009504FA"/>
    <w:rsid w:val="00960AA9"/>
    <w:rsid w:val="009626C3"/>
    <w:rsid w:val="00962914"/>
    <w:rsid w:val="00993807"/>
    <w:rsid w:val="00997FB9"/>
    <w:rsid w:val="009A2DD0"/>
    <w:rsid w:val="009C2055"/>
    <w:rsid w:val="009C7204"/>
    <w:rsid w:val="009D07E2"/>
    <w:rsid w:val="009D2E12"/>
    <w:rsid w:val="009D3375"/>
    <w:rsid w:val="009D345E"/>
    <w:rsid w:val="009D763D"/>
    <w:rsid w:val="009E0B20"/>
    <w:rsid w:val="009E7042"/>
    <w:rsid w:val="009F38A5"/>
    <w:rsid w:val="00A01ADA"/>
    <w:rsid w:val="00A040D9"/>
    <w:rsid w:val="00A05921"/>
    <w:rsid w:val="00A122B6"/>
    <w:rsid w:val="00A15C4A"/>
    <w:rsid w:val="00A219BD"/>
    <w:rsid w:val="00A303B2"/>
    <w:rsid w:val="00A34E83"/>
    <w:rsid w:val="00A36353"/>
    <w:rsid w:val="00A402DC"/>
    <w:rsid w:val="00A40C94"/>
    <w:rsid w:val="00A466B5"/>
    <w:rsid w:val="00A50B44"/>
    <w:rsid w:val="00A51963"/>
    <w:rsid w:val="00A527EE"/>
    <w:rsid w:val="00A52A6D"/>
    <w:rsid w:val="00A619B0"/>
    <w:rsid w:val="00A63EB9"/>
    <w:rsid w:val="00A64D78"/>
    <w:rsid w:val="00A667E8"/>
    <w:rsid w:val="00A76684"/>
    <w:rsid w:val="00A76743"/>
    <w:rsid w:val="00A77A20"/>
    <w:rsid w:val="00A82197"/>
    <w:rsid w:val="00A82F51"/>
    <w:rsid w:val="00A84E00"/>
    <w:rsid w:val="00AA1BA8"/>
    <w:rsid w:val="00AA1D8D"/>
    <w:rsid w:val="00AA5780"/>
    <w:rsid w:val="00AC343C"/>
    <w:rsid w:val="00AC4208"/>
    <w:rsid w:val="00AD49AA"/>
    <w:rsid w:val="00AD7806"/>
    <w:rsid w:val="00AF59B5"/>
    <w:rsid w:val="00B12907"/>
    <w:rsid w:val="00B13A6D"/>
    <w:rsid w:val="00B475D8"/>
    <w:rsid w:val="00B476AF"/>
    <w:rsid w:val="00B47730"/>
    <w:rsid w:val="00B508C4"/>
    <w:rsid w:val="00B54E67"/>
    <w:rsid w:val="00B64F1F"/>
    <w:rsid w:val="00B66F14"/>
    <w:rsid w:val="00B76B1F"/>
    <w:rsid w:val="00B77818"/>
    <w:rsid w:val="00B82376"/>
    <w:rsid w:val="00B84717"/>
    <w:rsid w:val="00B87509"/>
    <w:rsid w:val="00B90540"/>
    <w:rsid w:val="00B95425"/>
    <w:rsid w:val="00BA4B39"/>
    <w:rsid w:val="00BB3BC0"/>
    <w:rsid w:val="00BD208B"/>
    <w:rsid w:val="00BE5C22"/>
    <w:rsid w:val="00BF2503"/>
    <w:rsid w:val="00BF52C3"/>
    <w:rsid w:val="00C01789"/>
    <w:rsid w:val="00C0578D"/>
    <w:rsid w:val="00C10528"/>
    <w:rsid w:val="00C11C05"/>
    <w:rsid w:val="00C12657"/>
    <w:rsid w:val="00C15238"/>
    <w:rsid w:val="00C16DE5"/>
    <w:rsid w:val="00C26B63"/>
    <w:rsid w:val="00C34548"/>
    <w:rsid w:val="00C37363"/>
    <w:rsid w:val="00C61A8D"/>
    <w:rsid w:val="00C90E89"/>
    <w:rsid w:val="00CA17A7"/>
    <w:rsid w:val="00CA2A2C"/>
    <w:rsid w:val="00CA5981"/>
    <w:rsid w:val="00CB0664"/>
    <w:rsid w:val="00CC02D3"/>
    <w:rsid w:val="00CC2C4E"/>
    <w:rsid w:val="00CC399B"/>
    <w:rsid w:val="00CC6708"/>
    <w:rsid w:val="00CD1AC1"/>
    <w:rsid w:val="00CD1EFD"/>
    <w:rsid w:val="00CE3AB0"/>
    <w:rsid w:val="00CE7A92"/>
    <w:rsid w:val="00CF46AD"/>
    <w:rsid w:val="00CF512A"/>
    <w:rsid w:val="00D04B3C"/>
    <w:rsid w:val="00D21880"/>
    <w:rsid w:val="00D25D73"/>
    <w:rsid w:val="00D3436D"/>
    <w:rsid w:val="00D458E2"/>
    <w:rsid w:val="00D467E1"/>
    <w:rsid w:val="00D47268"/>
    <w:rsid w:val="00D53DD9"/>
    <w:rsid w:val="00D60D3E"/>
    <w:rsid w:val="00D67E4E"/>
    <w:rsid w:val="00D709F0"/>
    <w:rsid w:val="00D724FF"/>
    <w:rsid w:val="00D77090"/>
    <w:rsid w:val="00D81C94"/>
    <w:rsid w:val="00D87938"/>
    <w:rsid w:val="00D94647"/>
    <w:rsid w:val="00DA0C02"/>
    <w:rsid w:val="00DA2011"/>
    <w:rsid w:val="00DA509C"/>
    <w:rsid w:val="00DB5843"/>
    <w:rsid w:val="00DC087C"/>
    <w:rsid w:val="00DF0BFA"/>
    <w:rsid w:val="00E01D44"/>
    <w:rsid w:val="00E04906"/>
    <w:rsid w:val="00E051A1"/>
    <w:rsid w:val="00E0559C"/>
    <w:rsid w:val="00E13039"/>
    <w:rsid w:val="00E13233"/>
    <w:rsid w:val="00E16BDB"/>
    <w:rsid w:val="00E17B7C"/>
    <w:rsid w:val="00E2082D"/>
    <w:rsid w:val="00E34BCA"/>
    <w:rsid w:val="00E36C87"/>
    <w:rsid w:val="00E41DC0"/>
    <w:rsid w:val="00E43B96"/>
    <w:rsid w:val="00E44953"/>
    <w:rsid w:val="00E50CCC"/>
    <w:rsid w:val="00E6137A"/>
    <w:rsid w:val="00E621AA"/>
    <w:rsid w:val="00E62DEA"/>
    <w:rsid w:val="00E71EBC"/>
    <w:rsid w:val="00E72C6B"/>
    <w:rsid w:val="00E72D30"/>
    <w:rsid w:val="00E74755"/>
    <w:rsid w:val="00E84E98"/>
    <w:rsid w:val="00E87172"/>
    <w:rsid w:val="00E90046"/>
    <w:rsid w:val="00E96B56"/>
    <w:rsid w:val="00EA2ECA"/>
    <w:rsid w:val="00EA450B"/>
    <w:rsid w:val="00EB756B"/>
    <w:rsid w:val="00EC1897"/>
    <w:rsid w:val="00EC2E6F"/>
    <w:rsid w:val="00ED1051"/>
    <w:rsid w:val="00ED206E"/>
    <w:rsid w:val="00ED54BE"/>
    <w:rsid w:val="00EE20A8"/>
    <w:rsid w:val="00EE3B85"/>
    <w:rsid w:val="00F05B7C"/>
    <w:rsid w:val="00F069DF"/>
    <w:rsid w:val="00F079F1"/>
    <w:rsid w:val="00F17847"/>
    <w:rsid w:val="00F20D28"/>
    <w:rsid w:val="00F2228E"/>
    <w:rsid w:val="00F27706"/>
    <w:rsid w:val="00F329CE"/>
    <w:rsid w:val="00F33C0F"/>
    <w:rsid w:val="00F372B8"/>
    <w:rsid w:val="00F44CB9"/>
    <w:rsid w:val="00F45FD7"/>
    <w:rsid w:val="00F6381E"/>
    <w:rsid w:val="00F71AF8"/>
    <w:rsid w:val="00F72320"/>
    <w:rsid w:val="00F7405F"/>
    <w:rsid w:val="00F77CE0"/>
    <w:rsid w:val="00F82FE1"/>
    <w:rsid w:val="00F93CEA"/>
    <w:rsid w:val="00F96857"/>
    <w:rsid w:val="00F96A40"/>
    <w:rsid w:val="00FA58C1"/>
    <w:rsid w:val="00FC25E2"/>
    <w:rsid w:val="00FC4B9C"/>
    <w:rsid w:val="00FC693F"/>
    <w:rsid w:val="00FC79E8"/>
    <w:rsid w:val="00FD06CD"/>
    <w:rsid w:val="00FD5534"/>
    <w:rsid w:val="00FD63F4"/>
    <w:rsid w:val="00FD716C"/>
    <w:rsid w:val="00FE1675"/>
    <w:rsid w:val="00FE201A"/>
    <w:rsid w:val="00FE677D"/>
    <w:rsid w:val="00FE6CA6"/>
    <w:rsid w:val="00FF069E"/>
    <w:rsid w:val="00FF7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A33C5B"/>
  <w14:defaultImageDpi w14:val="300"/>
  <w15:docId w15:val="{1124BEFF-5C10-4630-8FFF-0B19FBBE6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9">
    <w:name w:val="annotation reference"/>
    <w:basedOn w:val="a2"/>
    <w:uiPriority w:val="99"/>
    <w:semiHidden/>
    <w:unhideWhenUsed/>
    <w:rsid w:val="000C3F6E"/>
    <w:rPr>
      <w:sz w:val="21"/>
      <w:szCs w:val="21"/>
    </w:rPr>
  </w:style>
  <w:style w:type="paragraph" w:styleId="affa">
    <w:name w:val="annotation text"/>
    <w:basedOn w:val="a1"/>
    <w:link w:val="affb"/>
    <w:uiPriority w:val="99"/>
    <w:semiHidden/>
    <w:unhideWhenUsed/>
    <w:rsid w:val="000C3F6E"/>
  </w:style>
  <w:style w:type="character" w:customStyle="1" w:styleId="affb">
    <w:name w:val="批注文字 字符"/>
    <w:basedOn w:val="a2"/>
    <w:link w:val="affa"/>
    <w:uiPriority w:val="99"/>
    <w:semiHidden/>
    <w:rsid w:val="000C3F6E"/>
  </w:style>
  <w:style w:type="paragraph" w:styleId="affc">
    <w:name w:val="annotation subject"/>
    <w:basedOn w:val="affa"/>
    <w:next w:val="affa"/>
    <w:link w:val="affd"/>
    <w:uiPriority w:val="99"/>
    <w:semiHidden/>
    <w:unhideWhenUsed/>
    <w:rsid w:val="000C3F6E"/>
    <w:rPr>
      <w:b/>
      <w:bCs/>
    </w:rPr>
  </w:style>
  <w:style w:type="character" w:customStyle="1" w:styleId="affd">
    <w:name w:val="批注主题 字符"/>
    <w:basedOn w:val="affb"/>
    <w:link w:val="affc"/>
    <w:uiPriority w:val="99"/>
    <w:semiHidden/>
    <w:rsid w:val="000C3F6E"/>
    <w:rPr>
      <w:b/>
      <w:bCs/>
    </w:rPr>
  </w:style>
  <w:style w:type="character" w:styleId="affe">
    <w:name w:val="Hyperlink"/>
    <w:basedOn w:val="a2"/>
    <w:uiPriority w:val="99"/>
    <w:unhideWhenUsed/>
    <w:rsid w:val="000C3F6E"/>
    <w:rPr>
      <w:color w:val="0000FF" w:themeColor="hyperlink"/>
      <w:u w:val="single"/>
    </w:rPr>
  </w:style>
  <w:style w:type="character" w:styleId="afff">
    <w:name w:val="Unresolved Mention"/>
    <w:basedOn w:val="a2"/>
    <w:uiPriority w:val="99"/>
    <w:semiHidden/>
    <w:unhideWhenUsed/>
    <w:rsid w:val="000C3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2239</TotalTime>
  <Pages>79</Pages>
  <Words>27541</Words>
  <Characters>126494</Characters>
  <Application>Microsoft Office Word</Application>
  <DocSecurity>0</DocSecurity>
  <Lines>4129</Lines>
  <Paragraphs>802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147371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Turing Tim</cp:lastModifiedBy>
  <cp:revision>444</cp:revision>
  <dcterms:created xsi:type="dcterms:W3CDTF">2023-11-15T15:01:00Z</dcterms:created>
  <dcterms:modified xsi:type="dcterms:W3CDTF">2023-11-29T12:00:00Z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fd1fbf293eba3937af50bf641944a9e251f88fd310a1f3ddfad0c7b79c22b86c</vt:lpwstr>
  </property>
</Properties>
</file>