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A073" w14:textId="77777777" w:rsidR="008C45D6"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00"/>
        <w:gridCol w:w="6030"/>
      </w:tblGrid>
      <w:tr w:rsidR="008C45D6" w14:paraId="0D59E6D5" w14:textId="77777777">
        <w:tc>
          <w:tcPr>
            <w:tcW w:w="4320" w:type="dxa"/>
          </w:tcPr>
          <w:p w14:paraId="53580BE1" w14:textId="77777777" w:rsidR="008C45D6" w:rsidRDefault="00000000">
            <w:r>
              <w:t>ID</w:t>
            </w:r>
          </w:p>
        </w:tc>
        <w:tc>
          <w:tcPr>
            <w:tcW w:w="10080" w:type="dxa"/>
          </w:tcPr>
          <w:p w14:paraId="73CCA81A" w14:textId="77777777" w:rsidR="008C45D6" w:rsidRDefault="00000000">
            <w:r>
              <w:t>331(0)</w:t>
            </w:r>
          </w:p>
        </w:tc>
      </w:tr>
      <w:tr w:rsidR="008C45D6" w14:paraId="564A0D64" w14:textId="77777777">
        <w:tc>
          <w:tcPr>
            <w:tcW w:w="4320" w:type="dxa"/>
          </w:tcPr>
          <w:p w14:paraId="4CF936BF" w14:textId="77777777" w:rsidR="008C45D6" w:rsidRDefault="00000000">
            <w:r>
              <w:rPr>
                <w:rFonts w:ascii="仿宋" w:eastAsia="仿宋" w:hAnsi="仿宋"/>
              </w:rPr>
              <w:t>领域</w:t>
            </w:r>
          </w:p>
        </w:tc>
        <w:tc>
          <w:tcPr>
            <w:tcW w:w="4320" w:type="dxa"/>
          </w:tcPr>
          <w:p w14:paraId="0FB60E2A" w14:textId="77777777" w:rsidR="008C45D6" w:rsidRDefault="00000000">
            <w:r>
              <w:t>Science</w:t>
            </w:r>
          </w:p>
        </w:tc>
      </w:tr>
      <w:tr w:rsidR="008C45D6" w14:paraId="098FCF7B" w14:textId="77777777">
        <w:tc>
          <w:tcPr>
            <w:tcW w:w="4320" w:type="dxa"/>
          </w:tcPr>
          <w:p w14:paraId="71F08EA4" w14:textId="77777777" w:rsidR="008C45D6" w:rsidRDefault="00000000">
            <w:r>
              <w:rPr>
                <w:rFonts w:ascii="仿宋" w:eastAsia="仿宋" w:hAnsi="仿宋"/>
              </w:rPr>
              <w:t>用户问题</w:t>
            </w:r>
          </w:p>
        </w:tc>
        <w:tc>
          <w:tcPr>
            <w:tcW w:w="4320" w:type="dxa"/>
          </w:tcPr>
          <w:p w14:paraId="349D1733" w14:textId="77777777" w:rsidR="008C45D6" w:rsidRDefault="00000000">
            <w:r>
              <w:t>Do you agree with the claim that "In patients with congenital heart defects, β-blockers significantly improve clinical heart failure outcomes."? Provide factual statements about the claim.</w:t>
            </w:r>
          </w:p>
        </w:tc>
      </w:tr>
      <w:tr w:rsidR="008C45D6" w14:paraId="44EE8FBF" w14:textId="77777777">
        <w:tc>
          <w:tcPr>
            <w:tcW w:w="4320" w:type="dxa"/>
          </w:tcPr>
          <w:p w14:paraId="6D174DE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214041D" w14:textId="747CF5D5" w:rsidR="008C45D6" w:rsidRPr="009528F1" w:rsidRDefault="009528F1">
            <w:pPr>
              <w:rPr>
                <w:rFonts w:eastAsia="宋体"/>
                <w:lang w:eastAsia="zh-CN"/>
              </w:rPr>
            </w:pPr>
            <w:r>
              <w:rPr>
                <w:rFonts w:eastAsia="宋体" w:hint="eastAsia"/>
                <w:lang w:eastAsia="zh-CN"/>
              </w:rPr>
              <w:t>5,5,</w:t>
            </w:r>
            <w:r>
              <w:rPr>
                <w:rFonts w:eastAsia="宋体"/>
                <w:lang w:eastAsia="zh-CN"/>
              </w:rPr>
              <w:t>3</w:t>
            </w:r>
          </w:p>
        </w:tc>
      </w:tr>
      <w:tr w:rsidR="008C45D6" w14:paraId="5DEADE3D" w14:textId="77777777">
        <w:tc>
          <w:tcPr>
            <w:tcW w:w="4320" w:type="dxa"/>
          </w:tcPr>
          <w:p w14:paraId="0F0D699B" w14:textId="77777777" w:rsidR="008C45D6" w:rsidRDefault="00000000">
            <w:r>
              <w:rPr>
                <w:rFonts w:ascii="仿宋" w:eastAsia="仿宋" w:hAnsi="仿宋"/>
              </w:rPr>
              <w:t>模型回复</w:t>
            </w:r>
          </w:p>
        </w:tc>
        <w:tc>
          <w:tcPr>
            <w:tcW w:w="4320" w:type="dxa"/>
          </w:tcPr>
          <w:p w14:paraId="10992346" w14:textId="77777777" w:rsidR="008C45D6" w:rsidRDefault="00000000">
            <w:r>
              <w:t>As an AI language model, I don't have personal opinions. However, I can provide factual statements about the claim you mentioned.</w:t>
            </w:r>
            <w:r>
              <w:br/>
              <w:t>1. Beta-blockers: Beta-blockers are a class of medications that work by blocking the effects of adrenaline and reducing the heart's workload. They are commonly prescribed for various heart conditions, including congenital heart defects.</w:t>
            </w:r>
            <w:r>
              <w:br/>
              <w:t>2. Congenital Heart Defects: Congenital heart defects are heart abnormalities present at birth. These defects can vary in type and severity, including issues with the heart valves, walls, or blood vessels.</w:t>
            </w:r>
            <w:r>
              <w:br/>
              <w:t>3. Clinical Heart Failure Outcomes: Clinical heart failure outcomes refer to the effects on the patient's condition and symptoms related to heart failure, such as shortness of breath, fatigue, and exercise tolerance.</w:t>
            </w:r>
            <w:r>
              <w:br/>
              <w:t>4. Research evidence: Numerous studies have investigated the impact of beta-blockers on heart failure outcomes in patients with congenital heart defects. Some key findings from research include:</w:t>
            </w:r>
            <w:r>
              <w:br/>
              <w:t>- A systematic review and meta-analysis published in the Journal of the American College of Cardiology in 2019 found that beta-blocker therapy was associated with a significant improvement in left ventricular function and exercise capacity in patients with congenital heart disease and heart failure.</w:t>
            </w:r>
            <w:r>
              <w:br/>
            </w:r>
            <w:r>
              <w:lastRenderedPageBreak/>
              <w:t>- Another cohort study published in Circulation in 2020 demonstrated that long-term treatment with beta-blockers improved heart function and reduced the risk of mortality and heart transplantation in adults with congenital heart disease and heart failure.</w:t>
            </w:r>
            <w:r>
              <w:br/>
              <w:t>- Individual studies have also shown improvements in symptoms, exercise tolerance, and cardiac function in specific subgroups of patients, such as those with repaired tetralogy of Fallot or dilated cardiomyopathy.</w:t>
            </w:r>
            <w:r>
              <w:br/>
              <w:t>It is crucial to note that treatment decisions for patients with congenital heart defects should be based on individual cases, including the type and severity of the defect. Consulting with a medical professional or cardiologist is advised for personalized recommendations.</w:t>
            </w:r>
          </w:p>
        </w:tc>
      </w:tr>
      <w:tr w:rsidR="008C45D6" w14:paraId="0BB498FA" w14:textId="77777777">
        <w:tc>
          <w:tcPr>
            <w:tcW w:w="4320" w:type="dxa"/>
          </w:tcPr>
          <w:p w14:paraId="165CB1A4"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178E22" w14:textId="5E64F586" w:rsidR="008C45D6" w:rsidRPr="009528F1" w:rsidRDefault="009528F1">
            <w:pPr>
              <w:rPr>
                <w:rFonts w:eastAsia="宋体"/>
                <w:lang w:eastAsia="zh-CN"/>
              </w:rPr>
            </w:pPr>
            <w:r>
              <w:rPr>
                <w:rFonts w:eastAsia="宋体" w:hint="eastAsia"/>
                <w:lang w:eastAsia="zh-CN"/>
              </w:rPr>
              <w:t>1</w:t>
            </w:r>
          </w:p>
        </w:tc>
      </w:tr>
      <w:tr w:rsidR="008C45D6" w14:paraId="7889C3DD" w14:textId="77777777">
        <w:tc>
          <w:tcPr>
            <w:tcW w:w="4320" w:type="dxa"/>
          </w:tcPr>
          <w:p w14:paraId="2A5D7495" w14:textId="77777777" w:rsidR="008C45D6" w:rsidRDefault="00000000">
            <w:r>
              <w:rPr>
                <w:rFonts w:ascii="仿宋" w:eastAsia="仿宋" w:hAnsi="仿宋"/>
              </w:rPr>
              <w:t>提取的事实</w:t>
            </w:r>
          </w:p>
        </w:tc>
        <w:tc>
          <w:tcPr>
            <w:tcW w:w="4320" w:type="dxa"/>
          </w:tcPr>
          <w:p w14:paraId="5E4E2FB9" w14:textId="77777777" w:rsidR="008C45D6" w:rsidRDefault="00000000">
            <w:r>
              <w:t>1. Beta-blockers are a class of medications that reduce the heart's workload by blocking the effects of adrenaline. These are commonly prescribed for various heart conditions, including congenital heart defects.</w:t>
            </w:r>
            <w:r>
              <w:br/>
              <w:t>2. Congenital heart defects are abnormalities present in the heart at birth and can be varying in type and severity.</w:t>
            </w:r>
            <w:r>
              <w:br/>
              <w:t>3. Clinical heart failure outcomes are the effects on the patient's condition and symptoms relating to heart failure.</w:t>
            </w:r>
            <w:r>
              <w:br/>
              <w:t>4. A study published in the Journal of the American College of Cardiology in 2019 found that beta-blocker therapy improved left ventricular function and exercise capacity in patients with congenital heart disease and heart failure.</w:t>
            </w:r>
            <w:r>
              <w:br/>
              <w:t>5. A study published in Circulation in 2020 showed that long-term treatment with beta-blockers improved heart function and reduced the risk of mortality and heart transplantation in adults with congenital heart disease and heart failure.</w:t>
            </w:r>
          </w:p>
        </w:tc>
      </w:tr>
      <w:tr w:rsidR="008C45D6" w14:paraId="471F8A89" w14:textId="77777777">
        <w:tc>
          <w:tcPr>
            <w:tcW w:w="4320" w:type="dxa"/>
          </w:tcPr>
          <w:p w14:paraId="582BF88F"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EB68C8" w14:textId="3F128BC9" w:rsidR="008C45D6" w:rsidRPr="009528F1" w:rsidRDefault="009528F1">
            <w:pPr>
              <w:rPr>
                <w:rFonts w:eastAsia="宋体"/>
                <w:lang w:eastAsia="zh-CN"/>
              </w:rPr>
            </w:pPr>
            <w:r>
              <w:rPr>
                <w:rFonts w:eastAsia="宋体" w:hint="eastAsia"/>
                <w:lang w:eastAsia="zh-CN"/>
              </w:rPr>
              <w:lastRenderedPageBreak/>
              <w:t>1</w:t>
            </w:r>
            <w:r>
              <w:rPr>
                <w:rFonts w:eastAsia="宋体"/>
                <w:lang w:eastAsia="zh-CN"/>
              </w:rPr>
              <w:t>,1,1,7,</w:t>
            </w:r>
            <w:r w:rsidR="00E9019A">
              <w:rPr>
                <w:rFonts w:eastAsia="宋体"/>
                <w:lang w:eastAsia="zh-CN"/>
              </w:rPr>
              <w:t>1</w:t>
            </w:r>
          </w:p>
        </w:tc>
      </w:tr>
    </w:tbl>
    <w:p w14:paraId="2012875B"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8C45D6" w14:paraId="5BD757C9" w14:textId="77777777">
        <w:tc>
          <w:tcPr>
            <w:tcW w:w="4320" w:type="dxa"/>
          </w:tcPr>
          <w:p w14:paraId="01DF82E2" w14:textId="77777777" w:rsidR="008C45D6" w:rsidRDefault="00000000">
            <w:r>
              <w:t>ID</w:t>
            </w:r>
          </w:p>
        </w:tc>
        <w:tc>
          <w:tcPr>
            <w:tcW w:w="10080" w:type="dxa"/>
          </w:tcPr>
          <w:p w14:paraId="76ACBCE3" w14:textId="77777777" w:rsidR="008C45D6" w:rsidRDefault="00000000">
            <w:r>
              <w:t>335(1)</w:t>
            </w:r>
          </w:p>
        </w:tc>
      </w:tr>
      <w:tr w:rsidR="008C45D6" w14:paraId="3F619087" w14:textId="77777777">
        <w:tc>
          <w:tcPr>
            <w:tcW w:w="4320" w:type="dxa"/>
          </w:tcPr>
          <w:p w14:paraId="6F4FAC95" w14:textId="77777777" w:rsidR="008C45D6" w:rsidRDefault="00000000">
            <w:r>
              <w:rPr>
                <w:rFonts w:ascii="仿宋" w:eastAsia="仿宋" w:hAnsi="仿宋"/>
              </w:rPr>
              <w:t>领域</w:t>
            </w:r>
          </w:p>
        </w:tc>
        <w:tc>
          <w:tcPr>
            <w:tcW w:w="4320" w:type="dxa"/>
          </w:tcPr>
          <w:p w14:paraId="5E9CC5EA" w14:textId="77777777" w:rsidR="008C45D6" w:rsidRDefault="00000000">
            <w:r>
              <w:t>Science</w:t>
            </w:r>
          </w:p>
        </w:tc>
      </w:tr>
      <w:tr w:rsidR="008C45D6" w14:paraId="09F7A6CE" w14:textId="77777777">
        <w:tc>
          <w:tcPr>
            <w:tcW w:w="4320" w:type="dxa"/>
          </w:tcPr>
          <w:p w14:paraId="1CF261D0" w14:textId="77777777" w:rsidR="008C45D6" w:rsidRDefault="00000000">
            <w:r>
              <w:rPr>
                <w:rFonts w:ascii="仿宋" w:eastAsia="仿宋" w:hAnsi="仿宋"/>
              </w:rPr>
              <w:t>用户问题</w:t>
            </w:r>
          </w:p>
        </w:tc>
        <w:tc>
          <w:tcPr>
            <w:tcW w:w="4320" w:type="dxa"/>
          </w:tcPr>
          <w:p w14:paraId="199F2914" w14:textId="77777777" w:rsidR="008C45D6" w:rsidRDefault="00000000">
            <w:r>
              <w:t>Consider the following statement: "In the UK, drowning affects boys and girls equally." Is it right? Present fact-based arguments about the statement.</w:t>
            </w:r>
          </w:p>
        </w:tc>
      </w:tr>
      <w:tr w:rsidR="008C45D6" w14:paraId="07149B39" w14:textId="77777777">
        <w:tc>
          <w:tcPr>
            <w:tcW w:w="4320" w:type="dxa"/>
          </w:tcPr>
          <w:p w14:paraId="7CC6EBB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4D1B13" w14:textId="33E19874" w:rsidR="008C45D6" w:rsidRPr="009528F1" w:rsidRDefault="009528F1">
            <w:pPr>
              <w:rPr>
                <w:rFonts w:eastAsia="宋体"/>
                <w:lang w:eastAsia="zh-CN"/>
              </w:rPr>
            </w:pPr>
            <w:r>
              <w:rPr>
                <w:rFonts w:eastAsia="宋体" w:hint="eastAsia"/>
                <w:lang w:eastAsia="zh-CN"/>
              </w:rPr>
              <w:t>3</w:t>
            </w:r>
            <w:r>
              <w:rPr>
                <w:rFonts w:eastAsia="宋体"/>
                <w:lang w:eastAsia="zh-CN"/>
              </w:rPr>
              <w:t>,3,2</w:t>
            </w:r>
          </w:p>
        </w:tc>
      </w:tr>
      <w:tr w:rsidR="008C45D6" w14:paraId="262B2325" w14:textId="77777777">
        <w:tc>
          <w:tcPr>
            <w:tcW w:w="4320" w:type="dxa"/>
          </w:tcPr>
          <w:p w14:paraId="3C937BCD" w14:textId="77777777" w:rsidR="008C45D6" w:rsidRDefault="00000000">
            <w:r>
              <w:rPr>
                <w:rFonts w:ascii="仿宋" w:eastAsia="仿宋" w:hAnsi="仿宋"/>
              </w:rPr>
              <w:t>模型回复</w:t>
            </w:r>
          </w:p>
        </w:tc>
        <w:tc>
          <w:tcPr>
            <w:tcW w:w="4320" w:type="dxa"/>
          </w:tcPr>
          <w:p w14:paraId="010133C1" w14:textId="77777777" w:rsidR="008C45D6" w:rsidRDefault="00000000">
            <w:r>
              <w:t>The statement "In the UK, drowning affects boys and girls equally" is not entirely accurate when examined based on factual data regarding drowning incidents. Here are some arguments that support this conclusion:</w:t>
            </w:r>
            <w:r>
              <w:br/>
              <w:t>1. Gender disparities: Various studies and statistics indicate that there are differences in drowning rates between boys and girls. According to the Royal Life Saving Society UK (RLSS UK), boys have a higher drowning rate compared to girls across all age groups in the UK. In particular, males aged 15-29 have the highest drowning rate.</w:t>
            </w:r>
            <w:r>
              <w:br/>
              <w:t>2. Occupational risks: Occupations involving water-related activities, such as lifeguards, fishermen, and boating professionals, predominantly employ males. Thus, the likelihood of males facing drowning risks due to their occupational exposure is higher than for females.</w:t>
            </w:r>
            <w:r>
              <w:br/>
              <w:t>3. Recreational activities: Statistically, boys are more likely to engage in water-based recreational activities that can increase the risk of drowning. Factors such as swimming, boating, and water sports participation contribute to this discrepancy.</w:t>
            </w:r>
            <w:r>
              <w:br/>
              <w:t xml:space="preserve">4. Risk-taking behavior: Some studies suggest that boys generally exhibit more risk-taking behavior than girls, including around water. Engaging in activities like jumping </w:t>
            </w:r>
            <w:r>
              <w:lastRenderedPageBreak/>
              <w:t>off cliffs, diving into unfamiliar water, or attempting dangerous water stunts can increase the risk of drowning.</w:t>
            </w:r>
            <w:r>
              <w:br/>
              <w:t>5. Cultural factors: Socio-cultural factors within certain communities or demographics may affect drowning rates differently across genders. For instance, traditional gender roles or cultural expectations can influence swimming abilities, access to swimming lessons, and water safety education, thereby impacting drowning risks.</w:t>
            </w:r>
            <w:r>
              <w:br/>
              <w:t>It is crucial to base statements on accurate and up-to-date data, and the evidence suggests that drowning rates differ between boys and girls in the UK. Understanding these differences allows targeted efforts to be put in place to address the specific needs and risk factors of each gender group to prevent drowning incidents efficiently.</w:t>
            </w:r>
          </w:p>
        </w:tc>
      </w:tr>
      <w:tr w:rsidR="008C45D6" w14:paraId="17A2C769" w14:textId="77777777">
        <w:tc>
          <w:tcPr>
            <w:tcW w:w="4320" w:type="dxa"/>
          </w:tcPr>
          <w:p w14:paraId="5FF0067A"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3558F7" w14:textId="229D224C" w:rsidR="008C45D6" w:rsidRPr="00E9019A" w:rsidRDefault="00E9019A">
            <w:pPr>
              <w:rPr>
                <w:rFonts w:eastAsia="宋体"/>
                <w:lang w:eastAsia="zh-CN"/>
              </w:rPr>
            </w:pPr>
            <w:r>
              <w:rPr>
                <w:rFonts w:eastAsia="宋体" w:hint="eastAsia"/>
                <w:lang w:eastAsia="zh-CN"/>
              </w:rPr>
              <w:t>1</w:t>
            </w:r>
          </w:p>
        </w:tc>
      </w:tr>
      <w:tr w:rsidR="008C45D6" w14:paraId="73344120" w14:textId="77777777">
        <w:tc>
          <w:tcPr>
            <w:tcW w:w="4320" w:type="dxa"/>
          </w:tcPr>
          <w:p w14:paraId="5AC8CC27" w14:textId="77777777" w:rsidR="008C45D6" w:rsidRDefault="00000000">
            <w:r>
              <w:rPr>
                <w:rFonts w:ascii="仿宋" w:eastAsia="仿宋" w:hAnsi="仿宋"/>
              </w:rPr>
              <w:t>提取的事实</w:t>
            </w:r>
          </w:p>
        </w:tc>
        <w:tc>
          <w:tcPr>
            <w:tcW w:w="4320" w:type="dxa"/>
          </w:tcPr>
          <w:p w14:paraId="644CD92B" w14:textId="77777777" w:rsidR="008C45D6" w:rsidRDefault="00000000">
            <w:r>
              <w:t>1. According to the Royal Life Saving Society UK, boys have a higher drowning rate compared with girls across all age groups in the UK, with males aged 15-29 having the highest drowning rate.</w:t>
            </w:r>
            <w:r>
              <w:br/>
              <w:t>2. Occupations involving water-related activities, such as lifeguards, fishermen, and boating professionals, are predominantly filled by males, thus increasing their likelihood of facing drowning risks.</w:t>
            </w:r>
            <w:r>
              <w:br/>
              <w:t>3. Boys are more likely to engage in water-based recreational activities that can increase the risk of drowning compared to girls.</w:t>
            </w:r>
            <w:r>
              <w:br/>
              <w:t>4. Some studies suggest that boys generally exhibit more risk-taking behavior than girls, including around water, which can increase the risk of drowning.</w:t>
            </w:r>
            <w:r>
              <w:br/>
              <w:t>5. Socio-cultural factors within certain communities or demographics may affect drowning rates differently across genders in the UK.</w:t>
            </w:r>
          </w:p>
        </w:tc>
      </w:tr>
      <w:tr w:rsidR="008C45D6" w14:paraId="36CE660E" w14:textId="77777777">
        <w:tc>
          <w:tcPr>
            <w:tcW w:w="4320" w:type="dxa"/>
          </w:tcPr>
          <w:p w14:paraId="36B36827"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AF8001" w14:textId="343B60A2" w:rsidR="008C45D6" w:rsidRPr="00E9019A" w:rsidRDefault="00246984">
            <w:pPr>
              <w:rPr>
                <w:rFonts w:eastAsia="宋体"/>
                <w:lang w:eastAsia="zh-CN"/>
              </w:rPr>
            </w:pPr>
            <w:r>
              <w:rPr>
                <w:rFonts w:eastAsia="宋体"/>
                <w:lang w:eastAsia="zh-CN"/>
              </w:rPr>
              <w:lastRenderedPageBreak/>
              <w:t>7</w:t>
            </w:r>
            <w:r w:rsidR="00E9019A">
              <w:rPr>
                <w:rFonts w:eastAsia="宋体"/>
                <w:lang w:eastAsia="zh-CN"/>
              </w:rPr>
              <w:t>,</w:t>
            </w:r>
            <w:r>
              <w:rPr>
                <w:rFonts w:eastAsia="宋体"/>
                <w:lang w:eastAsia="zh-CN"/>
              </w:rPr>
              <w:t>7</w:t>
            </w:r>
            <w:r w:rsidR="00E9019A">
              <w:rPr>
                <w:rFonts w:eastAsia="宋体"/>
                <w:lang w:eastAsia="zh-CN"/>
              </w:rPr>
              <w:t>,7,</w:t>
            </w:r>
            <w:r>
              <w:rPr>
                <w:rFonts w:eastAsia="宋体"/>
                <w:lang w:eastAsia="zh-CN"/>
              </w:rPr>
              <w:t>7</w:t>
            </w:r>
            <w:r w:rsidR="00E9019A">
              <w:rPr>
                <w:rFonts w:eastAsia="宋体"/>
                <w:lang w:eastAsia="zh-CN"/>
              </w:rPr>
              <w:t>,7</w:t>
            </w:r>
          </w:p>
        </w:tc>
      </w:tr>
    </w:tbl>
    <w:p w14:paraId="272DE9B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6BBA495E" w14:textId="77777777">
        <w:tc>
          <w:tcPr>
            <w:tcW w:w="4320" w:type="dxa"/>
          </w:tcPr>
          <w:p w14:paraId="276B3DDD" w14:textId="77777777" w:rsidR="008C45D6" w:rsidRDefault="00000000">
            <w:r>
              <w:t>ID</w:t>
            </w:r>
          </w:p>
        </w:tc>
        <w:tc>
          <w:tcPr>
            <w:tcW w:w="10080" w:type="dxa"/>
          </w:tcPr>
          <w:p w14:paraId="583105D9" w14:textId="77777777" w:rsidR="008C45D6" w:rsidRDefault="00000000">
            <w:r>
              <w:t>342(2)</w:t>
            </w:r>
          </w:p>
        </w:tc>
      </w:tr>
      <w:tr w:rsidR="008C45D6" w14:paraId="2C14DF61" w14:textId="77777777">
        <w:tc>
          <w:tcPr>
            <w:tcW w:w="4320" w:type="dxa"/>
          </w:tcPr>
          <w:p w14:paraId="649D9ECC" w14:textId="77777777" w:rsidR="008C45D6" w:rsidRDefault="00000000">
            <w:r>
              <w:rPr>
                <w:rFonts w:ascii="仿宋" w:eastAsia="仿宋" w:hAnsi="仿宋"/>
              </w:rPr>
              <w:t>领域</w:t>
            </w:r>
          </w:p>
        </w:tc>
        <w:tc>
          <w:tcPr>
            <w:tcW w:w="4320" w:type="dxa"/>
          </w:tcPr>
          <w:p w14:paraId="0DE1D77F" w14:textId="77777777" w:rsidR="008C45D6" w:rsidRDefault="00000000">
            <w:r>
              <w:t>Science</w:t>
            </w:r>
          </w:p>
        </w:tc>
      </w:tr>
      <w:tr w:rsidR="008C45D6" w14:paraId="3B87BC64" w14:textId="77777777">
        <w:tc>
          <w:tcPr>
            <w:tcW w:w="4320" w:type="dxa"/>
          </w:tcPr>
          <w:p w14:paraId="37CA6794" w14:textId="77777777" w:rsidR="008C45D6" w:rsidRDefault="00000000">
            <w:r>
              <w:rPr>
                <w:rFonts w:ascii="仿宋" w:eastAsia="仿宋" w:hAnsi="仿宋"/>
              </w:rPr>
              <w:t>用户问题</w:t>
            </w:r>
          </w:p>
        </w:tc>
        <w:tc>
          <w:tcPr>
            <w:tcW w:w="4320" w:type="dxa"/>
          </w:tcPr>
          <w:p w14:paraId="6AF45C59" w14:textId="77777777" w:rsidR="008C45D6" w:rsidRDefault="00000000">
            <w:r>
              <w:t>What is the validity of the assertion that "Including pharmacists in rounding teams does not alter the incidence of adverse drug events (ADEs)."? Outline fact-based statements about the assertion.</w:t>
            </w:r>
          </w:p>
        </w:tc>
      </w:tr>
      <w:tr w:rsidR="008C45D6" w14:paraId="328EC98A" w14:textId="77777777">
        <w:tc>
          <w:tcPr>
            <w:tcW w:w="4320" w:type="dxa"/>
          </w:tcPr>
          <w:p w14:paraId="61531E1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B76447" w14:textId="0B30E29E" w:rsidR="008C45D6" w:rsidRPr="00E9019A" w:rsidRDefault="00E9019A">
            <w:pPr>
              <w:rPr>
                <w:rFonts w:eastAsia="宋体"/>
                <w:lang w:eastAsia="zh-CN"/>
              </w:rPr>
            </w:pPr>
            <w:r>
              <w:rPr>
                <w:rFonts w:eastAsia="宋体"/>
                <w:lang w:eastAsia="zh-CN"/>
              </w:rPr>
              <w:t>4</w:t>
            </w:r>
            <w:r>
              <w:rPr>
                <w:rFonts w:eastAsia="宋体" w:hint="eastAsia"/>
                <w:lang w:eastAsia="zh-CN"/>
              </w:rPr>
              <w:t>,</w:t>
            </w:r>
            <w:r>
              <w:rPr>
                <w:rFonts w:eastAsia="宋体"/>
                <w:lang w:eastAsia="zh-CN"/>
              </w:rPr>
              <w:t>3,3</w:t>
            </w:r>
          </w:p>
        </w:tc>
      </w:tr>
      <w:tr w:rsidR="008C45D6" w14:paraId="63120DDD" w14:textId="77777777">
        <w:tc>
          <w:tcPr>
            <w:tcW w:w="4320" w:type="dxa"/>
          </w:tcPr>
          <w:p w14:paraId="2AD6937E" w14:textId="77777777" w:rsidR="008C45D6" w:rsidRDefault="00000000">
            <w:r>
              <w:rPr>
                <w:rFonts w:ascii="仿宋" w:eastAsia="仿宋" w:hAnsi="仿宋"/>
              </w:rPr>
              <w:t>模型回复</w:t>
            </w:r>
          </w:p>
        </w:tc>
        <w:tc>
          <w:tcPr>
            <w:tcW w:w="4320" w:type="dxa"/>
          </w:tcPr>
          <w:p w14:paraId="04E512E2" w14:textId="77777777" w:rsidR="008C45D6" w:rsidRDefault="00000000">
            <w:r>
              <w:t>1. There are studies that have examined the impact of including pharmacists in rounding teams on the incidence of adverse drug events (ADEs).</w:t>
            </w:r>
            <w:r>
              <w:br/>
              <w:t>2. One study published in the American Journal of Health-System Pharmacy found that including pharmacists on rounding teams significantly reduced the incidence of ADEs in hospitalized patients. They analyzed data from over 13,000 patients and found a 66% reduction in ADEs when pharmacists were included in rounding teams.</w:t>
            </w:r>
            <w:r>
              <w:br/>
              <w:t>3. Another study published in the Journal of the American Medical Association compared two hospitals, one with pharmacists included in rounding teams and one without. They found that the hospital with pharmacists had a 14% reduction in medication errors and a 55% reduction in potential ADEs compared to the hospital without pharmacists on rounding teams.</w:t>
            </w:r>
            <w:r>
              <w:br/>
              <w:t xml:space="preserve">4. A systematic review and meta-analysis published in the Annals of Internal Medicine reviewed multiple studies on pharmacist participation in rounding teams and the incidence of ADEs. They concluded that pharmacist involvement in rounding teams significantly decreased the </w:t>
            </w:r>
            <w:r>
              <w:lastRenderedPageBreak/>
              <w:t>risk of ADEs by 46%.</w:t>
            </w:r>
            <w:r>
              <w:br/>
              <w:t>5. Contrarily, a study published in the Journal of Hospital Medicine found no significant reduction in ADEs when pharmacists were included in rounding teams. However, the study had a smaller sample size and limited power to detect differences.</w:t>
            </w:r>
            <w:r>
              <w:br/>
              <w:t>6. It is important to note that the validity of the assertion may vary depending on the specific setting, healthcare system, and local practices. Different studies may provide conflicting results, and more research is needed to provide a comprehensive understanding of the impact of pharmacist inclusion on rounding teams and the incidence of ADEs.</w:t>
            </w:r>
          </w:p>
        </w:tc>
      </w:tr>
      <w:tr w:rsidR="008C45D6" w14:paraId="3A821063" w14:textId="77777777">
        <w:tc>
          <w:tcPr>
            <w:tcW w:w="4320" w:type="dxa"/>
          </w:tcPr>
          <w:p w14:paraId="46AAC61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7EC616" w14:textId="7CF62B2D" w:rsidR="008C45D6" w:rsidRPr="00E9019A" w:rsidRDefault="00E9019A">
            <w:pPr>
              <w:rPr>
                <w:rFonts w:eastAsia="宋体"/>
                <w:lang w:eastAsia="zh-CN"/>
              </w:rPr>
            </w:pPr>
            <w:r>
              <w:rPr>
                <w:rFonts w:eastAsia="宋体" w:hint="eastAsia"/>
                <w:lang w:eastAsia="zh-CN"/>
              </w:rPr>
              <w:t>1</w:t>
            </w:r>
          </w:p>
        </w:tc>
      </w:tr>
      <w:tr w:rsidR="008C45D6" w14:paraId="570E9D6F" w14:textId="77777777">
        <w:tc>
          <w:tcPr>
            <w:tcW w:w="4320" w:type="dxa"/>
          </w:tcPr>
          <w:p w14:paraId="2ABB6A00" w14:textId="77777777" w:rsidR="008C45D6" w:rsidRDefault="00000000">
            <w:r>
              <w:rPr>
                <w:rFonts w:ascii="仿宋" w:eastAsia="仿宋" w:hAnsi="仿宋"/>
              </w:rPr>
              <w:t>提取的事实</w:t>
            </w:r>
          </w:p>
        </w:tc>
        <w:tc>
          <w:tcPr>
            <w:tcW w:w="4320" w:type="dxa"/>
          </w:tcPr>
          <w:p w14:paraId="72DE5924" w14:textId="6F043610" w:rsidR="008C45D6" w:rsidRDefault="00000000">
            <w:r>
              <w:t>1. Studies have examined the impact of including pharmacists in rounding teams on the incidence of adverse drug events (ADEs).</w:t>
            </w:r>
            <w:r>
              <w:br/>
              <w:t>2. A study published in the American Journal of Health-System Pharmacy reported a 66% reduction in ADEs due to the inclusion of pharmacists in rounding teams.</w:t>
            </w:r>
            <w:r>
              <w:br/>
              <w:t>3. According to a study in the Journal of the American Medical Association, a hospital with pharmacists in rounding teams experienced a 14% reduction in medication errors and 55% reduction in potential ADEs compared to a hospital without such pharmacists.</w:t>
            </w:r>
            <w:r>
              <w:br/>
              <w:t>4. The Annals of Internal Medicine published a systematic review and meta-analysis, which concluded that pharmacist involvement in rounding teams could decrease the risk of ADEs by 46%.</w:t>
            </w:r>
            <w:r>
              <w:br/>
              <w:t>5. A study in the Journal of Hospital Medicine did not find a significant reduction in ADEs when pharmacists were included in the rounding teams.</w:t>
            </w:r>
          </w:p>
        </w:tc>
      </w:tr>
      <w:tr w:rsidR="008C45D6" w14:paraId="5B1F54B9" w14:textId="77777777">
        <w:tc>
          <w:tcPr>
            <w:tcW w:w="4320" w:type="dxa"/>
          </w:tcPr>
          <w:p w14:paraId="66BA7FC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C4773E" w14:textId="2ED75E06" w:rsidR="008C45D6" w:rsidRPr="00E9019A" w:rsidRDefault="00E9019A">
            <w:pPr>
              <w:rPr>
                <w:rFonts w:eastAsia="宋体"/>
                <w:lang w:eastAsia="zh-CN"/>
              </w:rPr>
            </w:pPr>
            <w:r>
              <w:rPr>
                <w:rFonts w:eastAsia="宋体" w:hint="eastAsia"/>
                <w:lang w:eastAsia="zh-CN"/>
              </w:rPr>
              <w:lastRenderedPageBreak/>
              <w:t>8</w:t>
            </w:r>
            <w:r>
              <w:rPr>
                <w:rFonts w:eastAsia="宋体"/>
                <w:lang w:eastAsia="zh-CN"/>
              </w:rPr>
              <w:t>,</w:t>
            </w:r>
            <w:r w:rsidR="00C2527E">
              <w:rPr>
                <w:rFonts w:eastAsia="宋体"/>
                <w:lang w:eastAsia="zh-CN"/>
              </w:rPr>
              <w:t>2</w:t>
            </w:r>
            <w:r>
              <w:rPr>
                <w:rFonts w:eastAsia="宋体"/>
                <w:lang w:eastAsia="zh-CN"/>
              </w:rPr>
              <w:t>,7,</w:t>
            </w:r>
            <w:r w:rsidR="00C2527E">
              <w:rPr>
                <w:rFonts w:eastAsia="宋体"/>
                <w:lang w:eastAsia="zh-CN"/>
              </w:rPr>
              <w:t>7</w:t>
            </w:r>
            <w:r>
              <w:rPr>
                <w:rFonts w:eastAsia="宋体"/>
                <w:lang w:eastAsia="zh-CN"/>
              </w:rPr>
              <w:t>,7</w:t>
            </w:r>
          </w:p>
        </w:tc>
      </w:tr>
    </w:tbl>
    <w:p w14:paraId="5C0216D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8C45D6" w14:paraId="49381E3A" w14:textId="77777777">
        <w:tc>
          <w:tcPr>
            <w:tcW w:w="4320" w:type="dxa"/>
          </w:tcPr>
          <w:p w14:paraId="5732596B" w14:textId="77777777" w:rsidR="008C45D6" w:rsidRDefault="00000000">
            <w:r>
              <w:t>ID</w:t>
            </w:r>
          </w:p>
        </w:tc>
        <w:tc>
          <w:tcPr>
            <w:tcW w:w="10080" w:type="dxa"/>
          </w:tcPr>
          <w:p w14:paraId="419D43A0" w14:textId="77777777" w:rsidR="008C45D6" w:rsidRDefault="00000000">
            <w:r>
              <w:t>344(3)</w:t>
            </w:r>
          </w:p>
        </w:tc>
      </w:tr>
      <w:tr w:rsidR="008C45D6" w14:paraId="72BEC7F4" w14:textId="77777777">
        <w:tc>
          <w:tcPr>
            <w:tcW w:w="4320" w:type="dxa"/>
          </w:tcPr>
          <w:p w14:paraId="08EC6D64" w14:textId="77777777" w:rsidR="008C45D6" w:rsidRDefault="00000000">
            <w:r>
              <w:rPr>
                <w:rFonts w:ascii="仿宋" w:eastAsia="仿宋" w:hAnsi="仿宋"/>
              </w:rPr>
              <w:t>领域</w:t>
            </w:r>
          </w:p>
        </w:tc>
        <w:tc>
          <w:tcPr>
            <w:tcW w:w="4320" w:type="dxa"/>
          </w:tcPr>
          <w:p w14:paraId="712D5264" w14:textId="77777777" w:rsidR="008C45D6" w:rsidRDefault="00000000">
            <w:r>
              <w:t>Science</w:t>
            </w:r>
          </w:p>
        </w:tc>
      </w:tr>
      <w:tr w:rsidR="008C45D6" w14:paraId="3C5303C3" w14:textId="77777777">
        <w:tc>
          <w:tcPr>
            <w:tcW w:w="4320" w:type="dxa"/>
          </w:tcPr>
          <w:p w14:paraId="1C09BEC6" w14:textId="77777777" w:rsidR="008C45D6" w:rsidRDefault="00000000">
            <w:r>
              <w:rPr>
                <w:rFonts w:ascii="仿宋" w:eastAsia="仿宋" w:hAnsi="仿宋"/>
              </w:rPr>
              <w:t>用户问题</w:t>
            </w:r>
          </w:p>
        </w:tc>
        <w:tc>
          <w:tcPr>
            <w:tcW w:w="4320" w:type="dxa"/>
          </w:tcPr>
          <w:p w14:paraId="3CE87165" w14:textId="77777777" w:rsidR="008C45D6" w:rsidRDefault="00000000">
            <w:r>
              <w:t>How truthful is the statement that "Increase of p62 in prostate tumor stroma results in defective autophagy."? Present a series of factual points about the statement.</w:t>
            </w:r>
          </w:p>
        </w:tc>
      </w:tr>
      <w:tr w:rsidR="008C45D6" w14:paraId="20628BA5" w14:textId="77777777">
        <w:tc>
          <w:tcPr>
            <w:tcW w:w="4320" w:type="dxa"/>
          </w:tcPr>
          <w:p w14:paraId="57C4220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5A9714" w14:textId="0EE98F09" w:rsidR="008C45D6" w:rsidRPr="00E9019A" w:rsidRDefault="00E9019A">
            <w:pPr>
              <w:rPr>
                <w:rFonts w:eastAsia="宋体"/>
                <w:lang w:eastAsia="zh-CN"/>
              </w:rPr>
            </w:pPr>
            <w:r>
              <w:rPr>
                <w:rFonts w:eastAsia="宋体"/>
                <w:lang w:eastAsia="zh-CN"/>
              </w:rPr>
              <w:t>4</w:t>
            </w:r>
            <w:r>
              <w:rPr>
                <w:rFonts w:eastAsia="宋体" w:hint="eastAsia"/>
                <w:lang w:eastAsia="zh-CN"/>
              </w:rPr>
              <w:t>,</w:t>
            </w:r>
            <w:r>
              <w:rPr>
                <w:rFonts w:eastAsia="宋体"/>
                <w:lang w:eastAsia="zh-CN"/>
              </w:rPr>
              <w:t>4,3</w:t>
            </w:r>
          </w:p>
        </w:tc>
      </w:tr>
      <w:tr w:rsidR="008C45D6" w14:paraId="5617AAB5" w14:textId="77777777">
        <w:tc>
          <w:tcPr>
            <w:tcW w:w="4320" w:type="dxa"/>
          </w:tcPr>
          <w:p w14:paraId="7F940750" w14:textId="77777777" w:rsidR="008C45D6" w:rsidRDefault="00000000">
            <w:r>
              <w:rPr>
                <w:rFonts w:ascii="仿宋" w:eastAsia="仿宋" w:hAnsi="仿宋"/>
              </w:rPr>
              <w:t>模型回复</w:t>
            </w:r>
          </w:p>
        </w:tc>
        <w:tc>
          <w:tcPr>
            <w:tcW w:w="4320" w:type="dxa"/>
          </w:tcPr>
          <w:p w14:paraId="6CE9881D" w14:textId="77777777" w:rsidR="008C45D6" w:rsidRDefault="00000000">
            <w:r>
              <w:t>1. A study published in Cancer Research in 2014 found that p62, also known as sequestosome-1, is increased in prostate tumor stroma.</w:t>
            </w:r>
            <w:r>
              <w:br/>
              <w:t>2. The same study showed that the increased expression of p62 in the stroma resulted in the accumulation of damaged mitochondria and defective autophagy.</w:t>
            </w:r>
            <w:r>
              <w:br/>
              <w:t>3. Autophagy is a cellular process responsible for the recycling of damaged organelles and proteins, thus playing a critical role in maintaining cellular homeostasis.</w:t>
            </w:r>
            <w:r>
              <w:br/>
              <w:t>4. Defective autophagy has been associated with the development and progression of various cancers, including prostate cancer.</w:t>
            </w:r>
            <w:r>
              <w:br/>
              <w:t>5. The accumulation of damaged mitochondria due to defective autophagy can lead to increased oxidative stress and genomic instability, contributing to tumor growth.</w:t>
            </w:r>
            <w:r>
              <w:br/>
              <w:t>6. Another study published in PLoS ONE in 2018 confirmed the link between increased p62 expression and defective autophagy in prostate cancer.</w:t>
            </w:r>
            <w:r>
              <w:br/>
              <w:t>7. The study demonstrated that p62 overexpression in prostate cancer stromal cells led to impaired autophagy flux and increased tumor growth.</w:t>
            </w:r>
            <w:r>
              <w:br/>
              <w:t xml:space="preserve">8. The dysregulation of autophagy has been proposed as a potential target for prostate cancer treatment, indicating the </w:t>
            </w:r>
            <w:r>
              <w:lastRenderedPageBreak/>
              <w:t>importance of intact autophagy in suppressing tumor growth.</w:t>
            </w:r>
            <w:r>
              <w:br/>
              <w:t>9. These findings suggest that an increase in p62 expression in prostate tumor stroma can indeed result in defective autophagy, which has implications for tumor development and progression.</w:t>
            </w:r>
            <w:r>
              <w:br/>
              <w:t>10. It is worth noting that further studies are needed to fully understand the complex molecular mechanisms underlying this relationship and its potential therapeutic implications.</w:t>
            </w:r>
          </w:p>
        </w:tc>
      </w:tr>
      <w:tr w:rsidR="008C45D6" w14:paraId="6FA0F591" w14:textId="77777777">
        <w:tc>
          <w:tcPr>
            <w:tcW w:w="4320" w:type="dxa"/>
          </w:tcPr>
          <w:p w14:paraId="64FCCA6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EEAE49" w14:textId="31210A50" w:rsidR="008C45D6" w:rsidRPr="00E9019A" w:rsidRDefault="00E9019A">
            <w:pPr>
              <w:rPr>
                <w:rFonts w:eastAsia="宋体"/>
                <w:lang w:eastAsia="zh-CN"/>
              </w:rPr>
            </w:pPr>
            <w:r>
              <w:rPr>
                <w:rFonts w:eastAsia="宋体" w:hint="eastAsia"/>
                <w:lang w:eastAsia="zh-CN"/>
              </w:rPr>
              <w:t>1</w:t>
            </w:r>
          </w:p>
        </w:tc>
      </w:tr>
      <w:tr w:rsidR="008C45D6" w14:paraId="0D86BFF2" w14:textId="77777777">
        <w:tc>
          <w:tcPr>
            <w:tcW w:w="4320" w:type="dxa"/>
          </w:tcPr>
          <w:p w14:paraId="0CF9ADB8" w14:textId="77777777" w:rsidR="008C45D6" w:rsidRDefault="00000000">
            <w:r>
              <w:rPr>
                <w:rFonts w:ascii="仿宋" w:eastAsia="仿宋" w:hAnsi="仿宋"/>
              </w:rPr>
              <w:t>提取的事实</w:t>
            </w:r>
          </w:p>
        </w:tc>
        <w:tc>
          <w:tcPr>
            <w:tcW w:w="4320" w:type="dxa"/>
          </w:tcPr>
          <w:p w14:paraId="618A3100" w14:textId="77777777" w:rsidR="008C45D6" w:rsidRDefault="00000000">
            <w:r>
              <w:t>1. A study published in Cancer Research in 2014 found that p62, also known as sequestosome-1, is increased in prostate tumor stroma.</w:t>
            </w:r>
            <w:r>
              <w:br/>
              <w:t>2. This increase in p62 expression in the stroma can result in the accumulation of damaged mitochondria and defective autophagy.</w:t>
            </w:r>
            <w:r>
              <w:br/>
              <w:t>3. Autophagy is responsible for the recycling of damaged organelles and proteins and its malfunctioning has been linked with various cancers, including prostate cancer.</w:t>
            </w:r>
            <w:r>
              <w:br/>
              <w:t>4. An increase in p62 expression and defective autophagy in prostate cancer was also confirmed by a study published in PLoS ONE in 2018.</w:t>
            </w:r>
            <w:r>
              <w:br/>
              <w:t>5. Dysregulation of autophagy is considered a potential target for prostate cancer treatment.</w:t>
            </w:r>
          </w:p>
        </w:tc>
      </w:tr>
      <w:tr w:rsidR="008C45D6" w14:paraId="343869BA" w14:textId="77777777">
        <w:tc>
          <w:tcPr>
            <w:tcW w:w="4320" w:type="dxa"/>
          </w:tcPr>
          <w:p w14:paraId="057E4C75"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47D80E" w14:textId="159CEACC" w:rsidR="008C45D6" w:rsidRPr="00E9019A" w:rsidRDefault="00363D92">
            <w:pPr>
              <w:rPr>
                <w:rFonts w:eastAsia="宋体"/>
                <w:lang w:eastAsia="zh-CN"/>
              </w:rPr>
            </w:pPr>
            <w:r>
              <w:rPr>
                <w:rFonts w:eastAsia="宋体"/>
                <w:lang w:eastAsia="zh-CN"/>
              </w:rPr>
              <w:t>2</w:t>
            </w:r>
            <w:r w:rsidR="00E9019A">
              <w:rPr>
                <w:rFonts w:eastAsia="宋体"/>
                <w:lang w:eastAsia="zh-CN"/>
              </w:rPr>
              <w:t>,</w:t>
            </w:r>
            <w:r>
              <w:rPr>
                <w:rFonts w:eastAsia="宋体"/>
                <w:lang w:eastAsia="zh-CN"/>
              </w:rPr>
              <w:t>2</w:t>
            </w:r>
            <w:r w:rsidR="00E9019A">
              <w:rPr>
                <w:rFonts w:eastAsia="宋体"/>
                <w:lang w:eastAsia="zh-CN"/>
              </w:rPr>
              <w:t>,</w:t>
            </w:r>
            <w:r w:rsidR="009D0F15">
              <w:rPr>
                <w:rFonts w:eastAsia="宋体"/>
                <w:lang w:eastAsia="zh-CN"/>
              </w:rPr>
              <w:t>1,7,</w:t>
            </w:r>
            <w:r w:rsidR="00834A7B">
              <w:rPr>
                <w:rFonts w:eastAsia="宋体"/>
                <w:lang w:eastAsia="zh-CN"/>
              </w:rPr>
              <w:t>1</w:t>
            </w:r>
          </w:p>
        </w:tc>
      </w:tr>
    </w:tbl>
    <w:p w14:paraId="733CD9D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8C45D6" w14:paraId="177E5F28" w14:textId="77777777">
        <w:tc>
          <w:tcPr>
            <w:tcW w:w="4320" w:type="dxa"/>
          </w:tcPr>
          <w:p w14:paraId="007DDBB6" w14:textId="77777777" w:rsidR="008C45D6" w:rsidRDefault="00000000">
            <w:r>
              <w:t>ID</w:t>
            </w:r>
          </w:p>
        </w:tc>
        <w:tc>
          <w:tcPr>
            <w:tcW w:w="10080" w:type="dxa"/>
          </w:tcPr>
          <w:p w14:paraId="7762770F" w14:textId="77777777" w:rsidR="008C45D6" w:rsidRDefault="00000000">
            <w:r>
              <w:t>347(4)</w:t>
            </w:r>
          </w:p>
        </w:tc>
      </w:tr>
      <w:tr w:rsidR="008C45D6" w14:paraId="2311D19C" w14:textId="77777777">
        <w:tc>
          <w:tcPr>
            <w:tcW w:w="4320" w:type="dxa"/>
          </w:tcPr>
          <w:p w14:paraId="66154557" w14:textId="77777777" w:rsidR="008C45D6" w:rsidRDefault="00000000">
            <w:r>
              <w:rPr>
                <w:rFonts w:ascii="仿宋" w:eastAsia="仿宋" w:hAnsi="仿宋"/>
              </w:rPr>
              <w:lastRenderedPageBreak/>
              <w:t>领域</w:t>
            </w:r>
          </w:p>
        </w:tc>
        <w:tc>
          <w:tcPr>
            <w:tcW w:w="4320" w:type="dxa"/>
          </w:tcPr>
          <w:p w14:paraId="59120334" w14:textId="77777777" w:rsidR="008C45D6" w:rsidRDefault="00000000">
            <w:r>
              <w:t>Science</w:t>
            </w:r>
          </w:p>
        </w:tc>
      </w:tr>
      <w:tr w:rsidR="008C45D6" w14:paraId="225C798A" w14:textId="77777777">
        <w:tc>
          <w:tcPr>
            <w:tcW w:w="4320" w:type="dxa"/>
          </w:tcPr>
          <w:p w14:paraId="7DA320D7" w14:textId="77777777" w:rsidR="008C45D6" w:rsidRDefault="00000000">
            <w:r>
              <w:rPr>
                <w:rFonts w:ascii="仿宋" w:eastAsia="仿宋" w:hAnsi="仿宋"/>
              </w:rPr>
              <w:t>用户问题</w:t>
            </w:r>
          </w:p>
        </w:tc>
        <w:tc>
          <w:tcPr>
            <w:tcW w:w="4320" w:type="dxa"/>
          </w:tcPr>
          <w:p w14:paraId="762FC9C5" w14:textId="77777777" w:rsidR="008C45D6" w:rsidRDefault="00000000">
            <w:r>
              <w:t>What is the validity of the assertion that "Increased diastolic blood pressure (DBP) is associated with abdominal aortic aneurysm."? Outline fact-based statements about the assertion.</w:t>
            </w:r>
          </w:p>
        </w:tc>
      </w:tr>
      <w:tr w:rsidR="008C45D6" w14:paraId="627B34B3" w14:textId="77777777">
        <w:tc>
          <w:tcPr>
            <w:tcW w:w="4320" w:type="dxa"/>
          </w:tcPr>
          <w:p w14:paraId="50AF570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ABAF91" w14:textId="6D7284D6" w:rsidR="008C45D6" w:rsidRPr="009D0F15" w:rsidRDefault="009D0F15">
            <w:pPr>
              <w:rPr>
                <w:rFonts w:eastAsia="宋体"/>
                <w:lang w:eastAsia="zh-CN"/>
              </w:rPr>
            </w:pPr>
            <w:r>
              <w:rPr>
                <w:rFonts w:eastAsia="宋体"/>
                <w:lang w:eastAsia="zh-CN"/>
              </w:rPr>
              <w:t>4,</w:t>
            </w:r>
            <w:r>
              <w:rPr>
                <w:rFonts w:eastAsia="宋体" w:hint="eastAsia"/>
                <w:lang w:eastAsia="zh-CN"/>
              </w:rPr>
              <w:t>4</w:t>
            </w:r>
            <w:r>
              <w:rPr>
                <w:rFonts w:eastAsia="宋体"/>
                <w:lang w:eastAsia="zh-CN"/>
              </w:rPr>
              <w:t>,3</w:t>
            </w:r>
          </w:p>
        </w:tc>
      </w:tr>
      <w:tr w:rsidR="008C45D6" w14:paraId="6DFDAEC1" w14:textId="77777777">
        <w:tc>
          <w:tcPr>
            <w:tcW w:w="4320" w:type="dxa"/>
          </w:tcPr>
          <w:p w14:paraId="2BA1ADF1" w14:textId="77777777" w:rsidR="008C45D6" w:rsidRDefault="00000000">
            <w:r>
              <w:rPr>
                <w:rFonts w:ascii="仿宋" w:eastAsia="仿宋" w:hAnsi="仿宋"/>
              </w:rPr>
              <w:t>模型回复</w:t>
            </w:r>
          </w:p>
        </w:tc>
        <w:tc>
          <w:tcPr>
            <w:tcW w:w="4320" w:type="dxa"/>
          </w:tcPr>
          <w:p w14:paraId="749AB424" w14:textId="77777777" w:rsidR="008C45D6" w:rsidRDefault="00000000">
            <w:r>
              <w:t>Fact-based statements about the assertion that increased diastolic blood pressure (DBP) is associated with abdominal aortic aneurysm:</w:t>
            </w:r>
            <w:r>
              <w:br/>
              <w:t>1. Aortic aneurysm: Abdominal aortic aneurysm (AAA) is a potentially life-threatening condition characterized by the weakening and dilation of the aortic wall in the abdominal region.</w:t>
            </w:r>
            <w:r>
              <w:br/>
              <w:t>2. Blood pressure: Blood pressure is the force exerted by circulating blood against the walls of arteries. It is measured in millimeters of mercury (mmHg) and consists of two values: systolic blood pressure (SBP) and diastolic blood pressure (DBP).</w:t>
            </w:r>
            <w:r>
              <w:br/>
              <w:t>3. DBP and AAA prevalence: Several studies have suggested a link between increased DBP and a higher prevalence of abdominal aortic aneurysm.</w:t>
            </w:r>
            <w:r>
              <w:br/>
              <w:t>4. Study 1: A study published in the Journal of Hypertension in 2017 found that elevated DBP was independently associated with a higher risk of AAA in both men and women.</w:t>
            </w:r>
            <w:r>
              <w:br/>
              <w:t>5. Study 2: Another study published in the European Journal of Vascular and Endovascular Surgery in 2014 reported that DBP was significantly higher in patients with AAA compared to a control group without AAA.</w:t>
            </w:r>
            <w:r>
              <w:br/>
              <w:t>6. Mechanism: The exact mechanism for the association between DBP and AAA is not yet fully understood. However, it is believed that increased pressure on the weakened arterial wall may contribute to the progression or rupture of the aneurysm.</w:t>
            </w:r>
            <w:r>
              <w:br/>
              <w:t xml:space="preserve">7. Other risk factors: While elevated DBP appears to be associated with AAA, it is important to note that it is just one of many risk factors. Age, smoking, male gender, family </w:t>
            </w:r>
            <w:r>
              <w:lastRenderedPageBreak/>
              <w:t>history, and other cardiovascular risk factors also play a significant role.</w:t>
            </w:r>
            <w:r>
              <w:br/>
              <w:t>8. Causation vs. association: Although studies have demonstrated an association between increased DBP and AAA, it is worth noting that association does not necessarily imply causation. Further research is required to establish a cause-and-effect relationship between increased DBP and the development or progression of abdominal aortic aneurysm.</w:t>
            </w:r>
          </w:p>
        </w:tc>
      </w:tr>
      <w:tr w:rsidR="008C45D6" w14:paraId="667CCBFD" w14:textId="77777777">
        <w:tc>
          <w:tcPr>
            <w:tcW w:w="4320" w:type="dxa"/>
          </w:tcPr>
          <w:p w14:paraId="38260EA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0E310F" w14:textId="7FADA832" w:rsidR="008C45D6" w:rsidRPr="009D0F15" w:rsidRDefault="009D0F15">
            <w:pPr>
              <w:rPr>
                <w:rFonts w:eastAsia="宋体"/>
                <w:lang w:eastAsia="zh-CN"/>
              </w:rPr>
            </w:pPr>
            <w:r>
              <w:rPr>
                <w:rFonts w:eastAsia="宋体" w:hint="eastAsia"/>
                <w:lang w:eastAsia="zh-CN"/>
              </w:rPr>
              <w:t>1</w:t>
            </w:r>
          </w:p>
        </w:tc>
      </w:tr>
      <w:tr w:rsidR="008C45D6" w14:paraId="2BE393E0" w14:textId="77777777">
        <w:tc>
          <w:tcPr>
            <w:tcW w:w="4320" w:type="dxa"/>
          </w:tcPr>
          <w:p w14:paraId="5CAA83F2" w14:textId="77777777" w:rsidR="008C45D6" w:rsidRDefault="00000000">
            <w:r>
              <w:rPr>
                <w:rFonts w:ascii="仿宋" w:eastAsia="仿宋" w:hAnsi="仿宋"/>
              </w:rPr>
              <w:t>提取的事实</w:t>
            </w:r>
          </w:p>
        </w:tc>
        <w:tc>
          <w:tcPr>
            <w:tcW w:w="4320" w:type="dxa"/>
          </w:tcPr>
          <w:p w14:paraId="1494CF5B" w14:textId="77777777" w:rsidR="008C45D6" w:rsidRDefault="00000000">
            <w:r>
              <w:t>1. Abdominal aortic aneurysm (AAA) is a condition characterized by the weakening and dilation of the aortic wall in the abdominal region.</w:t>
            </w:r>
            <w:r>
              <w:br/>
              <w:t>2. Blood pressure, including diastolic blood pressure (DBP), is the force exerted by circulating blood against the walls of arteries.</w:t>
            </w:r>
            <w:r>
              <w:br/>
              <w:t>3. Several studies suggest a link between increased DBP and a higher prevalence of abdominal aortic aneurysm.</w:t>
            </w:r>
            <w:r>
              <w:br/>
              <w:t>4. A study published in the Journal of Hypertension in 2017 found that elevated DBP was associated with a higher risk of AAA in both men and women.</w:t>
            </w:r>
            <w:r>
              <w:br/>
              <w:t>5. Another study in the European Journal of Vascular and Endovascular Surgery in 2014 reported that DBP was significantly higher in patients with AAA compared to a control group without AAA.</w:t>
            </w:r>
          </w:p>
        </w:tc>
      </w:tr>
      <w:tr w:rsidR="008C45D6" w14:paraId="04202F43" w14:textId="77777777">
        <w:tc>
          <w:tcPr>
            <w:tcW w:w="4320" w:type="dxa"/>
          </w:tcPr>
          <w:p w14:paraId="54ACCC98"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431C35B" w14:textId="6F825F10" w:rsidR="008C45D6" w:rsidRPr="009D0F15" w:rsidRDefault="009D0F15">
            <w:pPr>
              <w:rPr>
                <w:rFonts w:eastAsia="宋体"/>
                <w:lang w:eastAsia="zh-CN"/>
              </w:rPr>
            </w:pPr>
            <w:r>
              <w:rPr>
                <w:rFonts w:eastAsia="宋体" w:hint="eastAsia"/>
                <w:lang w:eastAsia="zh-CN"/>
              </w:rPr>
              <w:t>1</w:t>
            </w:r>
            <w:r>
              <w:rPr>
                <w:rFonts w:eastAsia="宋体"/>
                <w:lang w:eastAsia="zh-CN"/>
              </w:rPr>
              <w:t>,1,1,7,</w:t>
            </w:r>
            <w:r w:rsidR="00617811">
              <w:rPr>
                <w:rFonts w:eastAsia="宋体"/>
                <w:lang w:eastAsia="zh-CN"/>
              </w:rPr>
              <w:t>7</w:t>
            </w:r>
          </w:p>
        </w:tc>
      </w:tr>
    </w:tbl>
    <w:p w14:paraId="61C1CF7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97"/>
        <w:gridCol w:w="6033"/>
      </w:tblGrid>
      <w:tr w:rsidR="008C45D6" w14:paraId="56FEF408" w14:textId="77777777">
        <w:tc>
          <w:tcPr>
            <w:tcW w:w="4320" w:type="dxa"/>
          </w:tcPr>
          <w:p w14:paraId="6340F5EC" w14:textId="77777777" w:rsidR="008C45D6" w:rsidRDefault="00000000">
            <w:r>
              <w:t>ID</w:t>
            </w:r>
          </w:p>
        </w:tc>
        <w:tc>
          <w:tcPr>
            <w:tcW w:w="10080" w:type="dxa"/>
          </w:tcPr>
          <w:p w14:paraId="4E275BF0" w14:textId="77777777" w:rsidR="008C45D6" w:rsidRDefault="00000000">
            <w:r>
              <w:t>379(5)</w:t>
            </w:r>
          </w:p>
        </w:tc>
      </w:tr>
      <w:tr w:rsidR="008C45D6" w14:paraId="1289B9E1" w14:textId="77777777">
        <w:tc>
          <w:tcPr>
            <w:tcW w:w="4320" w:type="dxa"/>
          </w:tcPr>
          <w:p w14:paraId="0DE4BBB0" w14:textId="77777777" w:rsidR="008C45D6" w:rsidRDefault="00000000">
            <w:r>
              <w:rPr>
                <w:rFonts w:ascii="仿宋" w:eastAsia="仿宋" w:hAnsi="仿宋"/>
              </w:rPr>
              <w:lastRenderedPageBreak/>
              <w:t>领域</w:t>
            </w:r>
          </w:p>
        </w:tc>
        <w:tc>
          <w:tcPr>
            <w:tcW w:w="4320" w:type="dxa"/>
          </w:tcPr>
          <w:p w14:paraId="1B010E2E" w14:textId="77777777" w:rsidR="008C45D6" w:rsidRDefault="00000000">
            <w:r>
              <w:t>Science</w:t>
            </w:r>
          </w:p>
        </w:tc>
      </w:tr>
      <w:tr w:rsidR="008C45D6" w14:paraId="1704022C" w14:textId="77777777">
        <w:tc>
          <w:tcPr>
            <w:tcW w:w="4320" w:type="dxa"/>
          </w:tcPr>
          <w:p w14:paraId="48ACA4EF" w14:textId="77777777" w:rsidR="008C45D6" w:rsidRDefault="00000000">
            <w:r>
              <w:rPr>
                <w:rFonts w:ascii="仿宋" w:eastAsia="仿宋" w:hAnsi="仿宋"/>
              </w:rPr>
              <w:t>用户问题</w:t>
            </w:r>
          </w:p>
        </w:tc>
        <w:tc>
          <w:tcPr>
            <w:tcW w:w="4320" w:type="dxa"/>
          </w:tcPr>
          <w:p w14:paraId="22404782" w14:textId="77777777" w:rsidR="008C45D6" w:rsidRDefault="00000000">
            <w:r>
              <w:t>How truthful is the statement that "Intra-cerebroventricular infusion of amyloid-β oligomers increases expression of fibronectin type-III domain-containing protein 5 mRNA in mice hippocampi."? Present a series of factual points about the statement.</w:t>
            </w:r>
          </w:p>
        </w:tc>
      </w:tr>
      <w:tr w:rsidR="008C45D6" w14:paraId="18612308" w14:textId="77777777">
        <w:tc>
          <w:tcPr>
            <w:tcW w:w="4320" w:type="dxa"/>
          </w:tcPr>
          <w:p w14:paraId="0FD4117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AE3CD9" w14:textId="6CC2764B" w:rsidR="008C45D6" w:rsidRPr="009D0F15" w:rsidRDefault="009D0F15">
            <w:pPr>
              <w:rPr>
                <w:rFonts w:eastAsia="宋体"/>
                <w:lang w:eastAsia="zh-CN"/>
              </w:rPr>
            </w:pPr>
            <w:r>
              <w:rPr>
                <w:rFonts w:eastAsia="宋体" w:hint="eastAsia"/>
                <w:lang w:eastAsia="zh-CN"/>
              </w:rPr>
              <w:t>3</w:t>
            </w:r>
            <w:r>
              <w:rPr>
                <w:rFonts w:eastAsia="宋体"/>
                <w:lang w:eastAsia="zh-CN"/>
              </w:rPr>
              <w:t>,4,4</w:t>
            </w:r>
          </w:p>
        </w:tc>
      </w:tr>
      <w:tr w:rsidR="008C45D6" w14:paraId="24C57C48" w14:textId="77777777">
        <w:tc>
          <w:tcPr>
            <w:tcW w:w="4320" w:type="dxa"/>
          </w:tcPr>
          <w:p w14:paraId="6189A759" w14:textId="77777777" w:rsidR="008C45D6" w:rsidRDefault="00000000">
            <w:r>
              <w:rPr>
                <w:rFonts w:ascii="仿宋" w:eastAsia="仿宋" w:hAnsi="仿宋"/>
              </w:rPr>
              <w:t>模型回复</w:t>
            </w:r>
          </w:p>
        </w:tc>
        <w:tc>
          <w:tcPr>
            <w:tcW w:w="4320" w:type="dxa"/>
          </w:tcPr>
          <w:p w14:paraId="78E5D912" w14:textId="77777777" w:rsidR="008C45D6" w:rsidRDefault="00000000">
            <w:r>
              <w:t>1. The statement indicates that amyloid-β oligomers were infused into the brains of mice through the intra-cerebroventricular route.</w:t>
            </w:r>
            <w:r>
              <w:br/>
              <w:t>2. The infusion of amyloid-β oligomers increased the expression of fibronectin type-III domain-containing protein 5 (FNDC5) mRNA in the hippocampi of the mice.</w:t>
            </w:r>
            <w:r>
              <w:br/>
              <w:t>3. The study was conducted on mice, suggesting that the findings may not directly apply to humans.</w:t>
            </w:r>
            <w:r>
              <w:br/>
              <w:t>4. The specific method used for measuring FNDC5 mRNA expression was not mentioned in the statement.</w:t>
            </w:r>
            <w:r>
              <w:br/>
              <w:t>5. The location of the hippocampi, where the expression of FNDC5 mRNA was measured, is a region in the brain associated with memory and learning.</w:t>
            </w:r>
            <w:r>
              <w:br/>
              <w:t>6. The infusion of amyloid-β oligomers suggests an association with the pathology of Alzheimer's disease.</w:t>
            </w:r>
            <w:r>
              <w:br/>
              <w:t>7. The statement does not provide information about the length of time or the dosage of amyloid-β oligomers infused, which may be relevant to understanding the extent of the observed effect.</w:t>
            </w:r>
          </w:p>
        </w:tc>
      </w:tr>
      <w:tr w:rsidR="008C45D6" w14:paraId="0DA03713" w14:textId="77777777">
        <w:tc>
          <w:tcPr>
            <w:tcW w:w="4320" w:type="dxa"/>
          </w:tcPr>
          <w:p w14:paraId="473D89A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D5DD87" w14:textId="7B410D82" w:rsidR="008C45D6" w:rsidRPr="009D0F15" w:rsidRDefault="009D0F15">
            <w:pPr>
              <w:rPr>
                <w:rFonts w:eastAsia="宋体"/>
                <w:lang w:eastAsia="zh-CN"/>
              </w:rPr>
            </w:pPr>
            <w:r>
              <w:rPr>
                <w:rFonts w:eastAsia="宋体" w:hint="eastAsia"/>
                <w:lang w:eastAsia="zh-CN"/>
              </w:rPr>
              <w:t>1</w:t>
            </w:r>
          </w:p>
        </w:tc>
      </w:tr>
      <w:tr w:rsidR="008C45D6" w14:paraId="308357FC" w14:textId="77777777">
        <w:tc>
          <w:tcPr>
            <w:tcW w:w="4320" w:type="dxa"/>
          </w:tcPr>
          <w:p w14:paraId="566D7BC3" w14:textId="77777777" w:rsidR="008C45D6" w:rsidRDefault="00000000">
            <w:r>
              <w:rPr>
                <w:rFonts w:ascii="仿宋" w:eastAsia="仿宋" w:hAnsi="仿宋"/>
              </w:rPr>
              <w:t>提取的事实</w:t>
            </w:r>
          </w:p>
        </w:tc>
        <w:tc>
          <w:tcPr>
            <w:tcW w:w="4320" w:type="dxa"/>
          </w:tcPr>
          <w:p w14:paraId="4131D9F5" w14:textId="77777777" w:rsidR="008C45D6" w:rsidRDefault="00000000">
            <w:r>
              <w:t>1. The statement indicates amyloid-β oligomers were infused into the brains of mice.</w:t>
            </w:r>
            <w:r>
              <w:br/>
              <w:t>2. The infusion of amyloid-β oligomers reportedly increased the expression of fibronectin type-III domain-containing protein 5 (FNDC5) mRNA in mouse hippocampi.</w:t>
            </w:r>
            <w:r>
              <w:br/>
              <w:t>3. The study was conducted on mice.</w:t>
            </w:r>
            <w:r>
              <w:br/>
            </w:r>
            <w:r>
              <w:lastRenderedPageBreak/>
              <w:t>4. The hippocampi is a region in the brain associated with memory and learning.</w:t>
            </w:r>
            <w:r>
              <w:br/>
              <w:t>5. The infusion of amyloid-β oligomers suggests a link with the pathology of Alzheimer's disease.</w:t>
            </w:r>
          </w:p>
        </w:tc>
      </w:tr>
      <w:tr w:rsidR="008C45D6" w14:paraId="1F31034F" w14:textId="77777777">
        <w:tc>
          <w:tcPr>
            <w:tcW w:w="4320" w:type="dxa"/>
          </w:tcPr>
          <w:p w14:paraId="39D3191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7575B1" w14:textId="72A13ABC" w:rsidR="008C45D6" w:rsidRPr="009D0F15" w:rsidRDefault="009D0F15">
            <w:pPr>
              <w:rPr>
                <w:rFonts w:eastAsia="宋体"/>
                <w:lang w:eastAsia="zh-CN"/>
              </w:rPr>
            </w:pPr>
            <w:r>
              <w:rPr>
                <w:rFonts w:eastAsia="宋体" w:hint="eastAsia"/>
                <w:lang w:eastAsia="zh-CN"/>
              </w:rPr>
              <w:t>8</w:t>
            </w:r>
            <w:r>
              <w:rPr>
                <w:rFonts w:eastAsia="宋体"/>
                <w:lang w:eastAsia="zh-CN"/>
              </w:rPr>
              <w:t>,7,4,1,3</w:t>
            </w:r>
          </w:p>
        </w:tc>
      </w:tr>
    </w:tbl>
    <w:p w14:paraId="3658B8DA"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8C45D6" w14:paraId="2A1D898E" w14:textId="77777777">
        <w:tc>
          <w:tcPr>
            <w:tcW w:w="4320" w:type="dxa"/>
          </w:tcPr>
          <w:p w14:paraId="04B86428" w14:textId="77777777" w:rsidR="008C45D6" w:rsidRDefault="00000000">
            <w:r>
              <w:t>ID</w:t>
            </w:r>
          </w:p>
        </w:tc>
        <w:tc>
          <w:tcPr>
            <w:tcW w:w="10080" w:type="dxa"/>
          </w:tcPr>
          <w:p w14:paraId="30E707A8" w14:textId="77777777" w:rsidR="008C45D6" w:rsidRDefault="00000000">
            <w:r>
              <w:t>388(6)</w:t>
            </w:r>
          </w:p>
        </w:tc>
      </w:tr>
      <w:tr w:rsidR="008C45D6" w14:paraId="036D8674" w14:textId="77777777">
        <w:tc>
          <w:tcPr>
            <w:tcW w:w="4320" w:type="dxa"/>
          </w:tcPr>
          <w:p w14:paraId="4A32D80A" w14:textId="77777777" w:rsidR="008C45D6" w:rsidRDefault="00000000">
            <w:r>
              <w:rPr>
                <w:rFonts w:ascii="仿宋" w:eastAsia="仿宋" w:hAnsi="仿宋"/>
              </w:rPr>
              <w:t>领域</w:t>
            </w:r>
          </w:p>
        </w:tc>
        <w:tc>
          <w:tcPr>
            <w:tcW w:w="4320" w:type="dxa"/>
          </w:tcPr>
          <w:p w14:paraId="1B96CE1A" w14:textId="77777777" w:rsidR="008C45D6" w:rsidRDefault="00000000">
            <w:r>
              <w:t>Science</w:t>
            </w:r>
          </w:p>
        </w:tc>
      </w:tr>
      <w:tr w:rsidR="008C45D6" w14:paraId="6E1725E0" w14:textId="77777777">
        <w:tc>
          <w:tcPr>
            <w:tcW w:w="4320" w:type="dxa"/>
          </w:tcPr>
          <w:p w14:paraId="1BCBBCCD" w14:textId="77777777" w:rsidR="008C45D6" w:rsidRDefault="00000000">
            <w:r>
              <w:rPr>
                <w:rFonts w:ascii="仿宋" w:eastAsia="仿宋" w:hAnsi="仿宋"/>
              </w:rPr>
              <w:t>用户问题</w:t>
            </w:r>
          </w:p>
        </w:tc>
        <w:tc>
          <w:tcPr>
            <w:tcW w:w="4320" w:type="dxa"/>
          </w:tcPr>
          <w:p w14:paraId="7216C1D6" w14:textId="77777777" w:rsidR="008C45D6" w:rsidRDefault="00000000">
            <w:r>
              <w:t>Can you clarify whether the claim "Klf2 is important for proper myeloid cell function." is accurate or not? Build factual arguments about the claim.</w:t>
            </w:r>
          </w:p>
        </w:tc>
      </w:tr>
      <w:tr w:rsidR="008C45D6" w14:paraId="70420171" w14:textId="77777777">
        <w:tc>
          <w:tcPr>
            <w:tcW w:w="4320" w:type="dxa"/>
          </w:tcPr>
          <w:p w14:paraId="0914FB6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FCC5EE" w14:textId="29D6EC68" w:rsidR="008C45D6" w:rsidRPr="009D0F15" w:rsidRDefault="009D0F15">
            <w:pPr>
              <w:rPr>
                <w:rFonts w:eastAsia="宋体"/>
                <w:lang w:eastAsia="zh-CN"/>
              </w:rPr>
            </w:pPr>
            <w:r>
              <w:rPr>
                <w:rFonts w:eastAsia="宋体"/>
                <w:lang w:eastAsia="zh-CN"/>
              </w:rPr>
              <w:t>2,1,2</w:t>
            </w:r>
          </w:p>
        </w:tc>
      </w:tr>
      <w:tr w:rsidR="008C45D6" w14:paraId="6896A83D" w14:textId="77777777">
        <w:tc>
          <w:tcPr>
            <w:tcW w:w="4320" w:type="dxa"/>
          </w:tcPr>
          <w:p w14:paraId="2F3E3EEB" w14:textId="77777777" w:rsidR="008C45D6" w:rsidRDefault="00000000">
            <w:r>
              <w:rPr>
                <w:rFonts w:ascii="仿宋" w:eastAsia="仿宋" w:hAnsi="仿宋"/>
              </w:rPr>
              <w:t>模型回复</w:t>
            </w:r>
          </w:p>
        </w:tc>
        <w:tc>
          <w:tcPr>
            <w:tcW w:w="4320" w:type="dxa"/>
          </w:tcPr>
          <w:p w14:paraId="02008262" w14:textId="77777777" w:rsidR="008C45D6" w:rsidRDefault="00000000">
            <w:r>
              <w:t>To determine whether the claim "Klf2 is important for proper myeloid cell function" is accurate, we need to explore the available evidence and consider factual arguments:</w:t>
            </w:r>
            <w:r>
              <w:br/>
              <w:t>1. Expression of Klf2 in myeloid cells: Klf2 has been found to be expressed in various myeloid cell populations, including monocytes, macrophages, and dendritic cells, suggesting a potential role in myeloid cell function.</w:t>
            </w:r>
            <w:r>
              <w:br/>
              <w:t>2. Influence on myeloid cell development: Studies have shown that Klf2 deficiency can impact the development and differentiation of myeloid cells. For example, in mice lacking Klf2, there are alterations in the production and maturation of myeloid progenitors, leading to abnormal myelopoiesis.</w:t>
            </w:r>
            <w:r>
              <w:br/>
              <w:t xml:space="preserve">3. Immune response regulation: Klf2 has been shown to play a role in regulating immune responses. It can modulate the </w:t>
            </w:r>
            <w:r>
              <w:lastRenderedPageBreak/>
              <w:t>expression of genes involved in immune cell activation, cytokine production, and phagocytosis, which are critical functions of myeloid cells.</w:t>
            </w:r>
            <w:r>
              <w:br/>
              <w:t>4. Regulatory role in inflammation: Myeloid cells, such as macrophages, participate in inflammatory responses. Several studies have implicated Klf2 in the regulation of inflammation. Klf2 has been shown to dampen inflammatory signaling pathways and reduce the production of pro-inflammatory cytokines in myeloid cells.</w:t>
            </w:r>
            <w:r>
              <w:br/>
              <w:t>5. Disease associations: Alterations in Klf2 expression or function have been linked to diseases involving myeloid cells. For example, Klf2 deficiency in myeloid cells has been associated with enhanced pro-inflammatory responses and increased susceptibility to experimental models of inflammatory diseases, such as atherosclerosis and endotoxemia.</w:t>
            </w:r>
            <w:r>
              <w:br/>
              <w:t>Based on these factual arguments, there is evidence to support the claim that Klf2 is important for proper myeloid cell function. Klf2 appears to influence myeloid cell development, immune response regulation, and inflammation, all of which are essential for the appropriate functioning of myeloid cells.</w:t>
            </w:r>
          </w:p>
        </w:tc>
      </w:tr>
      <w:tr w:rsidR="008C45D6" w14:paraId="622F1393" w14:textId="77777777">
        <w:tc>
          <w:tcPr>
            <w:tcW w:w="4320" w:type="dxa"/>
          </w:tcPr>
          <w:p w14:paraId="76C126A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F55E49" w14:textId="35382241" w:rsidR="008C45D6" w:rsidRPr="009D0F15" w:rsidRDefault="009D0F15">
            <w:pPr>
              <w:rPr>
                <w:rFonts w:eastAsia="宋体"/>
                <w:lang w:eastAsia="zh-CN"/>
              </w:rPr>
            </w:pPr>
            <w:r>
              <w:rPr>
                <w:rFonts w:eastAsia="宋体" w:hint="eastAsia"/>
                <w:lang w:eastAsia="zh-CN"/>
              </w:rPr>
              <w:t>1</w:t>
            </w:r>
          </w:p>
        </w:tc>
      </w:tr>
      <w:tr w:rsidR="008C45D6" w14:paraId="55157696" w14:textId="77777777">
        <w:tc>
          <w:tcPr>
            <w:tcW w:w="4320" w:type="dxa"/>
          </w:tcPr>
          <w:p w14:paraId="430ECE63" w14:textId="77777777" w:rsidR="008C45D6" w:rsidRDefault="00000000">
            <w:r>
              <w:rPr>
                <w:rFonts w:ascii="仿宋" w:eastAsia="仿宋" w:hAnsi="仿宋"/>
              </w:rPr>
              <w:t>提取的事实</w:t>
            </w:r>
          </w:p>
        </w:tc>
        <w:tc>
          <w:tcPr>
            <w:tcW w:w="4320" w:type="dxa"/>
          </w:tcPr>
          <w:p w14:paraId="2A107998" w14:textId="2CDA6310" w:rsidR="008C45D6" w:rsidRDefault="00000000">
            <w:r>
              <w:t>1. The gene Klf2 is expressed in various myeloid cell populations, including monocytes, macrophages, and dendritic cells.</w:t>
            </w:r>
            <w:r>
              <w:br/>
              <w:t>2. Studies have demonstrated a correlation between Klf2 deficiency and altered development and differentiation of myeloid cells.</w:t>
            </w:r>
            <w:r>
              <w:br/>
              <w:t>3. Klf2 plays a role in regulating immune responses, including the modulation of immune cell activation, cytokine production, and phagocytosis.</w:t>
            </w:r>
            <w:r>
              <w:br/>
              <w:t>4. Klf2 has been shown to dampen inflammatory signaling pathways and reduce the production of pro-inflammatory cytokines in myeloid cells.</w:t>
            </w:r>
            <w:r>
              <w:br/>
              <w:t xml:space="preserve">5. Alterations in Klf2 expression or function have been </w:t>
            </w:r>
            <w:r>
              <w:lastRenderedPageBreak/>
              <w:t>associated with increased susceptibility to inflammatory diseases such as atherosclerosis and endotoxemia.</w:t>
            </w:r>
          </w:p>
        </w:tc>
      </w:tr>
      <w:tr w:rsidR="008C45D6" w14:paraId="55FE4CBB" w14:textId="77777777">
        <w:tc>
          <w:tcPr>
            <w:tcW w:w="4320" w:type="dxa"/>
          </w:tcPr>
          <w:p w14:paraId="33734570"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3BB792" w14:textId="3789AC3B" w:rsidR="008C45D6" w:rsidRPr="009D0F15" w:rsidRDefault="000E64CB">
            <w:pPr>
              <w:rPr>
                <w:rFonts w:eastAsia="宋体"/>
                <w:lang w:eastAsia="zh-CN"/>
              </w:rPr>
            </w:pPr>
            <w:r>
              <w:rPr>
                <w:rFonts w:eastAsia="宋体"/>
                <w:lang w:eastAsia="zh-CN"/>
              </w:rPr>
              <w:t>7</w:t>
            </w:r>
            <w:r w:rsidR="009D0F15">
              <w:rPr>
                <w:rFonts w:eastAsia="宋体"/>
                <w:lang w:eastAsia="zh-CN"/>
              </w:rPr>
              <w:t>,</w:t>
            </w:r>
            <w:r>
              <w:rPr>
                <w:rFonts w:eastAsia="宋体"/>
                <w:lang w:eastAsia="zh-CN"/>
              </w:rPr>
              <w:t>7</w:t>
            </w:r>
            <w:r w:rsidR="009D0F15">
              <w:rPr>
                <w:rFonts w:eastAsia="宋体"/>
                <w:lang w:eastAsia="zh-CN"/>
              </w:rPr>
              <w:t>,</w:t>
            </w:r>
            <w:r>
              <w:rPr>
                <w:rFonts w:eastAsia="宋体"/>
                <w:lang w:eastAsia="zh-CN"/>
              </w:rPr>
              <w:t>7</w:t>
            </w:r>
            <w:r w:rsidR="009D0F15">
              <w:rPr>
                <w:rFonts w:eastAsia="宋体"/>
                <w:lang w:eastAsia="zh-CN"/>
              </w:rPr>
              <w:t>,7,</w:t>
            </w:r>
            <w:r>
              <w:rPr>
                <w:rFonts w:eastAsia="宋体"/>
                <w:lang w:eastAsia="zh-CN"/>
              </w:rPr>
              <w:t>7</w:t>
            </w:r>
          </w:p>
        </w:tc>
      </w:tr>
    </w:tbl>
    <w:p w14:paraId="17D282F8"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46CC69EF" w14:textId="77777777">
        <w:tc>
          <w:tcPr>
            <w:tcW w:w="4320" w:type="dxa"/>
          </w:tcPr>
          <w:p w14:paraId="01F72031" w14:textId="77777777" w:rsidR="008C45D6" w:rsidRDefault="00000000">
            <w:r>
              <w:t>ID</w:t>
            </w:r>
          </w:p>
        </w:tc>
        <w:tc>
          <w:tcPr>
            <w:tcW w:w="10080" w:type="dxa"/>
          </w:tcPr>
          <w:p w14:paraId="009A9ED8" w14:textId="77777777" w:rsidR="008C45D6" w:rsidRDefault="00000000">
            <w:r>
              <w:t>390(7)</w:t>
            </w:r>
          </w:p>
        </w:tc>
      </w:tr>
      <w:tr w:rsidR="008C45D6" w14:paraId="776C4D08" w14:textId="77777777">
        <w:tc>
          <w:tcPr>
            <w:tcW w:w="4320" w:type="dxa"/>
          </w:tcPr>
          <w:p w14:paraId="2B08DFC5" w14:textId="77777777" w:rsidR="008C45D6" w:rsidRDefault="00000000">
            <w:r>
              <w:rPr>
                <w:rFonts w:ascii="仿宋" w:eastAsia="仿宋" w:hAnsi="仿宋"/>
              </w:rPr>
              <w:t>领域</w:t>
            </w:r>
          </w:p>
        </w:tc>
        <w:tc>
          <w:tcPr>
            <w:tcW w:w="4320" w:type="dxa"/>
          </w:tcPr>
          <w:p w14:paraId="0E7D4928" w14:textId="77777777" w:rsidR="008C45D6" w:rsidRDefault="00000000">
            <w:r>
              <w:t>Science</w:t>
            </w:r>
          </w:p>
        </w:tc>
      </w:tr>
      <w:tr w:rsidR="008C45D6" w14:paraId="6E8DFA40" w14:textId="77777777">
        <w:tc>
          <w:tcPr>
            <w:tcW w:w="4320" w:type="dxa"/>
          </w:tcPr>
          <w:p w14:paraId="10D43361" w14:textId="77777777" w:rsidR="008C45D6" w:rsidRDefault="00000000">
            <w:r>
              <w:rPr>
                <w:rFonts w:ascii="仿宋" w:eastAsia="仿宋" w:hAnsi="仿宋"/>
              </w:rPr>
              <w:t>用户问题</w:t>
            </w:r>
          </w:p>
        </w:tc>
        <w:tc>
          <w:tcPr>
            <w:tcW w:w="4320" w:type="dxa"/>
          </w:tcPr>
          <w:p w14:paraId="37C3D34D" w14:textId="77777777" w:rsidR="008C45D6" w:rsidRDefault="00000000">
            <w:r>
              <w:t>Consider the following statement: "Klf4 is not required for proper myeloid cell differentiation." Is it right? Present fact-based arguments about the statement.</w:t>
            </w:r>
          </w:p>
        </w:tc>
      </w:tr>
      <w:tr w:rsidR="008C45D6" w14:paraId="47F794B9" w14:textId="77777777">
        <w:tc>
          <w:tcPr>
            <w:tcW w:w="4320" w:type="dxa"/>
          </w:tcPr>
          <w:p w14:paraId="57C65BD0"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BD306C" w14:textId="0F84590B" w:rsidR="008C45D6" w:rsidRPr="00DA0810" w:rsidRDefault="00DA0810">
            <w:pPr>
              <w:rPr>
                <w:rFonts w:eastAsia="宋体"/>
                <w:lang w:eastAsia="zh-CN"/>
              </w:rPr>
            </w:pPr>
            <w:r>
              <w:rPr>
                <w:rFonts w:eastAsia="宋体"/>
                <w:lang w:eastAsia="zh-CN"/>
              </w:rPr>
              <w:t>4,3,2</w:t>
            </w:r>
          </w:p>
        </w:tc>
      </w:tr>
      <w:tr w:rsidR="008C45D6" w14:paraId="04420BCC" w14:textId="77777777">
        <w:tc>
          <w:tcPr>
            <w:tcW w:w="4320" w:type="dxa"/>
          </w:tcPr>
          <w:p w14:paraId="00114FDB" w14:textId="77777777" w:rsidR="008C45D6" w:rsidRDefault="00000000">
            <w:r>
              <w:rPr>
                <w:rFonts w:ascii="仿宋" w:eastAsia="仿宋" w:hAnsi="仿宋"/>
              </w:rPr>
              <w:t>模型回复</w:t>
            </w:r>
          </w:p>
        </w:tc>
        <w:tc>
          <w:tcPr>
            <w:tcW w:w="4320" w:type="dxa"/>
          </w:tcPr>
          <w:p w14:paraId="33314573" w14:textId="77777777" w:rsidR="008C45D6" w:rsidRDefault="00000000">
            <w:r>
              <w:t xml:space="preserve">To determine the accuracy of the statement "Klf4 is not required for proper myeloid cell differentiation," we need to examine existing scientific evidence. </w:t>
            </w:r>
            <w:r>
              <w:br/>
              <w:t>1. Experimental studies: Several studies have investigated the role of Klf4 in myeloid cell differentiation. One study published in the Journal of Experimental Medicine (1) demonstrated that Klf4 plays a crucial role in promoting monocyte to dendritic cell (DC) differentiation. It showed that Klf4 deficiency led to impaired DC development, suggesting that Klf4 is necessary for proper myeloid cell differentiation.</w:t>
            </w:r>
            <w:r>
              <w:br/>
              <w:t xml:space="preserve">2. Genetic knockout models: Another study published in Nature Immunology (2) utilized a conditional gene knockout approach to selectively remove Klf4 in myeloid cells. Their results showed that Klf4-deficient mice had defects in </w:t>
            </w:r>
            <w:r>
              <w:lastRenderedPageBreak/>
              <w:t>monocyte and DC development, further supporting the requirement of Klf4 in myeloid cell differentiation.</w:t>
            </w:r>
            <w:r>
              <w:br/>
              <w:t>3. Gene expression data: Gene expression studies have also indicated the involvement of Klf4 in myeloid differentiation. Research published in the Journal of Leukocyte Biology (3) demonstrated that Klf4 expression is upregulated during monocyte-to-macrophage differentiation, suggesting its involvement in this process.</w:t>
            </w:r>
            <w:r>
              <w:br/>
              <w:t>4. Clinical relevance: In a clinical context, decreased expression of Klf4 has been linked to various myeloid disorders. For example, a study published in the Journal of Hematology &amp; Oncology (4) reported reduced Klf4 expression in pediatric acute myeloid leukemia (AML) patients. This implies that Klf4 dysregulation may contribute to the development or progression of myeloid malignancies.</w:t>
            </w:r>
            <w:r>
              <w:br/>
              <w:t>Overall, the available evidence supports the importance of Klf4 in myeloid cell differentiation. Studies employing different experimental approaches consistently demonstrate its requirement for proper differentiation of monocytes, dendritic cells, and potentially other myeloid cell types. Therefore, it can be concluded that the statement "Klf4 is not required for proper myeloid cell differentiation" is not accurate.</w:t>
            </w:r>
            <w:r>
              <w:br/>
              <w:t>References:</w:t>
            </w:r>
            <w:r>
              <w:br/>
              <w:t>1. Heng, T. S. et al. The transcriptional cofactor p300 represents a novel therapeutic target in postproliferative inflammatory lung disease. Journal of Experimental Medicine, 210(3), 503-513 (2013).</w:t>
            </w:r>
            <w:r>
              <w:br/>
              <w:t>2. Peeters, J. G. et al. Monocytes represent a source of Notch ligand in patients with rheumatoid arthritis. Journal of Immunology, 205(12), 3443-3452 (2020).</w:t>
            </w:r>
            <w:r>
              <w:br/>
              <w:t>3. Cao, X. et al. Forces shaping the morphological features of dendritic cells that present antigen to T cells. Science, 355(6332), eaal0112 (2017).</w:t>
            </w:r>
            <w:r>
              <w:br/>
              <w:t>4. Camargo, F. d. M. et al. KLF4 is downregulated in pediatric acute myeloid leukemia and targets CD34+CD38− population of leukemic cells. Journal of Hematology &amp; Oncology, 11(1), 11 (2018).</w:t>
            </w:r>
          </w:p>
        </w:tc>
      </w:tr>
      <w:tr w:rsidR="008C45D6" w14:paraId="1F348C46" w14:textId="77777777">
        <w:tc>
          <w:tcPr>
            <w:tcW w:w="4320" w:type="dxa"/>
          </w:tcPr>
          <w:p w14:paraId="74CB490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5BC9889" w14:textId="6358C253" w:rsidR="008C45D6" w:rsidRPr="00DA0810" w:rsidRDefault="00DA0810">
            <w:pPr>
              <w:rPr>
                <w:rFonts w:eastAsia="宋体"/>
                <w:lang w:eastAsia="zh-CN"/>
              </w:rPr>
            </w:pPr>
            <w:r>
              <w:rPr>
                <w:rFonts w:eastAsia="宋体" w:hint="eastAsia"/>
                <w:lang w:eastAsia="zh-CN"/>
              </w:rPr>
              <w:t>1</w:t>
            </w:r>
          </w:p>
        </w:tc>
      </w:tr>
      <w:tr w:rsidR="008C45D6" w14:paraId="2ABA578E" w14:textId="77777777">
        <w:tc>
          <w:tcPr>
            <w:tcW w:w="4320" w:type="dxa"/>
          </w:tcPr>
          <w:p w14:paraId="3DF61E5D" w14:textId="77777777" w:rsidR="008C45D6" w:rsidRDefault="00000000">
            <w:r>
              <w:rPr>
                <w:rFonts w:ascii="仿宋" w:eastAsia="仿宋" w:hAnsi="仿宋"/>
              </w:rPr>
              <w:t>提取的事实</w:t>
            </w:r>
          </w:p>
        </w:tc>
        <w:tc>
          <w:tcPr>
            <w:tcW w:w="4320" w:type="dxa"/>
          </w:tcPr>
          <w:p w14:paraId="25F7B3D2" w14:textId="77777777" w:rsidR="008C45D6" w:rsidRDefault="00000000">
            <w:r>
              <w:t>1. Klf4 plays a crucial role in promoting monocyte to dendritic cell differentiation as shown in a study published in the Journal of Experimental Medicine.</w:t>
            </w:r>
            <w:r>
              <w:br/>
              <w:t>2. Klf4 deficiency led to impaired dendritic cell development.</w:t>
            </w:r>
            <w:r>
              <w:br/>
              <w:t>3. A study in Nature Immunology showed that Klf4-deficient mice had defects in monocyte and dendritic cell development.</w:t>
            </w:r>
            <w:r>
              <w:br/>
              <w:t>4. Research in the Journal of Leukocyte Biology demonstrated that Klf4 expression is upregulated during monocyte-to-macrophage differentiation.</w:t>
            </w:r>
            <w:r>
              <w:br/>
              <w:t>5. Reduced Klf4 expression has been linked to various myeloid disorders and specifically pediatric acute myeloid leukemia as reported in the Journal of Hematology &amp; Oncology.</w:t>
            </w:r>
          </w:p>
        </w:tc>
      </w:tr>
      <w:tr w:rsidR="008C45D6" w14:paraId="7E632CFC" w14:textId="77777777">
        <w:tc>
          <w:tcPr>
            <w:tcW w:w="4320" w:type="dxa"/>
          </w:tcPr>
          <w:p w14:paraId="49BDBB60"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CA3515" w14:textId="37659589" w:rsidR="008C45D6" w:rsidRPr="00DA0810" w:rsidRDefault="000E64CB">
            <w:pPr>
              <w:rPr>
                <w:rFonts w:eastAsia="宋体"/>
                <w:lang w:eastAsia="zh-CN"/>
              </w:rPr>
            </w:pPr>
            <w:r>
              <w:rPr>
                <w:rFonts w:eastAsia="宋体"/>
                <w:lang w:eastAsia="zh-CN"/>
              </w:rPr>
              <w:t>7</w:t>
            </w:r>
            <w:r w:rsidR="00DA0810">
              <w:rPr>
                <w:rFonts w:eastAsia="宋体"/>
                <w:lang w:eastAsia="zh-CN"/>
              </w:rPr>
              <w:t>,6,</w:t>
            </w:r>
            <w:r>
              <w:rPr>
                <w:rFonts w:eastAsia="宋体"/>
                <w:lang w:eastAsia="zh-CN"/>
              </w:rPr>
              <w:t>7</w:t>
            </w:r>
            <w:r w:rsidR="00DA0810">
              <w:rPr>
                <w:rFonts w:eastAsia="宋体"/>
                <w:lang w:eastAsia="zh-CN"/>
              </w:rPr>
              <w:t>,</w:t>
            </w:r>
            <w:r>
              <w:rPr>
                <w:rFonts w:eastAsia="宋体"/>
                <w:lang w:eastAsia="zh-CN"/>
              </w:rPr>
              <w:t>7</w:t>
            </w:r>
            <w:r w:rsidR="00DA0810">
              <w:rPr>
                <w:rFonts w:eastAsia="宋体"/>
                <w:lang w:eastAsia="zh-CN"/>
              </w:rPr>
              <w:t>,</w:t>
            </w:r>
            <w:r>
              <w:rPr>
                <w:rFonts w:eastAsia="宋体"/>
                <w:lang w:eastAsia="zh-CN"/>
              </w:rPr>
              <w:t>7</w:t>
            </w:r>
          </w:p>
        </w:tc>
      </w:tr>
    </w:tbl>
    <w:p w14:paraId="3DC1AEE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8C45D6" w14:paraId="6A7E5082" w14:textId="77777777">
        <w:tc>
          <w:tcPr>
            <w:tcW w:w="4320" w:type="dxa"/>
          </w:tcPr>
          <w:p w14:paraId="4A5F37AB" w14:textId="77777777" w:rsidR="008C45D6" w:rsidRDefault="00000000">
            <w:r>
              <w:t>ID</w:t>
            </w:r>
          </w:p>
        </w:tc>
        <w:tc>
          <w:tcPr>
            <w:tcW w:w="10080" w:type="dxa"/>
          </w:tcPr>
          <w:p w14:paraId="41E788F7" w14:textId="77777777" w:rsidR="008C45D6" w:rsidRDefault="00000000">
            <w:r>
              <w:t>391(8)</w:t>
            </w:r>
          </w:p>
        </w:tc>
      </w:tr>
      <w:tr w:rsidR="008C45D6" w14:paraId="21DA650F" w14:textId="77777777">
        <w:tc>
          <w:tcPr>
            <w:tcW w:w="4320" w:type="dxa"/>
          </w:tcPr>
          <w:p w14:paraId="0AE370D5" w14:textId="77777777" w:rsidR="008C45D6" w:rsidRDefault="00000000">
            <w:r>
              <w:rPr>
                <w:rFonts w:ascii="仿宋" w:eastAsia="仿宋" w:hAnsi="仿宋"/>
              </w:rPr>
              <w:t>领域</w:t>
            </w:r>
          </w:p>
        </w:tc>
        <w:tc>
          <w:tcPr>
            <w:tcW w:w="4320" w:type="dxa"/>
          </w:tcPr>
          <w:p w14:paraId="526C5A8B" w14:textId="77777777" w:rsidR="008C45D6" w:rsidRDefault="00000000">
            <w:r>
              <w:t>Science</w:t>
            </w:r>
          </w:p>
        </w:tc>
      </w:tr>
      <w:tr w:rsidR="008C45D6" w14:paraId="595E0A0E" w14:textId="77777777">
        <w:tc>
          <w:tcPr>
            <w:tcW w:w="4320" w:type="dxa"/>
          </w:tcPr>
          <w:p w14:paraId="5263ACC4" w14:textId="77777777" w:rsidR="008C45D6" w:rsidRDefault="00000000">
            <w:r>
              <w:rPr>
                <w:rFonts w:ascii="仿宋" w:eastAsia="仿宋" w:hAnsi="仿宋"/>
              </w:rPr>
              <w:t>用户问题</w:t>
            </w:r>
          </w:p>
        </w:tc>
        <w:tc>
          <w:tcPr>
            <w:tcW w:w="4320" w:type="dxa"/>
          </w:tcPr>
          <w:p w14:paraId="54E7BD82" w14:textId="77777777" w:rsidR="008C45D6" w:rsidRDefault="00000000">
            <w:r>
              <w:t>Do you agree with the claim that "Knockout proximal tubule-specific deletion of the BMP receptor Alk3 causes epithelial damage."? Provide factual statements about the claim.</w:t>
            </w:r>
          </w:p>
        </w:tc>
      </w:tr>
      <w:tr w:rsidR="008C45D6" w14:paraId="47359A60" w14:textId="77777777">
        <w:tc>
          <w:tcPr>
            <w:tcW w:w="4320" w:type="dxa"/>
          </w:tcPr>
          <w:p w14:paraId="07B48F2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E4C3BB" w14:textId="16C8E584" w:rsidR="008C45D6" w:rsidRPr="00DA0810" w:rsidRDefault="00DA0810">
            <w:pPr>
              <w:rPr>
                <w:rFonts w:eastAsia="宋体"/>
                <w:lang w:eastAsia="zh-CN"/>
              </w:rPr>
            </w:pPr>
            <w:r>
              <w:rPr>
                <w:rFonts w:eastAsia="宋体"/>
                <w:lang w:eastAsia="zh-CN"/>
              </w:rPr>
              <w:t>5,4,4</w:t>
            </w:r>
          </w:p>
        </w:tc>
      </w:tr>
      <w:tr w:rsidR="008C45D6" w14:paraId="3C3BC0C5" w14:textId="77777777">
        <w:tc>
          <w:tcPr>
            <w:tcW w:w="4320" w:type="dxa"/>
          </w:tcPr>
          <w:p w14:paraId="6E702C9D" w14:textId="77777777" w:rsidR="008C45D6" w:rsidRDefault="00000000">
            <w:r>
              <w:rPr>
                <w:rFonts w:ascii="仿宋" w:eastAsia="仿宋" w:hAnsi="仿宋"/>
              </w:rPr>
              <w:t>模型回复</w:t>
            </w:r>
          </w:p>
        </w:tc>
        <w:tc>
          <w:tcPr>
            <w:tcW w:w="4320" w:type="dxa"/>
          </w:tcPr>
          <w:p w14:paraId="606C77C6" w14:textId="77777777" w:rsidR="008C45D6" w:rsidRDefault="00000000">
            <w:r>
              <w:t xml:space="preserve">As an AI language model, I can provide information on the topic, but I cannot state personal opinions or beliefs. </w:t>
            </w:r>
            <w:r>
              <w:br/>
            </w:r>
            <w:r>
              <w:lastRenderedPageBreak/>
              <w:t xml:space="preserve">The claim you mentioned suggests that deleting the BMP receptor Alk3 specifically in the proximal tubule causes epithelial damage. Whether this claim is accurate or not depends on scientific research and evidence. </w:t>
            </w:r>
            <w:r>
              <w:br/>
              <w:t>Based on available literature, there is support for this claim. Here are some factual statements about the claim:</w:t>
            </w:r>
            <w:r>
              <w:br/>
              <w:t xml:space="preserve">1. BMP receptor Alk3 (also known as BMPR1A) is actively expressed in the proximal tubules of the kidney. </w:t>
            </w:r>
            <w:r>
              <w:br/>
              <w:t>2. Proximal tubules play a crucial role in kidney function by reabsorbing water, electrolytes, and other substances from the glomerular filtrate.</w:t>
            </w:r>
            <w:r>
              <w:br/>
              <w:t>3. Research suggests that bone morphogenetic protein (BMP) signaling mediated by Alk3 in the kidney is involved in maintaining renal homeostasis and contributing to the normal function of tubular epithelial cells.</w:t>
            </w:r>
            <w:r>
              <w:br/>
              <w:t>4. Studies conducted on mice with knockout (deletion) of the Alk3 receptor specifically in the proximal tubules have shown detrimental effects on the epithelial cells of the tubules.</w:t>
            </w:r>
            <w:r>
              <w:br/>
              <w:t>5. One study published in the Journal of the American Society of Nephrology in 2008 demonstrated that knockout of Alk3 in proximal tubules caused severe renal epithelial damage, leading to chronic kidney disease and impaired kidney function in the tested mice.</w:t>
            </w:r>
            <w:r>
              <w:br/>
              <w:t>Therefore, the claim that knockout proximal tubule-specific deletion of the BMP receptor Alk3 causes epithelial damage finds support in scientific studies, suggesting a negative impact on renal function. It's important to note that further research and studies may continue to contribute to our understanding of this topic.</w:t>
            </w:r>
          </w:p>
        </w:tc>
      </w:tr>
      <w:tr w:rsidR="008C45D6" w14:paraId="5050E772" w14:textId="77777777">
        <w:tc>
          <w:tcPr>
            <w:tcW w:w="4320" w:type="dxa"/>
          </w:tcPr>
          <w:p w14:paraId="5B5F173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0B588C" w14:textId="70B876FD" w:rsidR="008C45D6" w:rsidRPr="00DA0810" w:rsidRDefault="00DA0810">
            <w:pPr>
              <w:rPr>
                <w:rFonts w:eastAsia="宋体"/>
                <w:lang w:eastAsia="zh-CN"/>
              </w:rPr>
            </w:pPr>
            <w:r>
              <w:rPr>
                <w:rFonts w:eastAsia="宋体" w:hint="eastAsia"/>
                <w:lang w:eastAsia="zh-CN"/>
              </w:rPr>
              <w:t>1</w:t>
            </w:r>
          </w:p>
        </w:tc>
      </w:tr>
      <w:tr w:rsidR="008C45D6" w14:paraId="3CA1EB7C" w14:textId="77777777">
        <w:tc>
          <w:tcPr>
            <w:tcW w:w="4320" w:type="dxa"/>
          </w:tcPr>
          <w:p w14:paraId="4ACBF288" w14:textId="77777777" w:rsidR="008C45D6" w:rsidRDefault="00000000">
            <w:r>
              <w:rPr>
                <w:rFonts w:ascii="仿宋" w:eastAsia="仿宋" w:hAnsi="仿宋"/>
              </w:rPr>
              <w:t>提取的事实</w:t>
            </w:r>
          </w:p>
        </w:tc>
        <w:tc>
          <w:tcPr>
            <w:tcW w:w="4320" w:type="dxa"/>
          </w:tcPr>
          <w:p w14:paraId="0D241763" w14:textId="77777777" w:rsidR="008C45D6" w:rsidRDefault="00000000">
            <w:r>
              <w:t>1. BMP receptor Alk3 is actively expressed in the proximal tubules of the kidney.</w:t>
            </w:r>
            <w:r>
              <w:br/>
              <w:t>2. Proximal tubules play a crucial role in kidney function by reabsorbing water, electrolytes, and other substances from the glomerular filtrate.</w:t>
            </w:r>
            <w:r>
              <w:br/>
            </w:r>
            <w:r>
              <w:lastRenderedPageBreak/>
              <w:t>3. Bone morphogenetic protein (BMP) signaling mediated by Alk3 in the kidney is involved in maintaining renal homeostasis.</w:t>
            </w:r>
            <w:r>
              <w:br/>
              <w:t>4. Mice studies show detrimental effects on the epithelial cells of the tubules with the knockout of Alk3 receptor.</w:t>
            </w:r>
            <w:r>
              <w:br/>
              <w:t>5. A study published in the Journal of the American Society of Nephrology in 2008 showed that knockout of Alk3 in proximal tubules led to renal epithelial damage and impaired kidney function.</w:t>
            </w:r>
          </w:p>
        </w:tc>
      </w:tr>
      <w:tr w:rsidR="008C45D6" w14:paraId="4AF76CDE" w14:textId="77777777">
        <w:tc>
          <w:tcPr>
            <w:tcW w:w="4320" w:type="dxa"/>
          </w:tcPr>
          <w:p w14:paraId="2AD3C89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C23852" w14:textId="3E5ED726" w:rsidR="008C45D6" w:rsidRPr="00DA0810" w:rsidRDefault="00305B01">
            <w:pPr>
              <w:rPr>
                <w:rFonts w:eastAsia="宋体"/>
                <w:lang w:eastAsia="zh-CN"/>
              </w:rPr>
            </w:pPr>
            <w:r>
              <w:rPr>
                <w:rFonts w:eastAsia="宋体"/>
                <w:lang w:eastAsia="zh-CN"/>
              </w:rPr>
              <w:t>2</w:t>
            </w:r>
            <w:r w:rsidR="00DA0810">
              <w:rPr>
                <w:rFonts w:eastAsia="宋体"/>
                <w:lang w:eastAsia="zh-CN"/>
              </w:rPr>
              <w:t>,1,</w:t>
            </w:r>
            <w:r>
              <w:rPr>
                <w:rFonts w:eastAsia="宋体"/>
                <w:lang w:eastAsia="zh-CN"/>
              </w:rPr>
              <w:t>3</w:t>
            </w:r>
            <w:r w:rsidR="00DA0810">
              <w:rPr>
                <w:rFonts w:eastAsia="宋体"/>
                <w:lang w:eastAsia="zh-CN"/>
              </w:rPr>
              <w:t>,7,</w:t>
            </w:r>
            <w:r>
              <w:rPr>
                <w:rFonts w:eastAsia="宋体"/>
                <w:lang w:eastAsia="zh-CN"/>
              </w:rPr>
              <w:t>7</w:t>
            </w:r>
          </w:p>
        </w:tc>
      </w:tr>
    </w:tbl>
    <w:p w14:paraId="11185AA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3"/>
        <w:gridCol w:w="6057"/>
      </w:tblGrid>
      <w:tr w:rsidR="008C45D6" w14:paraId="29F84886" w14:textId="77777777">
        <w:tc>
          <w:tcPr>
            <w:tcW w:w="4320" w:type="dxa"/>
          </w:tcPr>
          <w:p w14:paraId="6E59FED2" w14:textId="77777777" w:rsidR="008C45D6" w:rsidRDefault="00000000">
            <w:r>
              <w:t>ID</w:t>
            </w:r>
          </w:p>
        </w:tc>
        <w:tc>
          <w:tcPr>
            <w:tcW w:w="10080" w:type="dxa"/>
          </w:tcPr>
          <w:p w14:paraId="0D91B5CE" w14:textId="77777777" w:rsidR="008C45D6" w:rsidRDefault="00000000">
            <w:r>
              <w:t>395(9)</w:t>
            </w:r>
          </w:p>
        </w:tc>
      </w:tr>
      <w:tr w:rsidR="008C45D6" w14:paraId="39203EF7" w14:textId="77777777">
        <w:tc>
          <w:tcPr>
            <w:tcW w:w="4320" w:type="dxa"/>
          </w:tcPr>
          <w:p w14:paraId="3503085C" w14:textId="77777777" w:rsidR="008C45D6" w:rsidRDefault="00000000">
            <w:r>
              <w:rPr>
                <w:rFonts w:ascii="仿宋" w:eastAsia="仿宋" w:hAnsi="仿宋"/>
              </w:rPr>
              <w:t>领域</w:t>
            </w:r>
          </w:p>
        </w:tc>
        <w:tc>
          <w:tcPr>
            <w:tcW w:w="4320" w:type="dxa"/>
          </w:tcPr>
          <w:p w14:paraId="5064766E" w14:textId="77777777" w:rsidR="008C45D6" w:rsidRDefault="00000000">
            <w:r>
              <w:t>Science</w:t>
            </w:r>
          </w:p>
        </w:tc>
      </w:tr>
      <w:tr w:rsidR="008C45D6" w14:paraId="55A814D1" w14:textId="77777777">
        <w:tc>
          <w:tcPr>
            <w:tcW w:w="4320" w:type="dxa"/>
          </w:tcPr>
          <w:p w14:paraId="251C5DE0" w14:textId="77777777" w:rsidR="008C45D6" w:rsidRDefault="00000000">
            <w:r>
              <w:rPr>
                <w:rFonts w:ascii="仿宋" w:eastAsia="仿宋" w:hAnsi="仿宋"/>
              </w:rPr>
              <w:t>用户问题</w:t>
            </w:r>
          </w:p>
        </w:tc>
        <w:tc>
          <w:tcPr>
            <w:tcW w:w="4320" w:type="dxa"/>
          </w:tcPr>
          <w:p w14:paraId="4C4A338A" w14:textId="77777777" w:rsidR="008C45D6" w:rsidRDefault="00000000">
            <w:r>
              <w:t>Consider the following statement: "LRBA prevents CTLA - 4 recycling." Is it right? Present fact-based arguments about the statement.</w:t>
            </w:r>
          </w:p>
        </w:tc>
      </w:tr>
      <w:tr w:rsidR="008C45D6" w14:paraId="52A37E47" w14:textId="77777777">
        <w:tc>
          <w:tcPr>
            <w:tcW w:w="4320" w:type="dxa"/>
          </w:tcPr>
          <w:p w14:paraId="2C336E0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1166D9" w14:textId="70B16962" w:rsidR="008C45D6" w:rsidRPr="00DA0810" w:rsidRDefault="00DA0810">
            <w:pPr>
              <w:rPr>
                <w:rFonts w:eastAsia="宋体"/>
                <w:lang w:eastAsia="zh-CN"/>
              </w:rPr>
            </w:pPr>
            <w:r>
              <w:rPr>
                <w:rFonts w:eastAsia="宋体" w:hint="eastAsia"/>
                <w:lang w:eastAsia="zh-CN"/>
              </w:rPr>
              <w:t>4</w:t>
            </w:r>
            <w:r>
              <w:rPr>
                <w:rFonts w:eastAsia="宋体"/>
                <w:lang w:eastAsia="zh-CN"/>
              </w:rPr>
              <w:t>,2,3</w:t>
            </w:r>
          </w:p>
        </w:tc>
      </w:tr>
      <w:tr w:rsidR="008C45D6" w14:paraId="49165A9C" w14:textId="77777777">
        <w:tc>
          <w:tcPr>
            <w:tcW w:w="4320" w:type="dxa"/>
          </w:tcPr>
          <w:p w14:paraId="653055C3" w14:textId="77777777" w:rsidR="008C45D6" w:rsidRDefault="00000000">
            <w:r>
              <w:rPr>
                <w:rFonts w:ascii="仿宋" w:eastAsia="仿宋" w:hAnsi="仿宋"/>
              </w:rPr>
              <w:t>模型回复</w:t>
            </w:r>
          </w:p>
        </w:tc>
        <w:tc>
          <w:tcPr>
            <w:tcW w:w="4320" w:type="dxa"/>
          </w:tcPr>
          <w:p w14:paraId="0A57103B" w14:textId="77777777" w:rsidR="008C45D6" w:rsidRDefault="00000000">
            <w:r>
              <w:t xml:space="preserve">The statement "LRBA prevents CTLA-4 recycling" is not factually accurate. </w:t>
            </w:r>
            <w:r>
              <w:br/>
              <w:t>1. Lack of scientific evidence: Currently, there is no substantial scientific evidence supporting this claim. Research on the interaction between LRBA and CTLA-4 is ongoing, but no studies conclusively demonstrate that LRBA prevents CTLA-4 recycling.</w:t>
            </w:r>
            <w:r>
              <w:br/>
              <w:t xml:space="preserve">2. Mechanism of CTLA-4 recycling: CTLA-4 recycling plays a </w:t>
            </w:r>
            <w:r>
              <w:lastRenderedPageBreak/>
              <w:t>crucial role in regulating the immune response. It helps to maintain homeostasis and prevent excessive immune activation. CTLA-4 is internalized by endocytosis after binding with its ligands on antigen-presenting cells, and then it undergoes a recycling process where it can be re-expressed on the cell surface. This recycling process is necessary for CTLA-4 to exert its immunoregulatory function effectively.</w:t>
            </w:r>
            <w:r>
              <w:br/>
              <w:t>3. LRBA function: LRBA (lipopolysaccharide-responsive and beige-like anchor protein) is involved in various cellular processes, including endosomal trafficking and intracellular protein transport. Some research suggests that LRBA may indirectly affect the recycling of CTLA-4 by influencing proteins involved in endosomal structures, but this has not been definitively proven.</w:t>
            </w:r>
            <w:r>
              <w:br/>
              <w:t>Therefore, based on the current scientific knowledge, it is not accurate to claim that LRBA prevents CTLA-4 recycling. More research is needed to fully understand the relationship between LRBA and CTLA-4 and how they interact within the immune system.</w:t>
            </w:r>
          </w:p>
        </w:tc>
      </w:tr>
      <w:tr w:rsidR="008C45D6" w14:paraId="077CC96B" w14:textId="77777777">
        <w:tc>
          <w:tcPr>
            <w:tcW w:w="4320" w:type="dxa"/>
          </w:tcPr>
          <w:p w14:paraId="799EEED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3D4B40" w14:textId="6124C704" w:rsidR="008C45D6" w:rsidRPr="00DA0810" w:rsidRDefault="00DA0810">
            <w:pPr>
              <w:rPr>
                <w:rFonts w:eastAsia="宋体"/>
                <w:lang w:eastAsia="zh-CN"/>
              </w:rPr>
            </w:pPr>
            <w:r>
              <w:rPr>
                <w:rFonts w:eastAsia="宋体" w:hint="eastAsia"/>
                <w:lang w:eastAsia="zh-CN"/>
              </w:rPr>
              <w:t>1</w:t>
            </w:r>
          </w:p>
        </w:tc>
      </w:tr>
      <w:tr w:rsidR="008C45D6" w14:paraId="76E58895" w14:textId="77777777">
        <w:tc>
          <w:tcPr>
            <w:tcW w:w="4320" w:type="dxa"/>
          </w:tcPr>
          <w:p w14:paraId="5947C850" w14:textId="77777777" w:rsidR="008C45D6" w:rsidRDefault="00000000">
            <w:r>
              <w:rPr>
                <w:rFonts w:ascii="仿宋" w:eastAsia="仿宋" w:hAnsi="仿宋"/>
              </w:rPr>
              <w:t>提取的事实</w:t>
            </w:r>
          </w:p>
        </w:tc>
        <w:tc>
          <w:tcPr>
            <w:tcW w:w="4320" w:type="dxa"/>
          </w:tcPr>
          <w:p w14:paraId="31DC98FA" w14:textId="77777777" w:rsidR="008C45D6" w:rsidRDefault="00000000">
            <w:r>
              <w:t>1. The statement "LRBA prevents CTLA-4 recycling" lacks substantial scientific evidence.</w:t>
            </w:r>
            <w:r>
              <w:br/>
              <w:t>2. CTLA-4 recycling plays a key role in regulating the immune response and works to maintain homeostasis and prevent excessive immune activation.</w:t>
            </w:r>
            <w:r>
              <w:br/>
              <w:t>3. After binding with its ligands on antigen-presenting cells, CTLA-4 is internalized by endocytosis and then undergoes a recycling process to be re-expressed on the cell surface.</w:t>
            </w:r>
            <w:r>
              <w:br/>
              <w:t>4. LRBA (lipopolysaccharide-responsive and beige-like anchor protein) is involved in varied cellular processes, such as endosomal trafficking and intracellular protein transport.</w:t>
            </w:r>
            <w:r>
              <w:br/>
              <w:t>5. Some studies suggest LRBA may have an indirect impact on CTLA-4 recycling by influencing proteins that contribute to endosomal structures.</w:t>
            </w:r>
          </w:p>
        </w:tc>
      </w:tr>
      <w:tr w:rsidR="008C45D6" w14:paraId="076E7E93" w14:textId="77777777">
        <w:tc>
          <w:tcPr>
            <w:tcW w:w="4320" w:type="dxa"/>
          </w:tcPr>
          <w:p w14:paraId="5EB5AD32"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C234BF" w14:textId="6B307B95" w:rsidR="008C45D6" w:rsidRPr="00DA0810" w:rsidRDefault="00DA0810">
            <w:pPr>
              <w:rPr>
                <w:rFonts w:eastAsia="宋体"/>
                <w:lang w:eastAsia="zh-CN"/>
              </w:rPr>
            </w:pPr>
            <w:r>
              <w:rPr>
                <w:rFonts w:eastAsia="宋体" w:hint="eastAsia"/>
                <w:lang w:eastAsia="zh-CN"/>
              </w:rPr>
              <w:lastRenderedPageBreak/>
              <w:t>8</w:t>
            </w:r>
            <w:r>
              <w:rPr>
                <w:rFonts w:eastAsia="宋体"/>
                <w:lang w:eastAsia="zh-CN"/>
              </w:rPr>
              <w:t>,1,1,1,7</w:t>
            </w:r>
          </w:p>
        </w:tc>
      </w:tr>
    </w:tbl>
    <w:p w14:paraId="34FA723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52C72040" w14:textId="77777777">
        <w:tc>
          <w:tcPr>
            <w:tcW w:w="4320" w:type="dxa"/>
          </w:tcPr>
          <w:p w14:paraId="06FBA2C3" w14:textId="77777777" w:rsidR="008C45D6" w:rsidRDefault="00000000">
            <w:r>
              <w:t>ID</w:t>
            </w:r>
          </w:p>
        </w:tc>
        <w:tc>
          <w:tcPr>
            <w:tcW w:w="10080" w:type="dxa"/>
          </w:tcPr>
          <w:p w14:paraId="7E9FC7F6" w14:textId="77777777" w:rsidR="008C45D6" w:rsidRDefault="00000000">
            <w:r>
              <w:t>398(10)</w:t>
            </w:r>
          </w:p>
        </w:tc>
      </w:tr>
      <w:tr w:rsidR="008C45D6" w14:paraId="66024FF1" w14:textId="77777777">
        <w:tc>
          <w:tcPr>
            <w:tcW w:w="4320" w:type="dxa"/>
          </w:tcPr>
          <w:p w14:paraId="3C2D2911" w14:textId="77777777" w:rsidR="008C45D6" w:rsidRDefault="00000000">
            <w:r>
              <w:rPr>
                <w:rFonts w:ascii="仿宋" w:eastAsia="仿宋" w:hAnsi="仿宋"/>
              </w:rPr>
              <w:t>领域</w:t>
            </w:r>
          </w:p>
        </w:tc>
        <w:tc>
          <w:tcPr>
            <w:tcW w:w="4320" w:type="dxa"/>
          </w:tcPr>
          <w:p w14:paraId="2B8D47A5" w14:textId="77777777" w:rsidR="008C45D6" w:rsidRDefault="00000000">
            <w:r>
              <w:t>Science</w:t>
            </w:r>
          </w:p>
        </w:tc>
      </w:tr>
      <w:tr w:rsidR="008C45D6" w14:paraId="20174D5D" w14:textId="77777777">
        <w:tc>
          <w:tcPr>
            <w:tcW w:w="4320" w:type="dxa"/>
          </w:tcPr>
          <w:p w14:paraId="01C1C9F0" w14:textId="77777777" w:rsidR="008C45D6" w:rsidRDefault="00000000">
            <w:r>
              <w:rPr>
                <w:rFonts w:ascii="仿宋" w:eastAsia="仿宋" w:hAnsi="仿宋"/>
              </w:rPr>
              <w:t>用户问题</w:t>
            </w:r>
          </w:p>
        </w:tc>
        <w:tc>
          <w:tcPr>
            <w:tcW w:w="4320" w:type="dxa"/>
          </w:tcPr>
          <w:p w14:paraId="026CB98F" w14:textId="77777777" w:rsidR="008C45D6" w:rsidRDefault="00000000">
            <w:r>
              <w:t>Can you clarify whether the claim "Lack of FGF21 in mice increases life expectancy." is accurate or not? Build factual arguments about the claim.</w:t>
            </w:r>
          </w:p>
        </w:tc>
      </w:tr>
      <w:tr w:rsidR="008C45D6" w14:paraId="32783709" w14:textId="77777777">
        <w:tc>
          <w:tcPr>
            <w:tcW w:w="4320" w:type="dxa"/>
          </w:tcPr>
          <w:p w14:paraId="38FFABE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731EFA" w14:textId="08B55C71" w:rsidR="008C45D6" w:rsidRPr="00DA0810" w:rsidRDefault="00DA0810">
            <w:pPr>
              <w:rPr>
                <w:rFonts w:eastAsia="宋体"/>
                <w:lang w:eastAsia="zh-CN"/>
              </w:rPr>
            </w:pPr>
            <w:r>
              <w:rPr>
                <w:rFonts w:eastAsia="宋体"/>
                <w:lang w:eastAsia="zh-CN"/>
              </w:rPr>
              <w:t>2,2,2</w:t>
            </w:r>
          </w:p>
        </w:tc>
      </w:tr>
      <w:tr w:rsidR="008C45D6" w14:paraId="4702E5EA" w14:textId="77777777">
        <w:tc>
          <w:tcPr>
            <w:tcW w:w="4320" w:type="dxa"/>
          </w:tcPr>
          <w:p w14:paraId="48E4226B" w14:textId="77777777" w:rsidR="008C45D6" w:rsidRDefault="00000000">
            <w:r>
              <w:rPr>
                <w:rFonts w:ascii="仿宋" w:eastAsia="仿宋" w:hAnsi="仿宋"/>
              </w:rPr>
              <w:t>模型回复</w:t>
            </w:r>
          </w:p>
        </w:tc>
        <w:tc>
          <w:tcPr>
            <w:tcW w:w="4320" w:type="dxa"/>
          </w:tcPr>
          <w:p w14:paraId="73094E04" w14:textId="77777777" w:rsidR="008C45D6" w:rsidRDefault="00000000">
            <w:r>
              <w:t>The claim that "Lack of FGF21 in mice increases life expectancy" is accurate. Several studies support this claim, providing factual arguments:</w:t>
            </w:r>
            <w:r>
              <w:br/>
              <w:t>1. Scientific studies: Multiple scientific studies have examined the effects of FGF21 deficiency on life expectancy in mice. One such study, published in the journal Cell Metabolism in 2012, demonstrated that mice lacking FGF21 gene had an increased lifespan compared to normal mice.</w:t>
            </w:r>
            <w:r>
              <w:br/>
              <w:t>2. Longevity and aging markers: FGF21 deficiency has been shown to improve various markers associated with aging and longevity. For example, FGF21-deficient mice exhibit an increase in insulin sensitivity, enhanced metabolic flexibility, improved lipid metabolism, and reduced age-related glucose intolerance. These factors contribute to an overall healthier phenotype and potentially increased lifespan.</w:t>
            </w:r>
            <w:r>
              <w:br/>
              <w:t xml:space="preserve">3. Reversal of age-related diseases: FGF21 deficiency has been linked to the reversal or delayed onset of age-related diseases in mice. In a study published in Nature Medicine in 2012, it was demonstrated that mice lacking FGF21 exhibited improved resistance to age-related bone loss, a common problem in aging individuals. This suggests that FGF21 </w:t>
            </w:r>
            <w:r>
              <w:lastRenderedPageBreak/>
              <w:t>deficiency could promote a healthier aging process and potentially extend life expectancy.</w:t>
            </w:r>
            <w:r>
              <w:br/>
              <w:t>4. Genetic mutations in humans: There is evidence from human studies indicating that genetic mutations disrupting FGF21 signaling can lead to improved metabolic health and longevity. In a study published in the journal Aging Cell in 2011, it was found that individuals with certain FGF21 genetic variations had a lower risk of developing obesity and metabolic disorders.</w:t>
            </w:r>
            <w:r>
              <w:br/>
              <w:t>5. Consistency with other longevity pathways: FGF21 deficiency aligns with other genetic and dietary interventions associated with increased lifespan in various organisms. For instance, calorie restriction, which is known to extend lifespan in multiple species, has been shown to decrease FGF21 levels. Similarly, mutations affecting insulin/IGF-1 signaling, such as in the insulin/IGF-1 receptor genes, have also been linked to increased lifespan, and these mutations are associated with reduced FGF21 levels.</w:t>
            </w:r>
            <w:r>
              <w:br/>
              <w:t>It's important to note that scientific research continuously evolves, and new studies might provide additional insights or findings that could modify our understanding of FGF21 and its effects on life expectancy.</w:t>
            </w:r>
          </w:p>
        </w:tc>
      </w:tr>
      <w:tr w:rsidR="008C45D6" w14:paraId="2D74D96A" w14:textId="77777777">
        <w:tc>
          <w:tcPr>
            <w:tcW w:w="4320" w:type="dxa"/>
          </w:tcPr>
          <w:p w14:paraId="553B2297"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AAD9DD" w14:textId="30A80C48" w:rsidR="008C45D6" w:rsidRPr="00DA0810" w:rsidRDefault="00DA0810">
            <w:pPr>
              <w:rPr>
                <w:rFonts w:eastAsia="宋体"/>
                <w:lang w:eastAsia="zh-CN"/>
              </w:rPr>
            </w:pPr>
            <w:r>
              <w:rPr>
                <w:rFonts w:eastAsia="宋体" w:hint="eastAsia"/>
                <w:lang w:eastAsia="zh-CN"/>
              </w:rPr>
              <w:t>1</w:t>
            </w:r>
          </w:p>
        </w:tc>
      </w:tr>
      <w:tr w:rsidR="008C45D6" w14:paraId="27F99E8E" w14:textId="77777777">
        <w:tc>
          <w:tcPr>
            <w:tcW w:w="4320" w:type="dxa"/>
          </w:tcPr>
          <w:p w14:paraId="76C58116" w14:textId="77777777" w:rsidR="008C45D6" w:rsidRDefault="00000000">
            <w:r>
              <w:rPr>
                <w:rFonts w:ascii="仿宋" w:eastAsia="仿宋" w:hAnsi="仿宋"/>
              </w:rPr>
              <w:t>提取的事实</w:t>
            </w:r>
          </w:p>
        </w:tc>
        <w:tc>
          <w:tcPr>
            <w:tcW w:w="4320" w:type="dxa"/>
          </w:tcPr>
          <w:p w14:paraId="11F61112" w14:textId="77777777" w:rsidR="008C45D6" w:rsidRDefault="00000000">
            <w:r>
              <w:t>1. Multiple scientific studies have examined the effects of FGF21 deficiency on life expectancy in mice.</w:t>
            </w:r>
            <w:r>
              <w:br/>
              <w:t>2. A study published in the journal Cell Metabolism in 2012 demonstrated that mice lacking FGF21 gene had an increased lifespan compared to normal mice.</w:t>
            </w:r>
            <w:r>
              <w:br/>
              <w:t>3. FGF21-deficient mice exhibit an increase in insulin sensitivity, enhanced metabolic flexibility, improved lipid metabolism, and reduced age-related glucose intolerance.</w:t>
            </w:r>
            <w:r>
              <w:br/>
              <w:t>4. Mice lacking FGF21 exhibited improved resistance to age-related bone loss, as per a study published in Nature Medicine in 2012.</w:t>
            </w:r>
            <w:r>
              <w:br/>
              <w:t xml:space="preserve">5. A study in the journal Aging Cell in 2011 found that </w:t>
            </w:r>
            <w:r>
              <w:lastRenderedPageBreak/>
              <w:t>individuals with certain FGF21 genetic variations had a lower risk of developing obesity and metabolic disorders.</w:t>
            </w:r>
          </w:p>
        </w:tc>
      </w:tr>
      <w:tr w:rsidR="008C45D6" w14:paraId="711C79E7" w14:textId="77777777">
        <w:tc>
          <w:tcPr>
            <w:tcW w:w="4320" w:type="dxa"/>
          </w:tcPr>
          <w:p w14:paraId="2E447E36"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AA22E" w14:textId="56A339BD" w:rsidR="008C45D6" w:rsidRPr="00DA0810" w:rsidRDefault="00DA0810">
            <w:pPr>
              <w:rPr>
                <w:rFonts w:eastAsia="宋体"/>
                <w:lang w:eastAsia="zh-CN"/>
              </w:rPr>
            </w:pPr>
            <w:r>
              <w:rPr>
                <w:rFonts w:eastAsia="宋体" w:hint="eastAsia"/>
                <w:lang w:eastAsia="zh-CN"/>
              </w:rPr>
              <w:t>1</w:t>
            </w:r>
            <w:r>
              <w:rPr>
                <w:rFonts w:eastAsia="宋体"/>
                <w:lang w:eastAsia="zh-CN"/>
              </w:rPr>
              <w:t>,7,1,3,1</w:t>
            </w:r>
          </w:p>
        </w:tc>
      </w:tr>
    </w:tbl>
    <w:p w14:paraId="6C7D7FC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8C45D6" w14:paraId="617EC8A7" w14:textId="77777777">
        <w:tc>
          <w:tcPr>
            <w:tcW w:w="4320" w:type="dxa"/>
          </w:tcPr>
          <w:p w14:paraId="259C3F60" w14:textId="77777777" w:rsidR="008C45D6" w:rsidRDefault="00000000">
            <w:r>
              <w:t>ID</w:t>
            </w:r>
          </w:p>
        </w:tc>
        <w:tc>
          <w:tcPr>
            <w:tcW w:w="10080" w:type="dxa"/>
          </w:tcPr>
          <w:p w14:paraId="76381B5D" w14:textId="77777777" w:rsidR="008C45D6" w:rsidRDefault="00000000">
            <w:r>
              <w:t>399(11)</w:t>
            </w:r>
          </w:p>
        </w:tc>
      </w:tr>
      <w:tr w:rsidR="008C45D6" w14:paraId="32D808B3" w14:textId="77777777">
        <w:tc>
          <w:tcPr>
            <w:tcW w:w="4320" w:type="dxa"/>
          </w:tcPr>
          <w:p w14:paraId="57E490E6" w14:textId="77777777" w:rsidR="008C45D6" w:rsidRDefault="00000000">
            <w:r>
              <w:rPr>
                <w:rFonts w:ascii="仿宋" w:eastAsia="仿宋" w:hAnsi="仿宋"/>
              </w:rPr>
              <w:t>领域</w:t>
            </w:r>
          </w:p>
        </w:tc>
        <w:tc>
          <w:tcPr>
            <w:tcW w:w="4320" w:type="dxa"/>
          </w:tcPr>
          <w:p w14:paraId="7697A669" w14:textId="77777777" w:rsidR="008C45D6" w:rsidRDefault="00000000">
            <w:r>
              <w:t>Science</w:t>
            </w:r>
          </w:p>
        </w:tc>
      </w:tr>
      <w:tr w:rsidR="008C45D6" w14:paraId="758D7CC4" w14:textId="77777777">
        <w:tc>
          <w:tcPr>
            <w:tcW w:w="4320" w:type="dxa"/>
          </w:tcPr>
          <w:p w14:paraId="24D28CED" w14:textId="77777777" w:rsidR="008C45D6" w:rsidRDefault="00000000">
            <w:r>
              <w:rPr>
                <w:rFonts w:ascii="仿宋" w:eastAsia="仿宋" w:hAnsi="仿宋"/>
              </w:rPr>
              <w:t>用户问题</w:t>
            </w:r>
          </w:p>
        </w:tc>
        <w:tc>
          <w:tcPr>
            <w:tcW w:w="4320" w:type="dxa"/>
          </w:tcPr>
          <w:p w14:paraId="3C752808" w14:textId="77777777" w:rsidR="008C45D6" w:rsidRDefault="00000000">
            <w:r>
              <w:t>How truthful is the statement that "Lack of FGF21 in mice leads to atherosclerotic plaque formation."? Present a series of factual points about the statement.</w:t>
            </w:r>
          </w:p>
        </w:tc>
      </w:tr>
      <w:tr w:rsidR="008C45D6" w14:paraId="2C34DA30" w14:textId="77777777">
        <w:tc>
          <w:tcPr>
            <w:tcW w:w="4320" w:type="dxa"/>
          </w:tcPr>
          <w:p w14:paraId="4FF85E71"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4BFCFB" w14:textId="40CEE0BC" w:rsidR="008C45D6" w:rsidRPr="00DA0810" w:rsidRDefault="00773991">
            <w:pPr>
              <w:rPr>
                <w:rFonts w:eastAsia="宋体"/>
                <w:lang w:eastAsia="zh-CN"/>
              </w:rPr>
            </w:pPr>
            <w:r>
              <w:rPr>
                <w:rFonts w:eastAsia="宋体"/>
                <w:lang w:eastAsia="zh-CN"/>
              </w:rPr>
              <w:t>4</w:t>
            </w:r>
            <w:r w:rsidR="00DA0810">
              <w:rPr>
                <w:rFonts w:eastAsia="宋体"/>
                <w:lang w:eastAsia="zh-CN"/>
              </w:rPr>
              <w:t>,3,</w:t>
            </w:r>
            <w:r>
              <w:rPr>
                <w:rFonts w:eastAsia="宋体"/>
                <w:lang w:eastAsia="zh-CN"/>
              </w:rPr>
              <w:t>3</w:t>
            </w:r>
          </w:p>
        </w:tc>
      </w:tr>
      <w:tr w:rsidR="008C45D6" w14:paraId="5E0E3C36" w14:textId="77777777">
        <w:tc>
          <w:tcPr>
            <w:tcW w:w="4320" w:type="dxa"/>
          </w:tcPr>
          <w:p w14:paraId="02A33557" w14:textId="77777777" w:rsidR="008C45D6" w:rsidRDefault="00000000">
            <w:r>
              <w:rPr>
                <w:rFonts w:ascii="仿宋" w:eastAsia="仿宋" w:hAnsi="仿宋"/>
              </w:rPr>
              <w:t>模型回复</w:t>
            </w:r>
          </w:p>
        </w:tc>
        <w:tc>
          <w:tcPr>
            <w:tcW w:w="4320" w:type="dxa"/>
          </w:tcPr>
          <w:p w14:paraId="4A41EC2C" w14:textId="77777777" w:rsidR="008C45D6" w:rsidRDefault="00000000">
            <w:r>
              <w:t>1. FGF21, also known as Fibroblast Growth Factor 21, is a protein hormone that plays a role in various metabolic processes, including lipid metabolism.</w:t>
            </w:r>
            <w:r>
              <w:br/>
              <w:t>2. Atherosclerosis is a chronic vascular disease characterized by the formation of fatty plaque deposits within the arteries, which can lead to cardiovascular complications such as heart attacks and strokes.</w:t>
            </w:r>
            <w:r>
              <w:br/>
              <w:t>3. Several studies have investigated the potential connection between FGF21 and atherosclerosis using mouse models.</w:t>
            </w:r>
            <w:r>
              <w:br/>
              <w:t>4. A study published in the journal Circulation Research in 2012 showed that mice lacking FGF21 had increased susceptibility to atherosclerotic plaque formation compared to normal mice. The study used a genetic knockout approach to specifically remove FGF21 from the mice.</w:t>
            </w:r>
            <w:r>
              <w:br/>
              <w:t xml:space="preserve">5. The research demonstrated that FGF21 deficiency resulted in increased lipid accumulation and inflammation within the </w:t>
            </w:r>
            <w:r>
              <w:lastRenderedPageBreak/>
              <w:t>arterial walls, which are critical processes involved in atherosclerosis development.</w:t>
            </w:r>
            <w:r>
              <w:br/>
              <w:t>6. The study also observed that FGF21 deficiency promoted the expression of genes associated with cholesterol metabolism and inflammation, further supporting the link between FGF21 and atherosclerosis.</w:t>
            </w:r>
            <w:r>
              <w:br/>
              <w:t>7. However, it is important to note that while this study provided evidence for a connection between FGF21 deficiency and atherosclerotic plaque formation in mice, it does not directly translate to humans.</w:t>
            </w:r>
            <w:r>
              <w:br/>
              <w:t>8. Mouse models do not perfectly mimic human physiology and pathology, and the complex nature of atherosclerosis in humans involves multiple genetic, environmental, and lifestyle factors.</w:t>
            </w:r>
            <w:r>
              <w:br/>
              <w:t>9. Therefore, further research is necessary to determine the direct relevance of FGF21 and its impact on atherosclerosis in humans. Clinical studies and investigations in human samples would provide more conclusive evidence.</w:t>
            </w:r>
            <w:r>
              <w:br/>
              <w:t>In summary, the statement that "Lack of FGF21 in mice leads to atherosclerotic plaque formation" is based on factual evidence from mouse studies. However, it is crucial to recognize that these findings might not fully apply to human biology; hence, more research is needed to establish the exact role of FGF21 in human atherosclerosis.</w:t>
            </w:r>
          </w:p>
        </w:tc>
      </w:tr>
      <w:tr w:rsidR="008C45D6" w14:paraId="20D71C17" w14:textId="77777777">
        <w:tc>
          <w:tcPr>
            <w:tcW w:w="4320" w:type="dxa"/>
          </w:tcPr>
          <w:p w14:paraId="6328C77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7A31D9" w14:textId="5B905E0B" w:rsidR="008C45D6" w:rsidRPr="00773991" w:rsidRDefault="00773991">
            <w:pPr>
              <w:rPr>
                <w:rFonts w:eastAsia="宋体"/>
                <w:lang w:eastAsia="zh-CN"/>
              </w:rPr>
            </w:pPr>
            <w:r>
              <w:rPr>
                <w:rFonts w:eastAsia="宋体" w:hint="eastAsia"/>
                <w:lang w:eastAsia="zh-CN"/>
              </w:rPr>
              <w:t>1</w:t>
            </w:r>
          </w:p>
        </w:tc>
      </w:tr>
      <w:tr w:rsidR="008C45D6" w14:paraId="75424BDB" w14:textId="77777777">
        <w:tc>
          <w:tcPr>
            <w:tcW w:w="4320" w:type="dxa"/>
          </w:tcPr>
          <w:p w14:paraId="775D520E" w14:textId="77777777" w:rsidR="008C45D6" w:rsidRDefault="00000000">
            <w:r>
              <w:rPr>
                <w:rFonts w:ascii="仿宋" w:eastAsia="仿宋" w:hAnsi="仿宋"/>
              </w:rPr>
              <w:t>提取的事实</w:t>
            </w:r>
          </w:p>
        </w:tc>
        <w:tc>
          <w:tcPr>
            <w:tcW w:w="4320" w:type="dxa"/>
          </w:tcPr>
          <w:p w14:paraId="5221C9A9" w14:textId="77777777" w:rsidR="008C45D6" w:rsidRDefault="00000000">
            <w:r>
              <w:t>1. FGF21, or Fibroblast Growth Factor 21, is a protein hormone involved in various metabolic processes, including lipid metabolism.</w:t>
            </w:r>
            <w:r>
              <w:br/>
              <w:t>2. Atherosclerosis is a vascular disease characterized by the formation of fatty plaque deposits within the arteries, potentially leading to cardiovascular issues like heart attacks and strokes.</w:t>
            </w:r>
            <w:r>
              <w:br/>
              <w:t>3. A study in the journal Circulation Research in 2012 found that mice lacking FGF21 showed an increased susceptibility to atherosclerotic plaque formation, compared to normal mice.</w:t>
            </w:r>
            <w:r>
              <w:br/>
            </w:r>
            <w:r>
              <w:lastRenderedPageBreak/>
              <w:t>4. The study revealed that FGF21 deficiency resulted in higher lipid accumulation and inflammation within the arterial walls, key processes in atherosclerosis development.</w:t>
            </w:r>
            <w:r>
              <w:br/>
              <w:t>5. The findings from mouse studies do not directly translate to humans due to differences in physiology and pathology.</w:t>
            </w:r>
          </w:p>
        </w:tc>
      </w:tr>
      <w:tr w:rsidR="008C45D6" w14:paraId="771E3C1D" w14:textId="77777777">
        <w:tc>
          <w:tcPr>
            <w:tcW w:w="4320" w:type="dxa"/>
          </w:tcPr>
          <w:p w14:paraId="0B650D3E"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B9C097" w14:textId="2D9C429C" w:rsidR="008C45D6" w:rsidRPr="00773991" w:rsidRDefault="00773991">
            <w:pPr>
              <w:rPr>
                <w:rFonts w:eastAsia="宋体"/>
                <w:lang w:eastAsia="zh-CN"/>
              </w:rPr>
            </w:pPr>
            <w:r>
              <w:rPr>
                <w:rFonts w:eastAsia="宋体" w:hint="eastAsia"/>
                <w:lang w:eastAsia="zh-CN"/>
              </w:rPr>
              <w:t>1</w:t>
            </w:r>
            <w:r>
              <w:rPr>
                <w:rFonts w:eastAsia="宋体"/>
                <w:lang w:eastAsia="zh-CN"/>
              </w:rPr>
              <w:t>,1,1,2,1</w:t>
            </w:r>
          </w:p>
        </w:tc>
      </w:tr>
    </w:tbl>
    <w:p w14:paraId="5DF52DE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8C45D6" w14:paraId="55163DEB" w14:textId="77777777">
        <w:tc>
          <w:tcPr>
            <w:tcW w:w="4320" w:type="dxa"/>
          </w:tcPr>
          <w:p w14:paraId="21EDE8A2" w14:textId="77777777" w:rsidR="008C45D6" w:rsidRDefault="00000000">
            <w:r>
              <w:t>ID</w:t>
            </w:r>
          </w:p>
        </w:tc>
        <w:tc>
          <w:tcPr>
            <w:tcW w:w="10080" w:type="dxa"/>
          </w:tcPr>
          <w:p w14:paraId="3F0244CD" w14:textId="77777777" w:rsidR="008C45D6" w:rsidRDefault="00000000">
            <w:r>
              <w:t>400(12)</w:t>
            </w:r>
          </w:p>
        </w:tc>
      </w:tr>
      <w:tr w:rsidR="008C45D6" w14:paraId="29180474" w14:textId="77777777">
        <w:tc>
          <w:tcPr>
            <w:tcW w:w="4320" w:type="dxa"/>
          </w:tcPr>
          <w:p w14:paraId="51524B38" w14:textId="77777777" w:rsidR="008C45D6" w:rsidRDefault="00000000">
            <w:r>
              <w:rPr>
                <w:rFonts w:ascii="仿宋" w:eastAsia="仿宋" w:hAnsi="仿宋"/>
              </w:rPr>
              <w:t>领域</w:t>
            </w:r>
          </w:p>
        </w:tc>
        <w:tc>
          <w:tcPr>
            <w:tcW w:w="4320" w:type="dxa"/>
          </w:tcPr>
          <w:p w14:paraId="5D1C7DEE" w14:textId="77777777" w:rsidR="008C45D6" w:rsidRDefault="00000000">
            <w:r>
              <w:t>Science</w:t>
            </w:r>
          </w:p>
        </w:tc>
      </w:tr>
      <w:tr w:rsidR="008C45D6" w14:paraId="029CD4C3" w14:textId="77777777">
        <w:tc>
          <w:tcPr>
            <w:tcW w:w="4320" w:type="dxa"/>
          </w:tcPr>
          <w:p w14:paraId="196FACAF" w14:textId="77777777" w:rsidR="008C45D6" w:rsidRDefault="00000000">
            <w:r>
              <w:rPr>
                <w:rFonts w:ascii="仿宋" w:eastAsia="仿宋" w:hAnsi="仿宋"/>
              </w:rPr>
              <w:t>用户问题</w:t>
            </w:r>
          </w:p>
        </w:tc>
        <w:tc>
          <w:tcPr>
            <w:tcW w:w="4320" w:type="dxa"/>
          </w:tcPr>
          <w:p w14:paraId="6C40878B" w14:textId="77777777" w:rsidR="008C45D6" w:rsidRDefault="00000000">
            <w:r>
              <w:t>Consider the following statement: "Lack of FGF21 in mice leads to reduced lifespan." Is it right? Present fact-based arguments about the statement.</w:t>
            </w:r>
          </w:p>
        </w:tc>
      </w:tr>
      <w:tr w:rsidR="008C45D6" w14:paraId="434B3563" w14:textId="77777777">
        <w:tc>
          <w:tcPr>
            <w:tcW w:w="4320" w:type="dxa"/>
          </w:tcPr>
          <w:p w14:paraId="559AFAA8"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8ED341" w14:textId="18B104AD" w:rsidR="008C45D6" w:rsidRPr="00773991" w:rsidRDefault="00773991">
            <w:pPr>
              <w:rPr>
                <w:rFonts w:eastAsia="宋体"/>
                <w:lang w:eastAsia="zh-CN"/>
              </w:rPr>
            </w:pPr>
            <w:r>
              <w:rPr>
                <w:rFonts w:eastAsia="宋体" w:hint="eastAsia"/>
                <w:lang w:eastAsia="zh-CN"/>
              </w:rPr>
              <w:t>4</w:t>
            </w:r>
            <w:r>
              <w:rPr>
                <w:rFonts w:eastAsia="宋体"/>
                <w:lang w:eastAsia="zh-CN"/>
              </w:rPr>
              <w:t>,3,2</w:t>
            </w:r>
          </w:p>
        </w:tc>
      </w:tr>
      <w:tr w:rsidR="008C45D6" w14:paraId="49FA2B55" w14:textId="77777777">
        <w:tc>
          <w:tcPr>
            <w:tcW w:w="4320" w:type="dxa"/>
          </w:tcPr>
          <w:p w14:paraId="374BE976" w14:textId="77777777" w:rsidR="008C45D6" w:rsidRDefault="00000000">
            <w:r>
              <w:rPr>
                <w:rFonts w:ascii="仿宋" w:eastAsia="仿宋" w:hAnsi="仿宋"/>
              </w:rPr>
              <w:t>模型回复</w:t>
            </w:r>
          </w:p>
        </w:tc>
        <w:tc>
          <w:tcPr>
            <w:tcW w:w="4320" w:type="dxa"/>
          </w:tcPr>
          <w:p w14:paraId="76482D2E" w14:textId="77777777" w:rsidR="008C45D6" w:rsidRDefault="00000000">
            <w:r>
              <w:t xml:space="preserve">The statement that lack of FGF21 in mice leads to reduced lifespan is factually correct. </w:t>
            </w:r>
            <w:r>
              <w:br/>
              <w:t>1. Scientific studies have shown that FGF21 plays a crucial role in regulating various metabolic functions related to aging and lifespan. FGF21 is a hormone secreted by the liver and certain other tissues, and its levels decrease with age in both mice and humans.</w:t>
            </w:r>
            <w:r>
              <w:br/>
              <w:t>2. Researchers have demonstrated that genetically modified mice lacking FGF21 exhibit a significantly reduced lifespan compared to normal mice. In a study published in the journal Cell Metabolism in 2012, the lifespan of FGF21 knockout mice was found to be about 40% shorter than that of control mice.</w:t>
            </w:r>
            <w:r>
              <w:br/>
            </w:r>
            <w:r>
              <w:lastRenderedPageBreak/>
              <w:t>3. FGF21 knockout mice also exhibit numerous age-related metabolic abnormalities, including impaired glucose and lipid metabolism, increased body weight, reduced insulin sensitivity, and altered liver function. These impairments contribute to a decline in overall health and ultimately lead to a shortened lifespan.</w:t>
            </w:r>
            <w:r>
              <w:br/>
              <w:t>4. Furthermore, administration of FGF21 has been shown to extend lifespan in mice. In a study published in the journal eLife in 2014, scientists treated mice with FGF21 for a period of time and observed a significant increase in their average and maximum lifespan compared to control mice.</w:t>
            </w:r>
            <w:r>
              <w:br/>
              <w:t>Based on these scientific findings, it can be concluded that the lack of FGF21 in mice does indeed lead to reduced lifespan, highlighting the important role played by this hormone in regulating metabolic processes associated with aging.</w:t>
            </w:r>
          </w:p>
        </w:tc>
      </w:tr>
      <w:tr w:rsidR="008C45D6" w14:paraId="04A5F8C7" w14:textId="77777777">
        <w:tc>
          <w:tcPr>
            <w:tcW w:w="4320" w:type="dxa"/>
          </w:tcPr>
          <w:p w14:paraId="1D5D2BD4"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673697" w14:textId="5A0D1DD7" w:rsidR="008C45D6" w:rsidRPr="00773991" w:rsidRDefault="00773991">
            <w:pPr>
              <w:rPr>
                <w:rFonts w:eastAsia="宋体"/>
                <w:lang w:eastAsia="zh-CN"/>
              </w:rPr>
            </w:pPr>
            <w:r>
              <w:rPr>
                <w:rFonts w:eastAsia="宋体" w:hint="eastAsia"/>
                <w:lang w:eastAsia="zh-CN"/>
              </w:rPr>
              <w:t>1</w:t>
            </w:r>
          </w:p>
        </w:tc>
      </w:tr>
      <w:tr w:rsidR="008C45D6" w14:paraId="666F50C5" w14:textId="77777777">
        <w:tc>
          <w:tcPr>
            <w:tcW w:w="4320" w:type="dxa"/>
          </w:tcPr>
          <w:p w14:paraId="6E45AD6D" w14:textId="77777777" w:rsidR="008C45D6" w:rsidRDefault="00000000">
            <w:r>
              <w:rPr>
                <w:rFonts w:ascii="仿宋" w:eastAsia="仿宋" w:hAnsi="仿宋"/>
              </w:rPr>
              <w:t>提取的事实</w:t>
            </w:r>
          </w:p>
        </w:tc>
        <w:tc>
          <w:tcPr>
            <w:tcW w:w="4320" w:type="dxa"/>
          </w:tcPr>
          <w:p w14:paraId="021B2537" w14:textId="77777777" w:rsidR="008C45D6" w:rsidRDefault="00000000">
            <w:r>
              <w:t>1. FGF21 is a hormone secreted by the liver and other tissues that plays a crucial role in regulating various metabolic functions related to aging and lifespan.</w:t>
            </w:r>
            <w:r>
              <w:br/>
              <w:t>2. Levels of FGF21 decrease with age in both mice and humans.</w:t>
            </w:r>
            <w:r>
              <w:br/>
              <w:t>3. Genetically modified mice lacking FGF21 have a significantly reduced lifespan as compared to normal mice.</w:t>
            </w:r>
            <w:r>
              <w:br/>
              <w:t>4. FGF21 knockout mice suffer from various metabolic abnormalities, including impaired glucose and lipid metabolism, increased body weight, reduced insulin sensitivity and altered liver function.</w:t>
            </w:r>
            <w:r>
              <w:br/>
              <w:t>5. Administration of FGF21 has been proven to extend the lifespan in mice.</w:t>
            </w:r>
          </w:p>
        </w:tc>
      </w:tr>
      <w:tr w:rsidR="008C45D6" w14:paraId="76CD1854" w14:textId="77777777">
        <w:tc>
          <w:tcPr>
            <w:tcW w:w="4320" w:type="dxa"/>
          </w:tcPr>
          <w:p w14:paraId="577A92B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145AB48C" w14:textId="7232F563" w:rsidR="008C45D6" w:rsidRPr="00773991" w:rsidRDefault="00773991">
            <w:pPr>
              <w:rPr>
                <w:rFonts w:eastAsia="宋体"/>
                <w:lang w:eastAsia="zh-CN"/>
              </w:rPr>
            </w:pPr>
            <w:r>
              <w:rPr>
                <w:rFonts w:eastAsia="宋体" w:hint="eastAsia"/>
                <w:lang w:eastAsia="zh-CN"/>
              </w:rPr>
              <w:lastRenderedPageBreak/>
              <w:t>1</w:t>
            </w:r>
            <w:r>
              <w:rPr>
                <w:rFonts w:eastAsia="宋体"/>
                <w:lang w:eastAsia="zh-CN"/>
              </w:rPr>
              <w:t>,1,7,7,6</w:t>
            </w:r>
          </w:p>
        </w:tc>
      </w:tr>
    </w:tbl>
    <w:p w14:paraId="352B349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14B10236" w14:textId="77777777">
        <w:tc>
          <w:tcPr>
            <w:tcW w:w="4320" w:type="dxa"/>
          </w:tcPr>
          <w:p w14:paraId="558C87CD" w14:textId="77777777" w:rsidR="008C45D6" w:rsidRDefault="00000000">
            <w:r>
              <w:t>ID</w:t>
            </w:r>
          </w:p>
        </w:tc>
        <w:tc>
          <w:tcPr>
            <w:tcW w:w="10080" w:type="dxa"/>
          </w:tcPr>
          <w:p w14:paraId="0B42973F" w14:textId="77777777" w:rsidR="008C45D6" w:rsidRDefault="00000000">
            <w:r>
              <w:t>401(13)</w:t>
            </w:r>
          </w:p>
        </w:tc>
      </w:tr>
      <w:tr w:rsidR="008C45D6" w14:paraId="581DC81F" w14:textId="77777777">
        <w:tc>
          <w:tcPr>
            <w:tcW w:w="4320" w:type="dxa"/>
          </w:tcPr>
          <w:p w14:paraId="65AE9F8A" w14:textId="77777777" w:rsidR="008C45D6" w:rsidRDefault="00000000">
            <w:r>
              <w:rPr>
                <w:rFonts w:ascii="仿宋" w:eastAsia="仿宋" w:hAnsi="仿宋"/>
              </w:rPr>
              <w:t>领域</w:t>
            </w:r>
          </w:p>
        </w:tc>
        <w:tc>
          <w:tcPr>
            <w:tcW w:w="4320" w:type="dxa"/>
          </w:tcPr>
          <w:p w14:paraId="772B6DBC" w14:textId="77777777" w:rsidR="008C45D6" w:rsidRDefault="00000000">
            <w:r>
              <w:t>Science</w:t>
            </w:r>
          </w:p>
        </w:tc>
      </w:tr>
      <w:tr w:rsidR="008C45D6" w14:paraId="6989E1FA" w14:textId="77777777">
        <w:tc>
          <w:tcPr>
            <w:tcW w:w="4320" w:type="dxa"/>
          </w:tcPr>
          <w:p w14:paraId="09932CCD" w14:textId="77777777" w:rsidR="008C45D6" w:rsidRDefault="00000000">
            <w:r>
              <w:rPr>
                <w:rFonts w:ascii="仿宋" w:eastAsia="仿宋" w:hAnsi="仿宋"/>
              </w:rPr>
              <w:t>用户问题</w:t>
            </w:r>
          </w:p>
        </w:tc>
        <w:tc>
          <w:tcPr>
            <w:tcW w:w="4320" w:type="dxa"/>
          </w:tcPr>
          <w:p w14:paraId="6E2A5849" w14:textId="77777777" w:rsidR="008C45D6" w:rsidRDefault="00000000">
            <w:r>
              <w:t>Do you agree with the claim that "Lack of FGF21 in mice slows the rate of atherosclerotic plaque formation."? Provide factual statements about the claim.</w:t>
            </w:r>
          </w:p>
        </w:tc>
      </w:tr>
      <w:tr w:rsidR="008C45D6" w14:paraId="659C86DA" w14:textId="77777777">
        <w:tc>
          <w:tcPr>
            <w:tcW w:w="4320" w:type="dxa"/>
          </w:tcPr>
          <w:p w14:paraId="69AF1E9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3580D6" w14:textId="3F63CDD1" w:rsidR="008C45D6" w:rsidRPr="00773991" w:rsidRDefault="00773991">
            <w:pPr>
              <w:rPr>
                <w:rFonts w:eastAsia="宋体"/>
                <w:lang w:eastAsia="zh-CN"/>
              </w:rPr>
            </w:pPr>
            <w:r>
              <w:rPr>
                <w:rFonts w:eastAsia="宋体" w:hint="eastAsia"/>
                <w:lang w:eastAsia="zh-CN"/>
              </w:rPr>
              <w:t>4</w:t>
            </w:r>
            <w:r>
              <w:rPr>
                <w:rFonts w:eastAsia="宋体"/>
                <w:lang w:eastAsia="zh-CN"/>
              </w:rPr>
              <w:t>,3,3</w:t>
            </w:r>
          </w:p>
        </w:tc>
      </w:tr>
      <w:tr w:rsidR="008C45D6" w14:paraId="4CDF3135" w14:textId="77777777">
        <w:tc>
          <w:tcPr>
            <w:tcW w:w="4320" w:type="dxa"/>
          </w:tcPr>
          <w:p w14:paraId="40EE55CD" w14:textId="77777777" w:rsidR="008C45D6" w:rsidRDefault="00000000">
            <w:r>
              <w:rPr>
                <w:rFonts w:ascii="仿宋" w:eastAsia="仿宋" w:hAnsi="仿宋"/>
              </w:rPr>
              <w:t>模型回复</w:t>
            </w:r>
          </w:p>
        </w:tc>
        <w:tc>
          <w:tcPr>
            <w:tcW w:w="4320" w:type="dxa"/>
          </w:tcPr>
          <w:p w14:paraId="125E75F0" w14:textId="77777777" w:rsidR="008C45D6" w:rsidRDefault="00000000">
            <w:r>
              <w:t xml:space="preserve">Yes, there is evidence to support the claim that a lack of FGF21 in mice slows the rate of atherosclerotic plaque formation. </w:t>
            </w:r>
            <w:r>
              <w:br/>
              <w:t>1. FGF21 stands for Fibroblast Growth Factor 21, which is a hormone that regulates glucose and lipid metabolism.</w:t>
            </w:r>
            <w:r>
              <w:br/>
              <w:t>2. Atherosclerosis is a condition characterized by the accumulation of plaque in the arteries, leading to reduced blood flow and potential cardiovascular complications.</w:t>
            </w:r>
            <w:r>
              <w:br/>
              <w:t xml:space="preserve">3. Multiple studies have investigated the role of FGF21 in atherosclerosis development. One such study titled "FGF21 regulates endothelial barrier function during atherosclerosis" (published in 2013) found that FGF21 deficiency in mice reduced endothelial barrier function and accelerated atherosclerotic plaque growth. </w:t>
            </w:r>
            <w:r>
              <w:br/>
              <w:t>4. Another study titled "Diabetic levels of FGF21 result in reduced atherosclerosis" (published in 2011) reported that FGF21 overexpression in diabetic mice reduced atherosclerotic plaque formation.</w:t>
            </w:r>
            <w:r>
              <w:br/>
              <w:t>5. Furthermore, a study titled "FGF21 protects against atherosclerosis by attenuating endothelial dysfunction and inflammation" (published in 2015) demonstrated that FGF21 treatment of mice inhibited atherosclerosis progression by improving endothelial function and reducing inflammation within the arterial wall.</w:t>
            </w:r>
            <w:r>
              <w:br/>
            </w:r>
            <w:r>
              <w:lastRenderedPageBreak/>
              <w:t>Therefore, based on these factual statements and the available research, it can be concluded that the lack of FGF21 in mice indeed slows the rate of atherosclerotic plaque formation.</w:t>
            </w:r>
          </w:p>
        </w:tc>
      </w:tr>
      <w:tr w:rsidR="008C45D6" w14:paraId="19D314EE" w14:textId="77777777">
        <w:tc>
          <w:tcPr>
            <w:tcW w:w="4320" w:type="dxa"/>
          </w:tcPr>
          <w:p w14:paraId="296FA0DC"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7AF343" w14:textId="72DB9D45" w:rsidR="008C45D6" w:rsidRPr="00773991" w:rsidRDefault="00773991">
            <w:pPr>
              <w:rPr>
                <w:rFonts w:eastAsia="宋体"/>
                <w:lang w:eastAsia="zh-CN"/>
              </w:rPr>
            </w:pPr>
            <w:r>
              <w:rPr>
                <w:rFonts w:eastAsia="宋体" w:hint="eastAsia"/>
                <w:lang w:eastAsia="zh-CN"/>
              </w:rPr>
              <w:t>1</w:t>
            </w:r>
          </w:p>
        </w:tc>
      </w:tr>
      <w:tr w:rsidR="008C45D6" w14:paraId="3C69F747" w14:textId="77777777">
        <w:tc>
          <w:tcPr>
            <w:tcW w:w="4320" w:type="dxa"/>
          </w:tcPr>
          <w:p w14:paraId="51D69BCB" w14:textId="77777777" w:rsidR="008C45D6" w:rsidRDefault="00000000">
            <w:r>
              <w:rPr>
                <w:rFonts w:ascii="仿宋" w:eastAsia="仿宋" w:hAnsi="仿宋"/>
              </w:rPr>
              <w:t>提取的事实</w:t>
            </w:r>
          </w:p>
        </w:tc>
        <w:tc>
          <w:tcPr>
            <w:tcW w:w="4320" w:type="dxa"/>
          </w:tcPr>
          <w:p w14:paraId="31239077" w14:textId="77777777" w:rsidR="008C45D6" w:rsidRDefault="00000000">
            <w:r>
              <w:t>1. FGF21 stands for Fibroblast Growth Factor 21, a hormone that regulates glucose and lipid metabolism.</w:t>
            </w:r>
            <w:r>
              <w:br/>
              <w:t>2. Atherosclerosis is a condition where plaque accumulates in the arteries, reducing blood flow and potentially causing cardiovascular complications.</w:t>
            </w:r>
            <w:r>
              <w:br/>
              <w:t>3. The study "FGF21 regulates endothelial barrier function during atherosclerosis" found that FGF21 deficiency in mice accelerated atherosclerotic plaque growth.</w:t>
            </w:r>
            <w:r>
              <w:br/>
              <w:t>4. The study "Diabetic levels of FGF21 result in reduced atherosclerosis" found that FGF21 overexpression in diabetic mice reduced plaque formation.</w:t>
            </w:r>
            <w:r>
              <w:br/>
              <w:t>5. The study "FGF21 protects against atherosclerosis by attenuating endothelial dysfunction and inflammation" demonstrated that FGF21 treatment in mice inhibited atherosclerosis progression.</w:t>
            </w:r>
          </w:p>
        </w:tc>
      </w:tr>
      <w:tr w:rsidR="008C45D6" w14:paraId="105AB1DE" w14:textId="77777777">
        <w:tc>
          <w:tcPr>
            <w:tcW w:w="4320" w:type="dxa"/>
          </w:tcPr>
          <w:p w14:paraId="484034A9"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2311760" w14:textId="014F74CC" w:rsidR="008C45D6" w:rsidRPr="00773991" w:rsidRDefault="00773991">
            <w:pPr>
              <w:rPr>
                <w:rFonts w:eastAsia="宋体"/>
                <w:lang w:eastAsia="zh-CN"/>
              </w:rPr>
            </w:pPr>
            <w:r>
              <w:rPr>
                <w:rFonts w:eastAsia="宋体" w:hint="eastAsia"/>
                <w:lang w:eastAsia="zh-CN"/>
              </w:rPr>
              <w:t>1</w:t>
            </w:r>
            <w:r>
              <w:rPr>
                <w:rFonts w:eastAsia="宋体"/>
                <w:lang w:eastAsia="zh-CN"/>
              </w:rPr>
              <w:t>,1,</w:t>
            </w:r>
            <w:r w:rsidR="00BE118A">
              <w:rPr>
                <w:rFonts w:eastAsia="宋体"/>
                <w:lang w:eastAsia="zh-CN"/>
              </w:rPr>
              <w:t>3</w:t>
            </w:r>
            <w:r>
              <w:rPr>
                <w:rFonts w:eastAsia="宋体"/>
                <w:lang w:eastAsia="zh-CN"/>
              </w:rPr>
              <w:t>,</w:t>
            </w:r>
            <w:r w:rsidR="00BE118A">
              <w:rPr>
                <w:rFonts w:eastAsia="宋体"/>
                <w:lang w:eastAsia="zh-CN"/>
              </w:rPr>
              <w:t>7</w:t>
            </w:r>
            <w:r>
              <w:rPr>
                <w:rFonts w:eastAsia="宋体"/>
                <w:lang w:eastAsia="zh-CN"/>
              </w:rPr>
              <w:t>,</w:t>
            </w:r>
            <w:r w:rsidR="00BE118A">
              <w:rPr>
                <w:rFonts w:eastAsia="宋体"/>
                <w:lang w:eastAsia="zh-CN"/>
              </w:rPr>
              <w:t>7</w:t>
            </w:r>
          </w:p>
        </w:tc>
      </w:tr>
    </w:tbl>
    <w:p w14:paraId="02664C0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8C45D6" w14:paraId="70FA7EE1" w14:textId="77777777">
        <w:tc>
          <w:tcPr>
            <w:tcW w:w="4320" w:type="dxa"/>
          </w:tcPr>
          <w:p w14:paraId="297F2267" w14:textId="77777777" w:rsidR="008C45D6" w:rsidRDefault="00000000">
            <w:r>
              <w:t>ID</w:t>
            </w:r>
          </w:p>
        </w:tc>
        <w:tc>
          <w:tcPr>
            <w:tcW w:w="10080" w:type="dxa"/>
          </w:tcPr>
          <w:p w14:paraId="0D5780F2" w14:textId="77777777" w:rsidR="008C45D6" w:rsidRDefault="00000000">
            <w:r>
              <w:t>407(14)</w:t>
            </w:r>
          </w:p>
        </w:tc>
      </w:tr>
      <w:tr w:rsidR="008C45D6" w14:paraId="1998C493" w14:textId="77777777">
        <w:tc>
          <w:tcPr>
            <w:tcW w:w="4320" w:type="dxa"/>
          </w:tcPr>
          <w:p w14:paraId="54E27C11" w14:textId="77777777" w:rsidR="008C45D6" w:rsidRDefault="00000000">
            <w:r>
              <w:rPr>
                <w:rFonts w:ascii="仿宋" w:eastAsia="仿宋" w:hAnsi="仿宋"/>
              </w:rPr>
              <w:t>领域</w:t>
            </w:r>
          </w:p>
        </w:tc>
        <w:tc>
          <w:tcPr>
            <w:tcW w:w="4320" w:type="dxa"/>
          </w:tcPr>
          <w:p w14:paraId="0FBE7B9C" w14:textId="77777777" w:rsidR="008C45D6" w:rsidRDefault="00000000">
            <w:r>
              <w:t>Science</w:t>
            </w:r>
          </w:p>
        </w:tc>
      </w:tr>
      <w:tr w:rsidR="008C45D6" w14:paraId="0D9AAF33" w14:textId="77777777">
        <w:tc>
          <w:tcPr>
            <w:tcW w:w="4320" w:type="dxa"/>
          </w:tcPr>
          <w:p w14:paraId="14B9F806" w14:textId="77777777" w:rsidR="008C45D6" w:rsidRDefault="00000000">
            <w:r>
              <w:rPr>
                <w:rFonts w:ascii="仿宋" w:eastAsia="仿宋" w:hAnsi="仿宋"/>
              </w:rPr>
              <w:t>用户问题</w:t>
            </w:r>
          </w:p>
        </w:tc>
        <w:tc>
          <w:tcPr>
            <w:tcW w:w="4320" w:type="dxa"/>
          </w:tcPr>
          <w:p w14:paraId="3D6CAFA2" w14:textId="77777777" w:rsidR="008C45D6" w:rsidRDefault="00000000">
            <w:r>
              <w:t xml:space="preserve">What is the validity of the assertion that "Lice attenuated SIV vaccines induce a stronger antigen-specific T cell response in </w:t>
            </w:r>
            <w:r>
              <w:lastRenderedPageBreak/>
              <w:t>lymph node cells."? Outline fact-based statements about the assertion.</w:t>
            </w:r>
          </w:p>
        </w:tc>
      </w:tr>
      <w:tr w:rsidR="008C45D6" w14:paraId="179539E5" w14:textId="77777777">
        <w:tc>
          <w:tcPr>
            <w:tcW w:w="4320" w:type="dxa"/>
          </w:tcPr>
          <w:p w14:paraId="023FE6BC" w14:textId="77777777" w:rsidR="008C45D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837E68" w14:textId="16914E93" w:rsidR="008C45D6" w:rsidRPr="00773991" w:rsidRDefault="00773991">
            <w:pPr>
              <w:rPr>
                <w:rFonts w:eastAsia="宋体"/>
                <w:lang w:eastAsia="zh-CN"/>
              </w:rPr>
            </w:pPr>
            <w:r>
              <w:rPr>
                <w:rFonts w:eastAsia="宋体" w:hint="eastAsia"/>
                <w:lang w:eastAsia="zh-CN"/>
              </w:rPr>
              <w:t>3</w:t>
            </w:r>
            <w:r>
              <w:rPr>
                <w:rFonts w:eastAsia="宋体"/>
                <w:lang w:eastAsia="zh-CN"/>
              </w:rPr>
              <w:t>,3,4</w:t>
            </w:r>
          </w:p>
        </w:tc>
      </w:tr>
      <w:tr w:rsidR="008C45D6" w14:paraId="7E7757B2" w14:textId="77777777">
        <w:tc>
          <w:tcPr>
            <w:tcW w:w="4320" w:type="dxa"/>
          </w:tcPr>
          <w:p w14:paraId="52DAD610" w14:textId="77777777" w:rsidR="008C45D6" w:rsidRDefault="00000000">
            <w:r>
              <w:rPr>
                <w:rFonts w:ascii="仿宋" w:eastAsia="仿宋" w:hAnsi="仿宋"/>
              </w:rPr>
              <w:t>模型回复</w:t>
            </w:r>
          </w:p>
        </w:tc>
        <w:tc>
          <w:tcPr>
            <w:tcW w:w="4320" w:type="dxa"/>
          </w:tcPr>
          <w:p w14:paraId="305315C8" w14:textId="77777777" w:rsidR="008C45D6" w:rsidRDefault="00000000">
            <w:r>
              <w:t>To determine the validity of the assertion, "Lice attenuated SIV vaccines induce a stronger antigen-specific T cell response in lymph node cells," we need to rely on fact-based statements. Here are some key points to consider:</w:t>
            </w:r>
            <w:r>
              <w:br/>
              <w:t>1. Research studies: Scientific studies play a crucial role in assessing the validity of such assertions. Look for peer-reviewed research articles or studies that have specifically investigated the use of lice attenuated SIV vaccines and their impact on antigen-specific T cell responses in lymph node cells.</w:t>
            </w:r>
            <w:r>
              <w:br/>
              <w:t>2. Animal models: Research involving animal models, particularly non-human primates, can provide valuable insights into the effectiveness of lice attenuated SIV vaccines in stimulating T cell responses. Look for studies that have used relevant animal models to assess the assertion.</w:t>
            </w:r>
            <w:r>
              <w:br/>
              <w:t>3. Comparisons to other vaccines: It's essential to compare the strength of the antigen-specific T cell response induced by lice attenuated SIV vaccines with other types of vaccines targeting the same antigen. Assess studies that have compared lice attenuated SIV vaccines with alternative vaccine types in terms of T cell responses.</w:t>
            </w:r>
            <w:r>
              <w:br/>
              <w:t>4. Quantitative data: Evaluate whether the studies presenting the assertion have provided quantitative measurements of the T cell response, such as the frequency, magnitude, or functional parameters of antigen-specific T cells within lymph nodes. Data that supports a statistically significant increase in T cell response in vaccinated individuals would strengthen the assertion.</w:t>
            </w:r>
            <w:r>
              <w:br/>
              <w:t>5. Immunological assays: Researchers commonly employ various immunological assays to evaluate T cell responses, such as ELISPOT, intracellular cytokine staining, or tetramer analysis. Look for studies that have utilized these assays to support the assertion.</w:t>
            </w:r>
            <w:r>
              <w:br/>
            </w:r>
            <w:r>
              <w:lastRenderedPageBreak/>
              <w:t>6. Consistency of findings: It is crucial to examine the body of evidence as a whole. Assess whether multiple studies or experiments have consistently reported stronger antigen-specific T cell responses in lymph node cells following vaccination with lice attenuated SIV vaccines.</w:t>
            </w:r>
            <w:r>
              <w:br/>
              <w:t>Remember, to establish the validity of this assertion, it is necessary to have sufficient scientific evidence, preferably from multiple independent studies or experiments, showing a consistent and statistically significant increase in antigen-specific T cell responses in lymph node cells following lice attenuated SIV vaccination.</w:t>
            </w:r>
          </w:p>
        </w:tc>
      </w:tr>
      <w:tr w:rsidR="008C45D6" w14:paraId="7ED559B9" w14:textId="77777777">
        <w:tc>
          <w:tcPr>
            <w:tcW w:w="4320" w:type="dxa"/>
          </w:tcPr>
          <w:p w14:paraId="436C30CA"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898893B" w14:textId="5F801453" w:rsidR="008C45D6" w:rsidRPr="00773991" w:rsidRDefault="00773991">
            <w:pPr>
              <w:rPr>
                <w:rFonts w:eastAsia="宋体"/>
                <w:lang w:eastAsia="zh-CN"/>
              </w:rPr>
            </w:pPr>
            <w:r>
              <w:rPr>
                <w:rFonts w:eastAsia="宋体" w:hint="eastAsia"/>
                <w:lang w:eastAsia="zh-CN"/>
              </w:rPr>
              <w:t>1</w:t>
            </w:r>
          </w:p>
        </w:tc>
      </w:tr>
      <w:tr w:rsidR="008C45D6" w14:paraId="6FE0BD95" w14:textId="77777777">
        <w:tc>
          <w:tcPr>
            <w:tcW w:w="4320" w:type="dxa"/>
          </w:tcPr>
          <w:p w14:paraId="59DFFE60" w14:textId="77777777" w:rsidR="008C45D6" w:rsidRDefault="00000000">
            <w:r>
              <w:rPr>
                <w:rFonts w:ascii="仿宋" w:eastAsia="仿宋" w:hAnsi="仿宋"/>
              </w:rPr>
              <w:t>提取的事实</w:t>
            </w:r>
          </w:p>
        </w:tc>
        <w:tc>
          <w:tcPr>
            <w:tcW w:w="4320" w:type="dxa"/>
          </w:tcPr>
          <w:p w14:paraId="012E7F92" w14:textId="77777777" w:rsidR="008C45D6" w:rsidRDefault="00000000">
            <w:r>
              <w:t>1. Research studies, specifically peer-reviewed research articles or studies, are crucial in assessing the impact of lice attenuated SIV vaccines on antigen-specific T cell responses in lymph node cells.</w:t>
            </w:r>
            <w:r>
              <w:br/>
              <w:t>2. Animal models, especially non-human primates, are often used in researching the effectiveness of lice attenuated SIV vaccines in stimulating T cell responses.</w:t>
            </w:r>
            <w:r>
              <w:br/>
              <w:t>3. Comparisons to other types of vaccines targeting the same antigen are important in evaluating the strength of the antigen-specific T cell response induced by lice attenuated SIV vaccines.</w:t>
            </w:r>
            <w:r>
              <w:br/>
              <w:t>4. Quantitative data such as the frequency, magnitude, or functional parameters of antigen-specific T cells within lymph nodes can support the validation of the assertion.</w:t>
            </w:r>
            <w:r>
              <w:br/>
              <w:t>5. To evaluate T cell responses, researchers commonly employ various immunological assays like ELISPOT, intracellular cytokine staining, or tetramer analysis.</w:t>
            </w:r>
          </w:p>
        </w:tc>
      </w:tr>
      <w:tr w:rsidR="008C45D6" w14:paraId="139EDD8F" w14:textId="77777777">
        <w:tc>
          <w:tcPr>
            <w:tcW w:w="4320" w:type="dxa"/>
          </w:tcPr>
          <w:p w14:paraId="1BD5EA27"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7884A445" w14:textId="4E04FB78" w:rsidR="008C45D6" w:rsidRPr="00773991" w:rsidRDefault="00AA16C2">
            <w:pPr>
              <w:rPr>
                <w:rFonts w:eastAsia="宋体"/>
                <w:lang w:eastAsia="zh-CN"/>
              </w:rPr>
            </w:pPr>
            <w:r>
              <w:rPr>
                <w:rFonts w:eastAsia="宋体"/>
                <w:lang w:eastAsia="zh-CN"/>
              </w:rPr>
              <w:lastRenderedPageBreak/>
              <w:t>7</w:t>
            </w:r>
            <w:r w:rsidR="00773991">
              <w:rPr>
                <w:rFonts w:eastAsia="宋体"/>
                <w:lang w:eastAsia="zh-CN"/>
              </w:rPr>
              <w:t>,</w:t>
            </w:r>
            <w:r>
              <w:rPr>
                <w:rFonts w:eastAsia="宋体"/>
                <w:lang w:eastAsia="zh-CN"/>
              </w:rPr>
              <w:t>7</w:t>
            </w:r>
            <w:r w:rsidR="00773991">
              <w:rPr>
                <w:rFonts w:eastAsia="宋体"/>
                <w:lang w:eastAsia="zh-CN"/>
              </w:rPr>
              <w:t>,</w:t>
            </w:r>
            <w:r>
              <w:rPr>
                <w:rFonts w:eastAsia="宋体"/>
                <w:lang w:eastAsia="zh-CN"/>
              </w:rPr>
              <w:t>7</w:t>
            </w:r>
            <w:r w:rsidR="00773991">
              <w:rPr>
                <w:rFonts w:eastAsia="宋体"/>
                <w:lang w:eastAsia="zh-CN"/>
              </w:rPr>
              <w:t>,</w:t>
            </w:r>
            <w:r w:rsidR="008D7962">
              <w:rPr>
                <w:rFonts w:eastAsia="宋体"/>
                <w:lang w:eastAsia="zh-CN"/>
              </w:rPr>
              <w:t>1</w:t>
            </w:r>
            <w:r w:rsidR="00773991">
              <w:rPr>
                <w:rFonts w:eastAsia="宋体"/>
                <w:lang w:eastAsia="zh-CN"/>
              </w:rPr>
              <w:t>,1</w:t>
            </w:r>
          </w:p>
        </w:tc>
      </w:tr>
    </w:tbl>
    <w:p w14:paraId="50A67F6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8C45D6" w14:paraId="5BE13081" w14:textId="77777777">
        <w:tc>
          <w:tcPr>
            <w:tcW w:w="4320" w:type="dxa"/>
          </w:tcPr>
          <w:p w14:paraId="1E728510" w14:textId="77777777" w:rsidR="008C45D6" w:rsidRDefault="00000000">
            <w:r>
              <w:t>ID</w:t>
            </w:r>
          </w:p>
        </w:tc>
        <w:tc>
          <w:tcPr>
            <w:tcW w:w="10080" w:type="dxa"/>
          </w:tcPr>
          <w:p w14:paraId="2A6766D8" w14:textId="77777777" w:rsidR="008C45D6" w:rsidRDefault="00000000">
            <w:r>
              <w:t>410(15)</w:t>
            </w:r>
          </w:p>
        </w:tc>
      </w:tr>
      <w:tr w:rsidR="008C45D6" w14:paraId="07DF2824" w14:textId="77777777">
        <w:tc>
          <w:tcPr>
            <w:tcW w:w="4320" w:type="dxa"/>
          </w:tcPr>
          <w:p w14:paraId="690E9C01" w14:textId="77777777" w:rsidR="008C45D6" w:rsidRDefault="00000000">
            <w:r>
              <w:rPr>
                <w:rFonts w:ascii="仿宋" w:eastAsia="仿宋" w:hAnsi="仿宋"/>
              </w:rPr>
              <w:t>领域</w:t>
            </w:r>
          </w:p>
        </w:tc>
        <w:tc>
          <w:tcPr>
            <w:tcW w:w="4320" w:type="dxa"/>
          </w:tcPr>
          <w:p w14:paraId="7083B5B7" w14:textId="77777777" w:rsidR="008C45D6" w:rsidRDefault="00000000">
            <w:r>
              <w:t>Science</w:t>
            </w:r>
          </w:p>
        </w:tc>
      </w:tr>
      <w:tr w:rsidR="008C45D6" w14:paraId="2EAE12E8" w14:textId="77777777">
        <w:tc>
          <w:tcPr>
            <w:tcW w:w="4320" w:type="dxa"/>
          </w:tcPr>
          <w:p w14:paraId="1713ADE5" w14:textId="77777777" w:rsidR="008C45D6" w:rsidRDefault="00000000">
            <w:r>
              <w:rPr>
                <w:rFonts w:ascii="仿宋" w:eastAsia="仿宋" w:hAnsi="仿宋"/>
              </w:rPr>
              <w:t>用户问题</w:t>
            </w:r>
          </w:p>
        </w:tc>
        <w:tc>
          <w:tcPr>
            <w:tcW w:w="4320" w:type="dxa"/>
          </w:tcPr>
          <w:p w14:paraId="6902E23C" w14:textId="77777777" w:rsidR="008C45D6" w:rsidRDefault="00000000">
            <w:r>
              <w:t>Consider the following statement: "Localization of PIN1 in the roots of Arabidopsis requires VPS9a" Is it right? Present fact-based arguments about the statement.</w:t>
            </w:r>
          </w:p>
        </w:tc>
      </w:tr>
      <w:tr w:rsidR="008C45D6" w14:paraId="2A0E65D0" w14:textId="77777777">
        <w:tc>
          <w:tcPr>
            <w:tcW w:w="4320" w:type="dxa"/>
          </w:tcPr>
          <w:p w14:paraId="6718127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894450" w14:textId="704F19D7" w:rsidR="008C45D6" w:rsidRPr="00773991" w:rsidRDefault="00773991">
            <w:pPr>
              <w:rPr>
                <w:rFonts w:eastAsia="宋体"/>
                <w:lang w:eastAsia="zh-CN"/>
              </w:rPr>
            </w:pPr>
            <w:r>
              <w:rPr>
                <w:rFonts w:eastAsia="宋体" w:hint="eastAsia"/>
                <w:lang w:eastAsia="zh-CN"/>
              </w:rPr>
              <w:t>4</w:t>
            </w:r>
            <w:r>
              <w:rPr>
                <w:rFonts w:eastAsia="宋体"/>
                <w:lang w:eastAsia="zh-CN"/>
              </w:rPr>
              <w:t>,2,3</w:t>
            </w:r>
          </w:p>
        </w:tc>
      </w:tr>
      <w:tr w:rsidR="008C45D6" w14:paraId="74D055BD" w14:textId="77777777">
        <w:tc>
          <w:tcPr>
            <w:tcW w:w="4320" w:type="dxa"/>
          </w:tcPr>
          <w:p w14:paraId="0564B19C" w14:textId="77777777" w:rsidR="008C45D6" w:rsidRDefault="00000000">
            <w:r>
              <w:rPr>
                <w:rFonts w:ascii="仿宋" w:eastAsia="仿宋" w:hAnsi="仿宋"/>
              </w:rPr>
              <w:t>模型回复</w:t>
            </w:r>
          </w:p>
        </w:tc>
        <w:tc>
          <w:tcPr>
            <w:tcW w:w="4320" w:type="dxa"/>
          </w:tcPr>
          <w:p w14:paraId="02FE675F" w14:textId="77777777" w:rsidR="008C45D6" w:rsidRDefault="00000000">
            <w:r>
              <w:t>To determine the accuracy of the statement "Localization of PIN1 in the roots of Arabidopsis requires VPS9a," we need to analyze the available scientific evidence regarding the localization of PIN1 and the involvement of VPS9a in this process. Here are fact-based arguments to consider:</w:t>
            </w:r>
            <w:r>
              <w:br/>
              <w:t>1. Localization of PIN1 in roots: Several studies have demonstrated that the protein PIN1 (PIN-FORMED 1) plays a crucial role in the polar transport of auxin in plant roots. Auxin transporters, including PIN1, undergo polar localization, with PIN1 mainly being localized at the basal end of root cells. This polar localization of PIN1 is crucial for the establishment and maintenance of proper auxin gradients in plant root cells.</w:t>
            </w:r>
            <w:r>
              <w:br/>
              <w:t>2. VPS9a and its role: VPS9a is a member of the VPS9 domain-containing proteins, which are involved in regulating vesicle trafficking and protein sorting in cells. VPS9a has been implicated in the regulation of endosomal trafficking and vacuolar protein sorting in Arabidopsis. It is known to interact with the retromer complex, which aids in cargo retrieval from endosomes to the trans-Golgi network.</w:t>
            </w:r>
            <w:r>
              <w:br/>
              <w:t xml:space="preserve">3. Research on PIN1 localization: Several studies have investigated the factors involved in the localization of PIN1 in Arabidopsis roots. Some of these studies have focused on the role of VPS9a in this process. For example, a study by Geldner and colleagues (2009) identified VPS9a as an interacting </w:t>
            </w:r>
            <w:r>
              <w:lastRenderedPageBreak/>
              <w:t>partner of PIN1 using a proteomic approach. This study suggested that VPS9a could be involved in the regulation of PIN1 trafficking and localization.</w:t>
            </w:r>
            <w:r>
              <w:br/>
              <w:t>4. Further studies and evidence: Additionally, a different study by Dhonukshe and colleagues (2010) investigated the role of VPS9a in the trafficking and recycling of PIN1 in Arabidopsis roots. They found that VPS9a mutants exhibited defects in PIN1 localization, resulting in aberrant auxin distribution and root developmental defects. This study provided further evidence for the involvement of VPS9a in the proper localization of PIN1.</w:t>
            </w:r>
            <w:r>
              <w:br/>
              <w:t>Based on the available evidence, it is therefore factually supported that the statement "Localization of PIN1 in the roots of Arabidopsis requires VPS9a" is accurate. The studies mentioned provide experimental evidence suggesting that VPS9a is indeed involved in the regulation of PIN1 trafficking and localization in Arabidopsis roots.</w:t>
            </w:r>
          </w:p>
        </w:tc>
      </w:tr>
      <w:tr w:rsidR="008C45D6" w14:paraId="5C731497" w14:textId="77777777">
        <w:tc>
          <w:tcPr>
            <w:tcW w:w="4320" w:type="dxa"/>
          </w:tcPr>
          <w:p w14:paraId="777636A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1AE941" w14:textId="6BA7C9F2" w:rsidR="008C45D6" w:rsidRPr="00773991" w:rsidRDefault="00773991">
            <w:pPr>
              <w:rPr>
                <w:rFonts w:eastAsia="宋体"/>
                <w:lang w:eastAsia="zh-CN"/>
              </w:rPr>
            </w:pPr>
            <w:r>
              <w:rPr>
                <w:rFonts w:eastAsia="宋体" w:hint="eastAsia"/>
                <w:lang w:eastAsia="zh-CN"/>
              </w:rPr>
              <w:t>1</w:t>
            </w:r>
          </w:p>
        </w:tc>
      </w:tr>
      <w:tr w:rsidR="008C45D6" w14:paraId="14AD5DFF" w14:textId="77777777">
        <w:tc>
          <w:tcPr>
            <w:tcW w:w="4320" w:type="dxa"/>
          </w:tcPr>
          <w:p w14:paraId="45E9C49D" w14:textId="77777777" w:rsidR="008C45D6" w:rsidRDefault="00000000">
            <w:r>
              <w:rPr>
                <w:rFonts w:ascii="仿宋" w:eastAsia="仿宋" w:hAnsi="仿宋"/>
              </w:rPr>
              <w:t>提取的事实</w:t>
            </w:r>
          </w:p>
        </w:tc>
        <w:tc>
          <w:tcPr>
            <w:tcW w:w="4320" w:type="dxa"/>
          </w:tcPr>
          <w:p w14:paraId="34289A1F" w14:textId="77777777" w:rsidR="008C45D6" w:rsidRDefault="00000000">
            <w:r>
              <w:t>1. The protein PIN1 plays a crucial role in the polar transport of auxin in plant roots.</w:t>
            </w:r>
            <w:r>
              <w:br/>
              <w:t>2. PIN1 mainly localizes at the basal end of root cells which is crucial for the establishment and maintenance of proper auxin gradients.</w:t>
            </w:r>
            <w:r>
              <w:br/>
              <w:t>3. VPS9a is a member of the VPS9 domain-containing proteins, known to regulate vesicle trafficking and protein sorting in cells, including endosomal trafficking and vacuolar protein sorting in Arabidopsis.</w:t>
            </w:r>
            <w:r>
              <w:br/>
              <w:t>4. A study by Geldner et al., (2009) identified VPS9a as an interacting partner of PIN1, implying a role in regulating PIN1 trafficking and localization.</w:t>
            </w:r>
            <w:r>
              <w:br/>
              <w:t>5. A study by Dhonukshe et al., (2010) found that VPS9a mutants exhibited defects in PIN1 localization, suggesting the involvement of VPS9a in the proper localization of PIN1.</w:t>
            </w:r>
          </w:p>
        </w:tc>
      </w:tr>
      <w:tr w:rsidR="008C45D6" w14:paraId="6556DD67" w14:textId="77777777">
        <w:tc>
          <w:tcPr>
            <w:tcW w:w="4320" w:type="dxa"/>
          </w:tcPr>
          <w:p w14:paraId="59FBC518"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AC5122C" w14:textId="587CE436" w:rsidR="008C45D6" w:rsidRPr="00773991" w:rsidRDefault="00773991">
            <w:pPr>
              <w:rPr>
                <w:rFonts w:eastAsia="宋体"/>
                <w:lang w:eastAsia="zh-CN"/>
              </w:rPr>
            </w:pPr>
            <w:r>
              <w:rPr>
                <w:rFonts w:eastAsia="宋体" w:hint="eastAsia"/>
                <w:lang w:eastAsia="zh-CN"/>
              </w:rPr>
              <w:lastRenderedPageBreak/>
              <w:t>1</w:t>
            </w:r>
            <w:r>
              <w:rPr>
                <w:rFonts w:eastAsia="宋体"/>
                <w:lang w:eastAsia="zh-CN"/>
              </w:rPr>
              <w:t>,1,1,1,3</w:t>
            </w:r>
          </w:p>
        </w:tc>
      </w:tr>
    </w:tbl>
    <w:p w14:paraId="507893D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9"/>
        <w:gridCol w:w="5991"/>
      </w:tblGrid>
      <w:tr w:rsidR="008C45D6" w14:paraId="04743B27" w14:textId="77777777">
        <w:tc>
          <w:tcPr>
            <w:tcW w:w="4320" w:type="dxa"/>
          </w:tcPr>
          <w:p w14:paraId="3CCC1CEF" w14:textId="77777777" w:rsidR="008C45D6" w:rsidRDefault="00000000">
            <w:r>
              <w:t>ID</w:t>
            </w:r>
          </w:p>
        </w:tc>
        <w:tc>
          <w:tcPr>
            <w:tcW w:w="10080" w:type="dxa"/>
          </w:tcPr>
          <w:p w14:paraId="7D7ECC65" w14:textId="77777777" w:rsidR="008C45D6" w:rsidRDefault="00000000">
            <w:r>
              <w:t>415(16)</w:t>
            </w:r>
          </w:p>
        </w:tc>
      </w:tr>
      <w:tr w:rsidR="008C45D6" w14:paraId="19B31DD4" w14:textId="77777777">
        <w:tc>
          <w:tcPr>
            <w:tcW w:w="4320" w:type="dxa"/>
          </w:tcPr>
          <w:p w14:paraId="7A0DEF67" w14:textId="77777777" w:rsidR="008C45D6" w:rsidRDefault="00000000">
            <w:r>
              <w:rPr>
                <w:rFonts w:ascii="仿宋" w:eastAsia="仿宋" w:hAnsi="仿宋"/>
              </w:rPr>
              <w:t>领域</w:t>
            </w:r>
          </w:p>
        </w:tc>
        <w:tc>
          <w:tcPr>
            <w:tcW w:w="4320" w:type="dxa"/>
          </w:tcPr>
          <w:p w14:paraId="03A63104" w14:textId="77777777" w:rsidR="008C45D6" w:rsidRDefault="00000000">
            <w:r>
              <w:t>Science</w:t>
            </w:r>
          </w:p>
        </w:tc>
      </w:tr>
      <w:tr w:rsidR="008C45D6" w14:paraId="7598F7CA" w14:textId="77777777">
        <w:tc>
          <w:tcPr>
            <w:tcW w:w="4320" w:type="dxa"/>
          </w:tcPr>
          <w:p w14:paraId="078C0A69" w14:textId="77777777" w:rsidR="008C45D6" w:rsidRDefault="00000000">
            <w:r>
              <w:rPr>
                <w:rFonts w:ascii="仿宋" w:eastAsia="仿宋" w:hAnsi="仿宋"/>
              </w:rPr>
              <w:t>用户问题</w:t>
            </w:r>
          </w:p>
        </w:tc>
        <w:tc>
          <w:tcPr>
            <w:tcW w:w="4320" w:type="dxa"/>
          </w:tcPr>
          <w:p w14:paraId="2278210F" w14:textId="77777777" w:rsidR="008C45D6" w:rsidRDefault="00000000">
            <w:r>
              <w:t>Consider the following statement: "Low expression of miR7a does not repress target genes or exert a biological function in ovaries." Is it right? Present fact-based arguments about the statement.</w:t>
            </w:r>
          </w:p>
        </w:tc>
      </w:tr>
      <w:tr w:rsidR="008C45D6" w14:paraId="5441D864" w14:textId="77777777">
        <w:tc>
          <w:tcPr>
            <w:tcW w:w="4320" w:type="dxa"/>
          </w:tcPr>
          <w:p w14:paraId="0866FB3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BF558C" w14:textId="280C1A6F" w:rsidR="008C45D6" w:rsidRPr="00773991" w:rsidRDefault="00773991">
            <w:pPr>
              <w:rPr>
                <w:rFonts w:eastAsia="宋体"/>
                <w:lang w:eastAsia="zh-CN"/>
              </w:rPr>
            </w:pPr>
            <w:r>
              <w:rPr>
                <w:rFonts w:eastAsia="宋体" w:hint="eastAsia"/>
                <w:lang w:eastAsia="zh-CN"/>
              </w:rPr>
              <w:t>4</w:t>
            </w:r>
            <w:r>
              <w:rPr>
                <w:rFonts w:eastAsia="宋体"/>
                <w:lang w:eastAsia="zh-CN"/>
              </w:rPr>
              <w:t>,3,4</w:t>
            </w:r>
          </w:p>
        </w:tc>
      </w:tr>
      <w:tr w:rsidR="008C45D6" w14:paraId="4B8481E8" w14:textId="77777777">
        <w:tc>
          <w:tcPr>
            <w:tcW w:w="4320" w:type="dxa"/>
          </w:tcPr>
          <w:p w14:paraId="7D1749F8" w14:textId="77777777" w:rsidR="008C45D6" w:rsidRDefault="00000000">
            <w:r>
              <w:rPr>
                <w:rFonts w:ascii="仿宋" w:eastAsia="仿宋" w:hAnsi="仿宋"/>
              </w:rPr>
              <w:t>模型回复</w:t>
            </w:r>
          </w:p>
        </w:tc>
        <w:tc>
          <w:tcPr>
            <w:tcW w:w="4320" w:type="dxa"/>
          </w:tcPr>
          <w:p w14:paraId="017DA08A" w14:textId="77777777" w:rsidR="008C45D6" w:rsidRDefault="00000000">
            <w:r>
              <w:t>To determine the accuracy of the statement "Low expression of miR7a does not repress target genes or exert a biological function in ovaries," we need to explore relevant research and scientific evidence. Based on the available information, there are several fact-based arguments to consider:</w:t>
            </w:r>
            <w:r>
              <w:br/>
              <w:t>1. miR7a expression: miR7a is a microRNA molecule that plays crucial roles in gene regulation. Research studies have shown that miR7a is expressed in ovaries, indicating its presence and potential relevance in this tissue.</w:t>
            </w:r>
            <w:r>
              <w:br/>
              <w:t xml:space="preserve">   - One study published in Cell Physiology and Biochemistry (2012) demonstrated the presence of miR7a in the miRNA profile of ovarian tissue samples.</w:t>
            </w:r>
            <w:r>
              <w:br/>
              <w:t xml:space="preserve">   - Another study published in the journal Molecular and Cellular Endocrinology (2019) specifically investigated miR7a expression patterns in ovarian cancer cells.</w:t>
            </w:r>
            <w:r>
              <w:br/>
              <w:t>2. miR7a target genes: Numerous studies have identified specific target genes that are regulated by miR7a in various biological contexts. It is reasonable to assume that miR7a might also regulate target genes in ovaries.</w:t>
            </w:r>
            <w:r>
              <w:br/>
              <w:t xml:space="preserve">   - For instance, a study published in Oncotarget (2016) identified PTEN (a tumor suppressor gene) as a target of </w:t>
            </w:r>
            <w:r>
              <w:lastRenderedPageBreak/>
              <w:t>miR7a in ovarian cancer cells.</w:t>
            </w:r>
            <w:r>
              <w:br/>
              <w:t>3. Repression of target genes: miRNAs, including miR7a, generally function by binding to complementary sequences on their target mRNA molecules, resulting in the repression of gene expression. Therefore, it is plausible that low expression of miR7a may lead to reduced repression of target genes.</w:t>
            </w:r>
            <w:r>
              <w:br/>
              <w:t xml:space="preserve">   - A comprehensive review published in Nature Reviews Genetics (2009) discusses the molecular mechanisms of miRNA-mediated gene silencing and target repression.</w:t>
            </w:r>
            <w:r>
              <w:br/>
              <w:t>4. Biological functions: miRNAs exert important biological functions by regulating gene expression. While the specific functions of miR7a in ovaries may require further investigation, it is known that miR7a has been linked to various biological processes in other tissues or diseases, thereby suggesting its potential importance.</w:t>
            </w:r>
            <w:r>
              <w:br/>
              <w:t xml:space="preserve">   - In a study published in Proceedings of the National Academy of Sciences (2010), miR7a was found to regulate insulin secretion in pancreatic beta cells.</w:t>
            </w:r>
            <w:r>
              <w:br/>
              <w:t>Based on these fact-based arguments, it is reasonable to question the initial statement that low expression of miR7a does not repress target genes or exert a biological function in ovaries. While more research might be necessary to fully elucidate the specific role of miR7a in ovarian biology, existing evidence suggests it is likely to have regulatory functions on target genes and exert biological effects in this context.</w:t>
            </w:r>
          </w:p>
        </w:tc>
      </w:tr>
      <w:tr w:rsidR="008C45D6" w14:paraId="0782B0AD" w14:textId="77777777">
        <w:tc>
          <w:tcPr>
            <w:tcW w:w="4320" w:type="dxa"/>
          </w:tcPr>
          <w:p w14:paraId="35788ED4"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0C2F62" w14:textId="246242E0" w:rsidR="008C45D6" w:rsidRPr="005059D9" w:rsidRDefault="005059D9">
            <w:pPr>
              <w:rPr>
                <w:rFonts w:eastAsia="宋体"/>
                <w:lang w:eastAsia="zh-CN"/>
              </w:rPr>
            </w:pPr>
            <w:r>
              <w:rPr>
                <w:rFonts w:eastAsia="宋体" w:hint="eastAsia"/>
                <w:lang w:eastAsia="zh-CN"/>
              </w:rPr>
              <w:t>1</w:t>
            </w:r>
          </w:p>
        </w:tc>
      </w:tr>
      <w:tr w:rsidR="008C45D6" w14:paraId="2BD89272" w14:textId="77777777">
        <w:tc>
          <w:tcPr>
            <w:tcW w:w="4320" w:type="dxa"/>
          </w:tcPr>
          <w:p w14:paraId="3BC089E1" w14:textId="77777777" w:rsidR="008C45D6" w:rsidRDefault="00000000">
            <w:r>
              <w:rPr>
                <w:rFonts w:ascii="仿宋" w:eastAsia="仿宋" w:hAnsi="仿宋"/>
              </w:rPr>
              <w:t>提取的事实</w:t>
            </w:r>
          </w:p>
        </w:tc>
        <w:tc>
          <w:tcPr>
            <w:tcW w:w="4320" w:type="dxa"/>
          </w:tcPr>
          <w:p w14:paraId="64765CF2" w14:textId="77777777" w:rsidR="008C45D6" w:rsidRDefault="00000000">
            <w:r>
              <w:t>1. miR7a is a microRNA molecule involved in gene regulation.</w:t>
            </w:r>
            <w:r>
              <w:br/>
              <w:t>2. Research studies have demonstrated that miR7a is expressed in ovaries.</w:t>
            </w:r>
            <w:r>
              <w:br/>
              <w:t>3. Specific target genes regulated by miR7a have been identified in various biological contexts.</w:t>
            </w:r>
            <w:r>
              <w:br/>
              <w:t>4. miRNAs, including miR7a, typically function by binding to complementary sequences on their target mRNA molecules resulting in the repression of gene expression.</w:t>
            </w:r>
            <w:r>
              <w:br/>
            </w:r>
            <w:r>
              <w:lastRenderedPageBreak/>
              <w:t>5. miR7a has been linked to various biological processes in different tissues or diseases, suggesting its potential importance.</w:t>
            </w:r>
          </w:p>
        </w:tc>
      </w:tr>
      <w:tr w:rsidR="008C45D6" w14:paraId="71AE0BE3" w14:textId="77777777">
        <w:tc>
          <w:tcPr>
            <w:tcW w:w="4320" w:type="dxa"/>
          </w:tcPr>
          <w:p w14:paraId="2E76F3C9"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732DBA" w14:textId="3EEFE84F" w:rsidR="008C45D6" w:rsidRPr="005059D9" w:rsidRDefault="000F3F49">
            <w:pPr>
              <w:rPr>
                <w:rFonts w:eastAsia="宋体"/>
                <w:lang w:eastAsia="zh-CN"/>
              </w:rPr>
            </w:pPr>
            <w:r>
              <w:rPr>
                <w:rFonts w:eastAsia="宋体"/>
                <w:lang w:eastAsia="zh-CN"/>
              </w:rPr>
              <w:t>2</w:t>
            </w:r>
            <w:r w:rsidR="005059D9">
              <w:rPr>
                <w:rFonts w:eastAsia="宋体"/>
                <w:lang w:eastAsia="zh-CN"/>
              </w:rPr>
              <w:t>,2,7,1,</w:t>
            </w:r>
            <w:r>
              <w:rPr>
                <w:rFonts w:eastAsia="宋体"/>
                <w:lang w:eastAsia="zh-CN"/>
              </w:rPr>
              <w:t>7</w:t>
            </w:r>
          </w:p>
        </w:tc>
      </w:tr>
    </w:tbl>
    <w:p w14:paraId="3D0B031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0016CE36" w14:textId="77777777">
        <w:tc>
          <w:tcPr>
            <w:tcW w:w="4320" w:type="dxa"/>
          </w:tcPr>
          <w:p w14:paraId="6A8189E6" w14:textId="77777777" w:rsidR="008C45D6" w:rsidRDefault="00000000">
            <w:r>
              <w:t>ID</w:t>
            </w:r>
          </w:p>
        </w:tc>
        <w:tc>
          <w:tcPr>
            <w:tcW w:w="10080" w:type="dxa"/>
          </w:tcPr>
          <w:p w14:paraId="06943DE2" w14:textId="77777777" w:rsidR="008C45D6" w:rsidRDefault="00000000">
            <w:r>
              <w:t>418(17)</w:t>
            </w:r>
          </w:p>
        </w:tc>
      </w:tr>
      <w:tr w:rsidR="008C45D6" w14:paraId="3078A346" w14:textId="77777777">
        <w:tc>
          <w:tcPr>
            <w:tcW w:w="4320" w:type="dxa"/>
          </w:tcPr>
          <w:p w14:paraId="05F1AF8F" w14:textId="77777777" w:rsidR="008C45D6" w:rsidRDefault="00000000">
            <w:r>
              <w:rPr>
                <w:rFonts w:ascii="仿宋" w:eastAsia="仿宋" w:hAnsi="仿宋"/>
              </w:rPr>
              <w:t>领域</w:t>
            </w:r>
          </w:p>
        </w:tc>
        <w:tc>
          <w:tcPr>
            <w:tcW w:w="4320" w:type="dxa"/>
          </w:tcPr>
          <w:p w14:paraId="23E8AE6F" w14:textId="77777777" w:rsidR="008C45D6" w:rsidRDefault="00000000">
            <w:r>
              <w:t>Science</w:t>
            </w:r>
          </w:p>
        </w:tc>
      </w:tr>
      <w:tr w:rsidR="008C45D6" w14:paraId="5946A7A6" w14:textId="77777777">
        <w:tc>
          <w:tcPr>
            <w:tcW w:w="4320" w:type="dxa"/>
          </w:tcPr>
          <w:p w14:paraId="1F1C789E" w14:textId="77777777" w:rsidR="008C45D6" w:rsidRDefault="00000000">
            <w:r>
              <w:rPr>
                <w:rFonts w:ascii="仿宋" w:eastAsia="仿宋" w:hAnsi="仿宋"/>
              </w:rPr>
              <w:t>用户问题</w:t>
            </w:r>
          </w:p>
        </w:tc>
        <w:tc>
          <w:tcPr>
            <w:tcW w:w="4320" w:type="dxa"/>
          </w:tcPr>
          <w:p w14:paraId="224C041E" w14:textId="77777777" w:rsidR="008C45D6" w:rsidRDefault="00000000">
            <w:r>
              <w:t>Can you clarify whether the claim "Ly49Q directs the organization of neutrophil polarization by regulating membrane raft functions." is accurate or not? Build factual arguments about the claim.</w:t>
            </w:r>
          </w:p>
        </w:tc>
      </w:tr>
      <w:tr w:rsidR="008C45D6" w14:paraId="1FBACEED" w14:textId="77777777">
        <w:tc>
          <w:tcPr>
            <w:tcW w:w="4320" w:type="dxa"/>
          </w:tcPr>
          <w:p w14:paraId="069A605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6F1663" w14:textId="6E3599B6" w:rsidR="008C45D6" w:rsidRPr="005059D9" w:rsidRDefault="005059D9">
            <w:pPr>
              <w:rPr>
                <w:rFonts w:eastAsia="宋体"/>
                <w:lang w:eastAsia="zh-CN"/>
              </w:rPr>
            </w:pPr>
            <w:r>
              <w:rPr>
                <w:rFonts w:eastAsia="宋体"/>
                <w:lang w:eastAsia="zh-CN"/>
              </w:rPr>
              <w:t>4,3,3</w:t>
            </w:r>
          </w:p>
        </w:tc>
      </w:tr>
      <w:tr w:rsidR="008C45D6" w14:paraId="556E7423" w14:textId="77777777">
        <w:tc>
          <w:tcPr>
            <w:tcW w:w="4320" w:type="dxa"/>
          </w:tcPr>
          <w:p w14:paraId="5CA1106B" w14:textId="77777777" w:rsidR="008C45D6" w:rsidRDefault="00000000">
            <w:r>
              <w:rPr>
                <w:rFonts w:ascii="仿宋" w:eastAsia="仿宋" w:hAnsi="仿宋"/>
              </w:rPr>
              <w:t>模型回复</w:t>
            </w:r>
          </w:p>
        </w:tc>
        <w:tc>
          <w:tcPr>
            <w:tcW w:w="4320" w:type="dxa"/>
          </w:tcPr>
          <w:p w14:paraId="29FFCD29" w14:textId="77777777" w:rsidR="008C45D6" w:rsidRDefault="00000000">
            <w:r>
              <w:t xml:space="preserve">The claim "Ly49Q directs the organization of neutrophil polarization by regulating membrane raft functions" is not accurate based on current available information. </w:t>
            </w:r>
            <w:r>
              <w:br/>
              <w:t>1. Lack of evidence: There is currently no scientific evidence or published research that directly supports this claim. Without empirical data or peer-reviewed studies, it is challenging to validate the claim.</w:t>
            </w:r>
            <w:r>
              <w:br/>
              <w:t>2. Limited understanding of Ly49Q: Ly49Q is a natural killer (NK) cell receptor that has primarily been associated with NK cell function and regulation. While there is evidence to suggest Ly49Q plays a role in immune responses and NK cell activation, its involvement in neutrophil polarization and membrane raft regulation has not been established.</w:t>
            </w:r>
            <w:r>
              <w:br/>
              <w:t xml:space="preserve">3. Neutrophil polarization mechanisms: Neutrophil </w:t>
            </w:r>
            <w:r>
              <w:lastRenderedPageBreak/>
              <w:t>polarization is a complex process involving several intracellular and extracellular signaling molecules. While membrane rafts have been implicated in cell polarization events, they are just one of many factors involved. The claim oversimplifies the process by suggesting that Ly49Q solely regulates membrane raft functions, which is an exaggeration.</w:t>
            </w:r>
            <w:r>
              <w:br/>
              <w:t>4. Limited specificity of Ly49Q: The claim ignores the fact that Ly49Q is primarily expressed in NK cells and has not been found to be abundantly present in neutrophils. While some receptors and signaling pathways may have overlapping functions in different cell types, it is unlikely that Ly49Q would be a major regulator of neutrophil polarization due to its limited expression in neutrophils.</w:t>
            </w:r>
            <w:r>
              <w:br/>
              <w:t>In summary, the claim lacks empirical evidence, oversimplifies the complexities of neutrophil polarization, and disregards the limited expression of Ly49Q in neutrophils. Therefore, it cannot be supported as an accurate statement.</w:t>
            </w:r>
          </w:p>
        </w:tc>
      </w:tr>
      <w:tr w:rsidR="008C45D6" w14:paraId="3085688A" w14:textId="77777777">
        <w:tc>
          <w:tcPr>
            <w:tcW w:w="4320" w:type="dxa"/>
          </w:tcPr>
          <w:p w14:paraId="096A3F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0680BB" w14:textId="1956D793" w:rsidR="008C45D6" w:rsidRPr="005059D9" w:rsidRDefault="005059D9">
            <w:pPr>
              <w:rPr>
                <w:rFonts w:eastAsia="宋体"/>
                <w:lang w:eastAsia="zh-CN"/>
              </w:rPr>
            </w:pPr>
            <w:r>
              <w:rPr>
                <w:rFonts w:eastAsia="宋体" w:hint="eastAsia"/>
                <w:lang w:eastAsia="zh-CN"/>
              </w:rPr>
              <w:t>1</w:t>
            </w:r>
          </w:p>
        </w:tc>
      </w:tr>
      <w:tr w:rsidR="008C45D6" w14:paraId="35AD7231" w14:textId="77777777">
        <w:tc>
          <w:tcPr>
            <w:tcW w:w="4320" w:type="dxa"/>
          </w:tcPr>
          <w:p w14:paraId="09085179" w14:textId="77777777" w:rsidR="008C45D6" w:rsidRDefault="00000000">
            <w:r>
              <w:rPr>
                <w:rFonts w:ascii="仿宋" w:eastAsia="仿宋" w:hAnsi="仿宋"/>
              </w:rPr>
              <w:t>提取的事实</w:t>
            </w:r>
          </w:p>
        </w:tc>
        <w:tc>
          <w:tcPr>
            <w:tcW w:w="4320" w:type="dxa"/>
          </w:tcPr>
          <w:p w14:paraId="1F2A528B" w14:textId="77777777" w:rsidR="008C45D6" w:rsidRDefault="00000000">
            <w:r>
              <w:t>1. There is no current scientific evidence or published research that directly supports the claim "Ly49Q directs the organization of neutrophil polarization by regulating membrane raft functions".</w:t>
            </w:r>
            <w:r>
              <w:br/>
              <w:t>2. Ly49Q is a natural killer (NK) cell receptor primarily associated with NK cell function and regulation.</w:t>
            </w:r>
            <w:r>
              <w:br/>
              <w:t>3. Neutrophil polarization is a complex process involving several intracellular and extracellular signaling molecules.</w:t>
            </w:r>
            <w:r>
              <w:br/>
              <w:t>4. Membrane rafts have been implicated in cell polarization events.</w:t>
            </w:r>
            <w:r>
              <w:br/>
              <w:t>5. Ly49Q is primarily expressed in NK cells and is not abundantly present in neutrophils.</w:t>
            </w:r>
          </w:p>
        </w:tc>
      </w:tr>
      <w:tr w:rsidR="008C45D6" w14:paraId="110414A8" w14:textId="77777777">
        <w:tc>
          <w:tcPr>
            <w:tcW w:w="4320" w:type="dxa"/>
          </w:tcPr>
          <w:p w14:paraId="5A02978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7B9B5D" w14:textId="40F801D6" w:rsidR="008C45D6" w:rsidRPr="005059D9" w:rsidRDefault="000F3F49">
            <w:pPr>
              <w:rPr>
                <w:rFonts w:eastAsia="宋体"/>
                <w:lang w:eastAsia="zh-CN"/>
              </w:rPr>
            </w:pPr>
            <w:r>
              <w:rPr>
                <w:rFonts w:eastAsia="宋体"/>
                <w:lang w:eastAsia="zh-CN"/>
              </w:rPr>
              <w:lastRenderedPageBreak/>
              <w:t>7</w:t>
            </w:r>
            <w:r w:rsidR="005059D9">
              <w:rPr>
                <w:rFonts w:eastAsia="宋体"/>
                <w:lang w:eastAsia="zh-CN"/>
              </w:rPr>
              <w:t>,1,1,1,</w:t>
            </w:r>
            <w:r>
              <w:rPr>
                <w:rFonts w:eastAsia="宋体"/>
                <w:lang w:eastAsia="zh-CN"/>
              </w:rPr>
              <w:t>7</w:t>
            </w:r>
          </w:p>
        </w:tc>
      </w:tr>
    </w:tbl>
    <w:p w14:paraId="64992AA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50"/>
        <w:gridCol w:w="6080"/>
      </w:tblGrid>
      <w:tr w:rsidR="008C45D6" w14:paraId="2F4832C4" w14:textId="77777777">
        <w:tc>
          <w:tcPr>
            <w:tcW w:w="4320" w:type="dxa"/>
          </w:tcPr>
          <w:p w14:paraId="6306164B" w14:textId="77777777" w:rsidR="008C45D6" w:rsidRDefault="00000000">
            <w:r>
              <w:t>ID</w:t>
            </w:r>
          </w:p>
        </w:tc>
        <w:tc>
          <w:tcPr>
            <w:tcW w:w="10080" w:type="dxa"/>
          </w:tcPr>
          <w:p w14:paraId="7B921BFA" w14:textId="77777777" w:rsidR="008C45D6" w:rsidRDefault="00000000">
            <w:r>
              <w:t>422(18)</w:t>
            </w:r>
          </w:p>
        </w:tc>
      </w:tr>
      <w:tr w:rsidR="008C45D6" w14:paraId="452D998A" w14:textId="77777777">
        <w:tc>
          <w:tcPr>
            <w:tcW w:w="4320" w:type="dxa"/>
          </w:tcPr>
          <w:p w14:paraId="7FD0673C" w14:textId="77777777" w:rsidR="008C45D6" w:rsidRDefault="00000000">
            <w:r>
              <w:rPr>
                <w:rFonts w:ascii="仿宋" w:eastAsia="仿宋" w:hAnsi="仿宋"/>
              </w:rPr>
              <w:t>领域</w:t>
            </w:r>
          </w:p>
        </w:tc>
        <w:tc>
          <w:tcPr>
            <w:tcW w:w="4320" w:type="dxa"/>
          </w:tcPr>
          <w:p w14:paraId="7915676C" w14:textId="77777777" w:rsidR="008C45D6" w:rsidRDefault="00000000">
            <w:r>
              <w:t>Science</w:t>
            </w:r>
          </w:p>
        </w:tc>
      </w:tr>
      <w:tr w:rsidR="008C45D6" w14:paraId="21BB6740" w14:textId="77777777">
        <w:tc>
          <w:tcPr>
            <w:tcW w:w="4320" w:type="dxa"/>
          </w:tcPr>
          <w:p w14:paraId="01680DFE" w14:textId="77777777" w:rsidR="008C45D6" w:rsidRDefault="00000000">
            <w:r>
              <w:rPr>
                <w:rFonts w:ascii="仿宋" w:eastAsia="仿宋" w:hAnsi="仿宋"/>
              </w:rPr>
              <w:t>用户问题</w:t>
            </w:r>
          </w:p>
        </w:tc>
        <w:tc>
          <w:tcPr>
            <w:tcW w:w="4320" w:type="dxa"/>
          </w:tcPr>
          <w:p w14:paraId="0FED67FF" w14:textId="77777777" w:rsidR="008C45D6" w:rsidRDefault="00000000">
            <w:r>
              <w:t>What is the validity of the assertion that "M. stadtmanae induces ASC speck formation in BlaER1 monocytes."? Outline fact-based statements about the assertion.</w:t>
            </w:r>
          </w:p>
        </w:tc>
      </w:tr>
      <w:tr w:rsidR="008C45D6" w14:paraId="1997DC75" w14:textId="77777777">
        <w:tc>
          <w:tcPr>
            <w:tcW w:w="4320" w:type="dxa"/>
          </w:tcPr>
          <w:p w14:paraId="2D74B76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AD1F54" w14:textId="1E52CC64" w:rsidR="008C45D6" w:rsidRPr="005059D9" w:rsidRDefault="005059D9">
            <w:pPr>
              <w:rPr>
                <w:rFonts w:eastAsia="宋体"/>
                <w:lang w:eastAsia="zh-CN"/>
              </w:rPr>
            </w:pPr>
            <w:r>
              <w:rPr>
                <w:rFonts w:eastAsia="宋体"/>
                <w:lang w:eastAsia="zh-CN"/>
              </w:rPr>
              <w:t>3,</w:t>
            </w:r>
            <w:r>
              <w:rPr>
                <w:rFonts w:eastAsia="宋体" w:hint="eastAsia"/>
                <w:lang w:eastAsia="zh-CN"/>
              </w:rPr>
              <w:t>2</w:t>
            </w:r>
            <w:r>
              <w:rPr>
                <w:rFonts w:eastAsia="宋体"/>
                <w:lang w:eastAsia="zh-CN"/>
              </w:rPr>
              <w:t>,2</w:t>
            </w:r>
          </w:p>
        </w:tc>
      </w:tr>
      <w:tr w:rsidR="008C45D6" w14:paraId="7A68E089" w14:textId="77777777">
        <w:tc>
          <w:tcPr>
            <w:tcW w:w="4320" w:type="dxa"/>
          </w:tcPr>
          <w:p w14:paraId="71F124D4" w14:textId="77777777" w:rsidR="008C45D6" w:rsidRDefault="00000000">
            <w:r>
              <w:rPr>
                <w:rFonts w:ascii="仿宋" w:eastAsia="仿宋" w:hAnsi="仿宋"/>
              </w:rPr>
              <w:t>模型回复</w:t>
            </w:r>
          </w:p>
        </w:tc>
        <w:tc>
          <w:tcPr>
            <w:tcW w:w="4320" w:type="dxa"/>
          </w:tcPr>
          <w:p w14:paraId="4B1EDF49" w14:textId="77777777" w:rsidR="008C45D6" w:rsidRDefault="00000000">
            <w:r>
              <w:t>To determine the validity of the assertion that "M. stadtmanae induces ASC speck formation in BlaER1 monocytes," we would need to rely on fact-based statements derived from scientific studies or research findings. Here are some fact-based statements regarding this assertion:</w:t>
            </w:r>
            <w:r>
              <w:br/>
              <w:t>1. Mycobacterium stadtmanae (M. stadtmanae) is a particular bacterial species found in the human gut. It is considered an opportunistic pathogen that can cause infections in immunocompromised individuals.</w:t>
            </w:r>
            <w:r>
              <w:br/>
              <w:t>2. ASC speck formation refers to the aggregation of apoptosis-associated speck-like protein containing a CARD (ASC) in response to cellular stress or infection. The formation of ASC specks is involved in the activation of inflammasomes, which are protein complexes that trigger an immune response.</w:t>
            </w:r>
            <w:r>
              <w:br/>
              <w:t>3. BlaER1 is a cell line derived from murine (mouse) monocytes. These cells are commonly used in research as a model system to study immune responses.</w:t>
            </w:r>
            <w:r>
              <w:br/>
              <w:t>4. Based on scientific literature, there is evidence that certain bacterial and viral infections can induce ASC speck formation in monocytes. However, each microorganism may have varying effects on this process.</w:t>
            </w:r>
            <w:r>
              <w:br/>
              <w:t xml:space="preserve">5. To assess whether M. stadtmanae specifically induces ASC </w:t>
            </w:r>
            <w:r>
              <w:lastRenderedPageBreak/>
              <w:t>speck formation in BlaER1 monocytes, an experimental study using this specific bacterial species and cell line would be required. This study would involve exposing BlaER1 monocytes to M. stadtmanae and examining ASC speck formation through techniques like immunofluorescence or immunoblotting.</w:t>
            </w:r>
            <w:r>
              <w:br/>
              <w:t>6. The results of such a study would determine whether the assertion is valid. If ASC speck formation is observed in response to M. stadtmanae infection in BlaER1 cells, then the assertion would be supported. Conversely, if no such speck formation occurs, the assertion would be disproven.</w:t>
            </w:r>
            <w:r>
              <w:br/>
              <w:t>It's important to note that without referencing specific scientific studies, it is difficult to provide a definitive answer regarding the validity of the assertion.</w:t>
            </w:r>
          </w:p>
        </w:tc>
      </w:tr>
      <w:tr w:rsidR="008C45D6" w14:paraId="79D3120B" w14:textId="77777777">
        <w:tc>
          <w:tcPr>
            <w:tcW w:w="4320" w:type="dxa"/>
          </w:tcPr>
          <w:p w14:paraId="247AF2F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C89A45" w14:textId="6977D910" w:rsidR="008C45D6" w:rsidRPr="005059D9" w:rsidRDefault="005059D9">
            <w:pPr>
              <w:rPr>
                <w:rFonts w:eastAsia="宋体"/>
                <w:lang w:eastAsia="zh-CN"/>
              </w:rPr>
            </w:pPr>
            <w:r>
              <w:rPr>
                <w:rFonts w:eastAsia="宋体" w:hint="eastAsia"/>
                <w:lang w:eastAsia="zh-CN"/>
              </w:rPr>
              <w:t>1</w:t>
            </w:r>
          </w:p>
        </w:tc>
      </w:tr>
      <w:tr w:rsidR="008C45D6" w14:paraId="69BA8C61" w14:textId="77777777">
        <w:tc>
          <w:tcPr>
            <w:tcW w:w="4320" w:type="dxa"/>
          </w:tcPr>
          <w:p w14:paraId="31682D0D" w14:textId="77777777" w:rsidR="008C45D6" w:rsidRDefault="00000000">
            <w:r>
              <w:rPr>
                <w:rFonts w:ascii="仿宋" w:eastAsia="仿宋" w:hAnsi="仿宋"/>
              </w:rPr>
              <w:t>提取的事实</w:t>
            </w:r>
          </w:p>
        </w:tc>
        <w:tc>
          <w:tcPr>
            <w:tcW w:w="4320" w:type="dxa"/>
          </w:tcPr>
          <w:p w14:paraId="04952BB6" w14:textId="77777777" w:rsidR="008C45D6" w:rsidRDefault="00000000">
            <w:r>
              <w:t>1. Mycobacterium stadtmanae (M. stadtmanae) is a type of bacteria found in the human gut, often causing infections in immunocompromised individuals.</w:t>
            </w:r>
            <w:r>
              <w:br/>
              <w:t>2. ASC speck formation involves the aggregation of apoptosis-associated speck-like protein containing a CARD (ASC) in response to cellular stress or infection.</w:t>
            </w:r>
            <w:r>
              <w:br/>
              <w:t>3. This process of ASC speck formation contributes to the activation of inflammasomes, protein complexes involved in immune responses.</w:t>
            </w:r>
            <w:r>
              <w:br/>
              <w:t>4. BlaER1 represents a cell line derived from murine monocytes and is commonly used in research for studying immune responses.</w:t>
            </w:r>
            <w:r>
              <w:br/>
              <w:t>5. Certain bacterial and viral infections can cause ASC speck formation in monocytes, according to scientific literature.</w:t>
            </w:r>
          </w:p>
        </w:tc>
      </w:tr>
      <w:tr w:rsidR="008C45D6" w14:paraId="79B9E584" w14:textId="77777777">
        <w:tc>
          <w:tcPr>
            <w:tcW w:w="4320" w:type="dxa"/>
          </w:tcPr>
          <w:p w14:paraId="34A845F9"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3691280A" w14:textId="45B94A7E" w:rsidR="008C45D6" w:rsidRPr="005059D9" w:rsidRDefault="000F3F49">
            <w:pPr>
              <w:rPr>
                <w:rFonts w:eastAsia="宋体"/>
                <w:lang w:eastAsia="zh-CN"/>
              </w:rPr>
            </w:pPr>
            <w:r>
              <w:rPr>
                <w:rFonts w:eastAsia="宋体"/>
                <w:lang w:eastAsia="zh-CN"/>
              </w:rPr>
              <w:lastRenderedPageBreak/>
              <w:t>7</w:t>
            </w:r>
            <w:r w:rsidR="005059D9">
              <w:rPr>
                <w:rFonts w:eastAsia="宋体"/>
                <w:lang w:eastAsia="zh-CN"/>
              </w:rPr>
              <w:t>,1,1,4,</w:t>
            </w:r>
            <w:r>
              <w:rPr>
                <w:rFonts w:eastAsia="宋体"/>
                <w:lang w:eastAsia="zh-CN"/>
              </w:rPr>
              <w:t>1</w:t>
            </w:r>
          </w:p>
        </w:tc>
      </w:tr>
    </w:tbl>
    <w:p w14:paraId="6BA6E9A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8C45D6" w14:paraId="745D5F5A" w14:textId="77777777">
        <w:tc>
          <w:tcPr>
            <w:tcW w:w="4320" w:type="dxa"/>
          </w:tcPr>
          <w:p w14:paraId="7D5E3FF8" w14:textId="77777777" w:rsidR="008C45D6" w:rsidRDefault="00000000">
            <w:r>
              <w:t>ID</w:t>
            </w:r>
          </w:p>
        </w:tc>
        <w:tc>
          <w:tcPr>
            <w:tcW w:w="10080" w:type="dxa"/>
          </w:tcPr>
          <w:p w14:paraId="23C915FD" w14:textId="77777777" w:rsidR="008C45D6" w:rsidRDefault="00000000">
            <w:r>
              <w:t>446(19)</w:t>
            </w:r>
          </w:p>
        </w:tc>
      </w:tr>
      <w:tr w:rsidR="008C45D6" w14:paraId="2F85647E" w14:textId="77777777">
        <w:tc>
          <w:tcPr>
            <w:tcW w:w="4320" w:type="dxa"/>
          </w:tcPr>
          <w:p w14:paraId="3D1FF4BC" w14:textId="77777777" w:rsidR="008C45D6" w:rsidRDefault="00000000">
            <w:r>
              <w:rPr>
                <w:rFonts w:ascii="仿宋" w:eastAsia="仿宋" w:hAnsi="仿宋"/>
              </w:rPr>
              <w:t>领域</w:t>
            </w:r>
          </w:p>
        </w:tc>
        <w:tc>
          <w:tcPr>
            <w:tcW w:w="4320" w:type="dxa"/>
          </w:tcPr>
          <w:p w14:paraId="0DFC9FA6" w14:textId="77777777" w:rsidR="008C45D6" w:rsidRDefault="00000000">
            <w:r>
              <w:t>Science</w:t>
            </w:r>
          </w:p>
        </w:tc>
      </w:tr>
      <w:tr w:rsidR="008C45D6" w14:paraId="31F9829D" w14:textId="77777777">
        <w:tc>
          <w:tcPr>
            <w:tcW w:w="4320" w:type="dxa"/>
          </w:tcPr>
          <w:p w14:paraId="2B6D10AA" w14:textId="77777777" w:rsidR="008C45D6" w:rsidRDefault="00000000">
            <w:r>
              <w:rPr>
                <w:rFonts w:ascii="仿宋" w:eastAsia="仿宋" w:hAnsi="仿宋"/>
              </w:rPr>
              <w:t>用户问题</w:t>
            </w:r>
          </w:p>
        </w:tc>
        <w:tc>
          <w:tcPr>
            <w:tcW w:w="4320" w:type="dxa"/>
          </w:tcPr>
          <w:p w14:paraId="122509E6" w14:textId="77777777" w:rsidR="008C45D6" w:rsidRDefault="00000000">
            <w:r>
              <w:t>Do you agree with the claim that "Men are more susceptible to death due to pneumonia when compared to women."? Provide factual statements about the claim.</w:t>
            </w:r>
          </w:p>
        </w:tc>
      </w:tr>
      <w:tr w:rsidR="008C45D6" w14:paraId="18185E0C" w14:textId="77777777">
        <w:tc>
          <w:tcPr>
            <w:tcW w:w="4320" w:type="dxa"/>
          </w:tcPr>
          <w:p w14:paraId="4C149481"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92000A" w14:textId="63E45A65" w:rsidR="008C45D6" w:rsidRPr="005059D9" w:rsidRDefault="005059D9">
            <w:pPr>
              <w:rPr>
                <w:rFonts w:eastAsia="宋体"/>
                <w:lang w:eastAsia="zh-CN"/>
              </w:rPr>
            </w:pPr>
            <w:r>
              <w:rPr>
                <w:rFonts w:eastAsia="宋体"/>
                <w:lang w:eastAsia="zh-CN"/>
              </w:rPr>
              <w:t>5,4,3</w:t>
            </w:r>
          </w:p>
        </w:tc>
      </w:tr>
      <w:tr w:rsidR="008C45D6" w14:paraId="08779F7C" w14:textId="77777777">
        <w:tc>
          <w:tcPr>
            <w:tcW w:w="4320" w:type="dxa"/>
          </w:tcPr>
          <w:p w14:paraId="79DCA0BD" w14:textId="77777777" w:rsidR="008C45D6" w:rsidRDefault="00000000">
            <w:r>
              <w:rPr>
                <w:rFonts w:ascii="仿宋" w:eastAsia="仿宋" w:hAnsi="仿宋"/>
              </w:rPr>
              <w:t>模型回复</w:t>
            </w:r>
          </w:p>
        </w:tc>
        <w:tc>
          <w:tcPr>
            <w:tcW w:w="4320" w:type="dxa"/>
          </w:tcPr>
          <w:p w14:paraId="200F5D36" w14:textId="77777777" w:rsidR="008C45D6" w:rsidRDefault="00000000">
            <w:r>
              <w:t>Yes, there are several factual statements that support the claim that men are more susceptible to death due to pneumonia compared to women:</w:t>
            </w:r>
            <w:r>
              <w:br/>
              <w:t>1. Mortality Rates: Research consistently shows that the overall mortality rates from pneumonia are higher in men compared to women. A study published in the journal BMC Infectious Diseases in 2020 analyzed data from over 56,000 pneumonia cases and found that the mortality rate in men was significantly higher than in women.</w:t>
            </w:r>
            <w:r>
              <w:br/>
              <w:t>2. Age-specific Mortality: Various studies have shown that the gender gap in pneumonia mortality becomes more prominent with age. In older age groups, men have a higher risk of dying from pneumonia compared to women. A study published in the International Journal of Infectious Diseases in 2013 found that pneumonia-related mortality rates for men over the age of 85 were significantly higher than for women in the same age group.</w:t>
            </w:r>
            <w:r>
              <w:br/>
              <w:t xml:space="preserve">3. Underlying Health Conditions: Men often have a higher prevalence of certain chronic health conditions, such as heart disease, chronic obstructive pulmonary disease (COPD), and smoking-related illnesses. These underlying health conditions can weaken the immune system and increase the risk of complications and death from pneumonia. A study in the journal Pneumonia published in 2016 found that comorbidities, including heart disease and COPD, were more </w:t>
            </w:r>
            <w:r>
              <w:lastRenderedPageBreak/>
              <w:t>common among men with pneumonia compared to women.</w:t>
            </w:r>
            <w:r>
              <w:br/>
              <w:t>4. Immune Response Differences: Some research suggests that there may be inherent differences in the immune responses between men and women that contribute to the gender disparity in pneumonia mortality. For example, a study published in the Journal of Innate Immunity in 2021 found that certain genetic variations in the genes involved in the immune response were associated with increased mortality risk in men with severe pneumonia.</w:t>
            </w:r>
            <w:r>
              <w:br/>
              <w:t>While these factual statements support the claim that men are more susceptible to death due to pneumonia, it's important to note that individual susceptibility can vary based on various factors such as age, overall health, lifestyle choices, and access to healthcare.</w:t>
            </w:r>
          </w:p>
        </w:tc>
      </w:tr>
      <w:tr w:rsidR="008C45D6" w14:paraId="114D7EF8" w14:textId="77777777">
        <w:tc>
          <w:tcPr>
            <w:tcW w:w="4320" w:type="dxa"/>
          </w:tcPr>
          <w:p w14:paraId="702E1AB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C46B19" w14:textId="760D6EAC" w:rsidR="008C45D6" w:rsidRPr="005059D9" w:rsidRDefault="005059D9">
            <w:pPr>
              <w:rPr>
                <w:rFonts w:eastAsia="宋体"/>
                <w:lang w:eastAsia="zh-CN"/>
              </w:rPr>
            </w:pPr>
            <w:r>
              <w:rPr>
                <w:rFonts w:eastAsia="宋体" w:hint="eastAsia"/>
                <w:lang w:eastAsia="zh-CN"/>
              </w:rPr>
              <w:t>1</w:t>
            </w:r>
          </w:p>
        </w:tc>
      </w:tr>
      <w:tr w:rsidR="008C45D6" w14:paraId="4FEA6645" w14:textId="77777777">
        <w:tc>
          <w:tcPr>
            <w:tcW w:w="4320" w:type="dxa"/>
          </w:tcPr>
          <w:p w14:paraId="650C9E3F" w14:textId="77777777" w:rsidR="008C45D6" w:rsidRDefault="00000000">
            <w:r>
              <w:rPr>
                <w:rFonts w:ascii="仿宋" w:eastAsia="仿宋" w:hAnsi="仿宋"/>
              </w:rPr>
              <w:t>提取的事实</w:t>
            </w:r>
          </w:p>
        </w:tc>
        <w:tc>
          <w:tcPr>
            <w:tcW w:w="4320" w:type="dxa"/>
          </w:tcPr>
          <w:p w14:paraId="301FD2E5" w14:textId="77777777" w:rsidR="008C45D6" w:rsidRDefault="00000000">
            <w:r>
              <w:t>1. Research has shown that the overall mortality rates from pneumonia are statistically higher in men compared to women.</w:t>
            </w:r>
            <w:r>
              <w:br/>
              <w:t>2. Age-specific mortality due to pneumonia is more prominent in men, especially in those over the age of 85.</w:t>
            </w:r>
            <w:r>
              <w:br/>
              <w:t>3. Men often have a higher prevalence of chronic health conditions such as heart disease, COPD, and smoking-related illnesses which can increase the risk from complications of pneumonia.</w:t>
            </w:r>
            <w:r>
              <w:br/>
              <w:t>4. There may exist inherent differences in the immune responses between men and women leading to a gender disparity in pneumonia mortality.</w:t>
            </w:r>
            <w:r>
              <w:br/>
              <w:t>5. Certain genetic variations in the genes involved in the immune response are associated with an increased mortality risk in men with severe pneumonia.</w:t>
            </w:r>
          </w:p>
        </w:tc>
      </w:tr>
      <w:tr w:rsidR="008C45D6" w14:paraId="5D0E0CCF" w14:textId="77777777">
        <w:tc>
          <w:tcPr>
            <w:tcW w:w="4320" w:type="dxa"/>
          </w:tcPr>
          <w:p w14:paraId="6E623F0E"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A19DBB2" w14:textId="77AB7E3E" w:rsidR="008C45D6" w:rsidRPr="005059D9" w:rsidRDefault="005059D9">
            <w:pPr>
              <w:rPr>
                <w:rFonts w:eastAsia="宋体"/>
                <w:lang w:eastAsia="zh-CN"/>
              </w:rPr>
            </w:pPr>
            <w:r>
              <w:rPr>
                <w:rFonts w:eastAsia="宋体" w:hint="eastAsia"/>
                <w:lang w:eastAsia="zh-CN"/>
              </w:rPr>
              <w:lastRenderedPageBreak/>
              <w:t>7</w:t>
            </w:r>
            <w:r>
              <w:rPr>
                <w:rFonts w:eastAsia="宋体"/>
                <w:lang w:eastAsia="zh-CN"/>
              </w:rPr>
              <w:t>,</w:t>
            </w:r>
            <w:r w:rsidR="00546C76">
              <w:rPr>
                <w:rFonts w:eastAsia="宋体"/>
                <w:lang w:eastAsia="zh-CN"/>
              </w:rPr>
              <w:t>2</w:t>
            </w:r>
            <w:r>
              <w:rPr>
                <w:rFonts w:eastAsia="宋体"/>
                <w:lang w:eastAsia="zh-CN"/>
              </w:rPr>
              <w:t>,</w:t>
            </w:r>
            <w:r w:rsidR="00546C76">
              <w:rPr>
                <w:rFonts w:eastAsia="宋体"/>
                <w:lang w:eastAsia="zh-CN"/>
              </w:rPr>
              <w:t>1</w:t>
            </w:r>
            <w:r>
              <w:rPr>
                <w:rFonts w:eastAsia="宋体"/>
                <w:lang w:eastAsia="zh-CN"/>
              </w:rPr>
              <w:t>,</w:t>
            </w:r>
            <w:r w:rsidR="00546C76">
              <w:rPr>
                <w:rFonts w:eastAsia="宋体"/>
                <w:lang w:eastAsia="zh-CN"/>
              </w:rPr>
              <w:t>3</w:t>
            </w:r>
            <w:r>
              <w:rPr>
                <w:rFonts w:eastAsia="宋体"/>
                <w:lang w:eastAsia="zh-CN"/>
              </w:rPr>
              <w:t>,3</w:t>
            </w:r>
          </w:p>
        </w:tc>
      </w:tr>
    </w:tbl>
    <w:p w14:paraId="7F0E568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8C45D6" w14:paraId="4B3C0D15" w14:textId="77777777">
        <w:tc>
          <w:tcPr>
            <w:tcW w:w="4320" w:type="dxa"/>
          </w:tcPr>
          <w:p w14:paraId="641AB0D7" w14:textId="77777777" w:rsidR="008C45D6" w:rsidRDefault="00000000">
            <w:r>
              <w:t>ID</w:t>
            </w:r>
          </w:p>
        </w:tc>
        <w:tc>
          <w:tcPr>
            <w:tcW w:w="10080" w:type="dxa"/>
          </w:tcPr>
          <w:p w14:paraId="6EFF17AC" w14:textId="77777777" w:rsidR="008C45D6" w:rsidRDefault="00000000">
            <w:r>
              <w:t>448(20)</w:t>
            </w:r>
          </w:p>
        </w:tc>
      </w:tr>
      <w:tr w:rsidR="008C45D6" w14:paraId="41C13C47" w14:textId="77777777">
        <w:tc>
          <w:tcPr>
            <w:tcW w:w="4320" w:type="dxa"/>
          </w:tcPr>
          <w:p w14:paraId="59CEB22C" w14:textId="77777777" w:rsidR="008C45D6" w:rsidRDefault="00000000">
            <w:r>
              <w:rPr>
                <w:rFonts w:ascii="仿宋" w:eastAsia="仿宋" w:hAnsi="仿宋"/>
              </w:rPr>
              <w:t>领域</w:t>
            </w:r>
          </w:p>
        </w:tc>
        <w:tc>
          <w:tcPr>
            <w:tcW w:w="4320" w:type="dxa"/>
          </w:tcPr>
          <w:p w14:paraId="69963020" w14:textId="77777777" w:rsidR="008C45D6" w:rsidRDefault="00000000">
            <w:r>
              <w:t>Science</w:t>
            </w:r>
          </w:p>
        </w:tc>
      </w:tr>
      <w:tr w:rsidR="008C45D6" w14:paraId="6936E7F5" w14:textId="77777777">
        <w:tc>
          <w:tcPr>
            <w:tcW w:w="4320" w:type="dxa"/>
          </w:tcPr>
          <w:p w14:paraId="2D3244EA" w14:textId="77777777" w:rsidR="008C45D6" w:rsidRDefault="00000000">
            <w:r>
              <w:rPr>
                <w:rFonts w:ascii="仿宋" w:eastAsia="仿宋" w:hAnsi="仿宋"/>
              </w:rPr>
              <w:t>用户问题</w:t>
            </w:r>
          </w:p>
        </w:tc>
        <w:tc>
          <w:tcPr>
            <w:tcW w:w="4320" w:type="dxa"/>
          </w:tcPr>
          <w:p w14:paraId="7C8A85AB" w14:textId="77777777" w:rsidR="008C45D6" w:rsidRDefault="00000000">
            <w:r>
              <w:t>Can you clarify whether the claim "Mice are incapable of producing neutralizing antibodies in reponse to the Chikungunya virus (CHIKV) produced in mosquitos." is accurate or not? Build factual arguments about the claim.</w:t>
            </w:r>
          </w:p>
        </w:tc>
      </w:tr>
      <w:tr w:rsidR="008C45D6" w14:paraId="5C7B74CE" w14:textId="77777777">
        <w:tc>
          <w:tcPr>
            <w:tcW w:w="4320" w:type="dxa"/>
          </w:tcPr>
          <w:p w14:paraId="7A6D7F2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B35973" w14:textId="133928AC" w:rsidR="008C45D6" w:rsidRPr="005059D9" w:rsidRDefault="005059D9">
            <w:pPr>
              <w:rPr>
                <w:rFonts w:eastAsia="宋体"/>
                <w:lang w:eastAsia="zh-CN"/>
              </w:rPr>
            </w:pPr>
            <w:r>
              <w:rPr>
                <w:rFonts w:eastAsia="宋体" w:hint="eastAsia"/>
                <w:lang w:eastAsia="zh-CN"/>
              </w:rPr>
              <w:t>3</w:t>
            </w:r>
            <w:r>
              <w:rPr>
                <w:rFonts w:eastAsia="宋体"/>
                <w:lang w:eastAsia="zh-CN"/>
              </w:rPr>
              <w:t>,3,4</w:t>
            </w:r>
          </w:p>
        </w:tc>
      </w:tr>
      <w:tr w:rsidR="008C45D6" w14:paraId="18A65C44" w14:textId="77777777">
        <w:tc>
          <w:tcPr>
            <w:tcW w:w="4320" w:type="dxa"/>
          </w:tcPr>
          <w:p w14:paraId="073CEF7C" w14:textId="77777777" w:rsidR="008C45D6" w:rsidRDefault="00000000">
            <w:r>
              <w:rPr>
                <w:rFonts w:ascii="仿宋" w:eastAsia="仿宋" w:hAnsi="仿宋"/>
              </w:rPr>
              <w:t>模型回复</w:t>
            </w:r>
          </w:p>
        </w:tc>
        <w:tc>
          <w:tcPr>
            <w:tcW w:w="4320" w:type="dxa"/>
          </w:tcPr>
          <w:p w14:paraId="47BC2A0F" w14:textId="77777777" w:rsidR="008C45D6" w:rsidRDefault="00000000">
            <w:r>
              <w:t xml:space="preserve">The claim that "Mice are incapable of producing neutralizing antibodies in response to the Chikungunya virus (CHIKV) produced in mosquitoes" is not accurate. </w:t>
            </w:r>
            <w:r>
              <w:br/>
              <w:t>1. Mice are commonly used as models for studying viral infections, and they have been extensively studied for their immune response against CHIKV. Numerous scientific studies have demonstrated that mice are capable of producing neutralizing antibodies when infected with CHIKV.</w:t>
            </w:r>
            <w:r>
              <w:br/>
              <w:t>2. One study published in the Journal of Immunology in 2014 conducted experiments specifically to investigate the humoral immune response to CHIKV in mice. The researchers found that mice infected with CHIKV developed a strong neutralizing antibody response, which contributed to clearance of the virus.</w:t>
            </w:r>
            <w:r>
              <w:br/>
              <w:t>3. Another study published in the journal PLOS Pathogens in 2016 examined the immune response to CHIKV infection in various mouse strains. The researchers observed that mice produced neutralizing antibodies against CHIKV, which provided protection against subsequent infections.</w:t>
            </w:r>
            <w:r>
              <w:br/>
              <w:t xml:space="preserve">4. Additionally, studies have shown that mice immunized with CHIKV vaccines can generate neutralizing antibodies. For example, a study published in Vaccine in 2011 demonstrated that a vaccine candidate against CHIKV induced protective neutralizing antibodies in immunized </w:t>
            </w:r>
            <w:r>
              <w:lastRenderedPageBreak/>
              <w:t>mice.</w:t>
            </w:r>
            <w:r>
              <w:br/>
              <w:t>5. It is important to note that neutralizing antibodies play a crucial role in the immune response against viral infections. They bind to the virus and prevent it from entering or infecting host cells, thereby reducing the severity of the infection.</w:t>
            </w:r>
            <w:r>
              <w:br/>
              <w:t>Based on the scientific evidence available, it is clear that mice are indeed capable of producing neutralizing antibodies in response to CHIKV.</w:t>
            </w:r>
          </w:p>
        </w:tc>
      </w:tr>
      <w:tr w:rsidR="008C45D6" w14:paraId="299CE6AF" w14:textId="77777777">
        <w:tc>
          <w:tcPr>
            <w:tcW w:w="4320" w:type="dxa"/>
          </w:tcPr>
          <w:p w14:paraId="412E55E0"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A13C8E" w14:textId="12DA1A3D" w:rsidR="008C45D6" w:rsidRPr="005059D9" w:rsidRDefault="005059D9">
            <w:pPr>
              <w:rPr>
                <w:rFonts w:eastAsia="宋体"/>
                <w:lang w:eastAsia="zh-CN"/>
              </w:rPr>
            </w:pPr>
            <w:r>
              <w:rPr>
                <w:rFonts w:eastAsia="宋体" w:hint="eastAsia"/>
                <w:lang w:eastAsia="zh-CN"/>
              </w:rPr>
              <w:t>1</w:t>
            </w:r>
          </w:p>
        </w:tc>
      </w:tr>
      <w:tr w:rsidR="008C45D6" w14:paraId="63BDD47B" w14:textId="77777777">
        <w:tc>
          <w:tcPr>
            <w:tcW w:w="4320" w:type="dxa"/>
          </w:tcPr>
          <w:p w14:paraId="034A8BEA" w14:textId="77777777" w:rsidR="008C45D6" w:rsidRDefault="00000000">
            <w:r>
              <w:rPr>
                <w:rFonts w:ascii="仿宋" w:eastAsia="仿宋" w:hAnsi="仿宋"/>
              </w:rPr>
              <w:t>提取的事实</w:t>
            </w:r>
          </w:p>
        </w:tc>
        <w:tc>
          <w:tcPr>
            <w:tcW w:w="4320" w:type="dxa"/>
          </w:tcPr>
          <w:p w14:paraId="5DE6364B" w14:textId="77777777" w:rsidR="008C45D6" w:rsidRDefault="00000000">
            <w:r>
              <w:t>1. Mice are commonly used as models for studying viral infections.</w:t>
            </w:r>
            <w:r>
              <w:br/>
              <w:t>2. Studies have shown that mice are capable of producing neutralizing antibodies when infected with Chikungunya virus (CHIKV).</w:t>
            </w:r>
            <w:r>
              <w:br/>
              <w:t>3. A study published in the Journal of Immunology in 2014 found that mice infected with CHIKV developed a strong neutralizing antibody response.</w:t>
            </w:r>
            <w:r>
              <w:br/>
              <w:t>4. A study in the journal PLOS Pathogens in 2016 stated that mice produced neutralizing antibodies against CHIKV, providing protection against subsequent infections.</w:t>
            </w:r>
            <w:r>
              <w:br/>
              <w:t>5. Studies have demonstrated that mice immunized with CHIKV vaccines can generate neutralizing antibodies, as per a 2011 research in Vaccine.</w:t>
            </w:r>
          </w:p>
        </w:tc>
      </w:tr>
      <w:tr w:rsidR="008C45D6" w14:paraId="6BD5366C" w14:textId="77777777">
        <w:tc>
          <w:tcPr>
            <w:tcW w:w="4320" w:type="dxa"/>
          </w:tcPr>
          <w:p w14:paraId="048D5F7C"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94C1A2" w14:textId="26AA3099" w:rsidR="008C45D6" w:rsidRPr="005059D9" w:rsidRDefault="005059D9">
            <w:pPr>
              <w:rPr>
                <w:rFonts w:eastAsia="宋体"/>
                <w:lang w:eastAsia="zh-CN"/>
              </w:rPr>
            </w:pPr>
            <w:r>
              <w:rPr>
                <w:rFonts w:eastAsia="宋体" w:hint="eastAsia"/>
                <w:lang w:eastAsia="zh-CN"/>
              </w:rPr>
              <w:t>1</w:t>
            </w:r>
            <w:r>
              <w:rPr>
                <w:rFonts w:eastAsia="宋体"/>
                <w:lang w:eastAsia="zh-CN"/>
              </w:rPr>
              <w:t>,1,</w:t>
            </w:r>
            <w:r w:rsidR="007B0F2B">
              <w:rPr>
                <w:rFonts w:eastAsia="宋体"/>
                <w:lang w:eastAsia="zh-CN"/>
              </w:rPr>
              <w:t>7</w:t>
            </w:r>
            <w:r>
              <w:rPr>
                <w:rFonts w:eastAsia="宋体"/>
                <w:lang w:eastAsia="zh-CN"/>
              </w:rPr>
              <w:t>,</w:t>
            </w:r>
            <w:r w:rsidR="007B0F2B">
              <w:rPr>
                <w:rFonts w:eastAsia="宋体"/>
                <w:lang w:eastAsia="zh-CN"/>
              </w:rPr>
              <w:t>7</w:t>
            </w:r>
            <w:r>
              <w:rPr>
                <w:rFonts w:eastAsia="宋体"/>
                <w:lang w:eastAsia="zh-CN"/>
              </w:rPr>
              <w:t>,</w:t>
            </w:r>
            <w:r w:rsidR="007B0F2B">
              <w:rPr>
                <w:rFonts w:eastAsia="宋体"/>
                <w:lang w:eastAsia="zh-CN"/>
              </w:rPr>
              <w:t>7</w:t>
            </w:r>
          </w:p>
        </w:tc>
      </w:tr>
    </w:tbl>
    <w:p w14:paraId="6D95AD8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0735922D" w14:textId="77777777">
        <w:tc>
          <w:tcPr>
            <w:tcW w:w="4320" w:type="dxa"/>
          </w:tcPr>
          <w:p w14:paraId="222E8A87" w14:textId="77777777" w:rsidR="008C45D6" w:rsidRDefault="00000000">
            <w:r>
              <w:t>ID</w:t>
            </w:r>
          </w:p>
        </w:tc>
        <w:tc>
          <w:tcPr>
            <w:tcW w:w="10080" w:type="dxa"/>
          </w:tcPr>
          <w:p w14:paraId="6E853455" w14:textId="77777777" w:rsidR="008C45D6" w:rsidRDefault="00000000">
            <w:r>
              <w:t>452(21)</w:t>
            </w:r>
          </w:p>
        </w:tc>
      </w:tr>
      <w:tr w:rsidR="008C45D6" w14:paraId="100E70AA" w14:textId="77777777">
        <w:tc>
          <w:tcPr>
            <w:tcW w:w="4320" w:type="dxa"/>
          </w:tcPr>
          <w:p w14:paraId="2D356E0A" w14:textId="77777777" w:rsidR="008C45D6" w:rsidRDefault="00000000">
            <w:r>
              <w:rPr>
                <w:rFonts w:ascii="仿宋" w:eastAsia="仿宋" w:hAnsi="仿宋"/>
              </w:rPr>
              <w:lastRenderedPageBreak/>
              <w:t>领域</w:t>
            </w:r>
          </w:p>
        </w:tc>
        <w:tc>
          <w:tcPr>
            <w:tcW w:w="4320" w:type="dxa"/>
          </w:tcPr>
          <w:p w14:paraId="75CB371E" w14:textId="77777777" w:rsidR="008C45D6" w:rsidRDefault="00000000">
            <w:r>
              <w:t>Science</w:t>
            </w:r>
          </w:p>
        </w:tc>
      </w:tr>
      <w:tr w:rsidR="008C45D6" w14:paraId="1FFEDE74" w14:textId="77777777">
        <w:tc>
          <w:tcPr>
            <w:tcW w:w="4320" w:type="dxa"/>
          </w:tcPr>
          <w:p w14:paraId="1504D97D" w14:textId="77777777" w:rsidR="008C45D6" w:rsidRDefault="00000000">
            <w:r>
              <w:rPr>
                <w:rFonts w:ascii="仿宋" w:eastAsia="仿宋" w:hAnsi="仿宋"/>
              </w:rPr>
              <w:t>用户问题</w:t>
            </w:r>
          </w:p>
        </w:tc>
        <w:tc>
          <w:tcPr>
            <w:tcW w:w="4320" w:type="dxa"/>
          </w:tcPr>
          <w:p w14:paraId="76185EEF" w14:textId="77777777" w:rsidR="008C45D6" w:rsidRDefault="00000000">
            <w:r>
              <w:t>What is the validity of the assertion that "Mice lacking Sirt1 in Sf1-expressing neurons are immune to diet-induced obesity and insulin resistance."? Outline fact-based statements about the assertion.</w:t>
            </w:r>
          </w:p>
        </w:tc>
      </w:tr>
      <w:tr w:rsidR="008C45D6" w14:paraId="4A6A2E1F" w14:textId="77777777">
        <w:tc>
          <w:tcPr>
            <w:tcW w:w="4320" w:type="dxa"/>
          </w:tcPr>
          <w:p w14:paraId="0FA8C3B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68E01A" w14:textId="797F4595" w:rsidR="008C45D6" w:rsidRPr="005059D9" w:rsidRDefault="005059D9">
            <w:pPr>
              <w:rPr>
                <w:rFonts w:eastAsia="宋体"/>
                <w:lang w:eastAsia="zh-CN"/>
              </w:rPr>
            </w:pPr>
            <w:r>
              <w:rPr>
                <w:rFonts w:eastAsia="宋体" w:hint="eastAsia"/>
                <w:lang w:eastAsia="zh-CN"/>
              </w:rPr>
              <w:t>3</w:t>
            </w:r>
            <w:r>
              <w:rPr>
                <w:rFonts w:eastAsia="宋体"/>
                <w:lang w:eastAsia="zh-CN"/>
              </w:rPr>
              <w:t>,2,3</w:t>
            </w:r>
          </w:p>
        </w:tc>
      </w:tr>
      <w:tr w:rsidR="008C45D6" w14:paraId="74E1E82C" w14:textId="77777777">
        <w:tc>
          <w:tcPr>
            <w:tcW w:w="4320" w:type="dxa"/>
          </w:tcPr>
          <w:p w14:paraId="66782B95" w14:textId="77777777" w:rsidR="008C45D6" w:rsidRDefault="00000000">
            <w:r>
              <w:rPr>
                <w:rFonts w:ascii="仿宋" w:eastAsia="仿宋" w:hAnsi="仿宋"/>
              </w:rPr>
              <w:t>模型回复</w:t>
            </w:r>
          </w:p>
        </w:tc>
        <w:tc>
          <w:tcPr>
            <w:tcW w:w="4320" w:type="dxa"/>
          </w:tcPr>
          <w:p w14:paraId="2B2CE88B" w14:textId="77777777" w:rsidR="008C45D6" w:rsidRDefault="00000000">
            <w:r>
              <w:t>Fact-based statements about the assertion that "Mice lacking Sirt1 in Sf1-expressing neurons are immune to diet-induced obesity and insulin resistance":</w:t>
            </w:r>
            <w:r>
              <w:br/>
              <w:t>1. The assertion is supported by a scientific study titled "Silencing of Sirt1 in Sf1 Neurons Causes Hyperphagic Obesity and Reduces AgRP Inhibition by Leptin."</w:t>
            </w:r>
            <w:r>
              <w:br/>
              <w:t>2. The study was conducted on mice lacking Sirt1 specifically in Sf1-expressing neurons.</w:t>
            </w:r>
            <w:r>
              <w:br/>
              <w:t>3. Sirt1 is a type of protein known as a sirtuin, which plays a role in cellular metabolism and energy homeostasis.</w:t>
            </w:r>
            <w:r>
              <w:br/>
              <w:t>4. Sf1 (Steroidogenic Factor 1) is a transcription factor that regulates gene expression in a variety of tissues, including the hypothalamus.</w:t>
            </w:r>
            <w:r>
              <w:br/>
              <w:t>5. The study found that mice lacking Sirt1 in Sf1-expressing neurons were resistant to diet-induced obesity.</w:t>
            </w:r>
            <w:r>
              <w:br/>
              <w:t>6. The mice exhibited reduced food intake and increased energy expenditure, contributing to their resistance to obesity.</w:t>
            </w:r>
            <w:r>
              <w:br/>
              <w:t>7. Additionally, the mice lacking Sirt1 in Sf1-expressing neurons showed improved insulin sensitivity, indicating a resistance to diet-induced insulin resistance.</w:t>
            </w:r>
            <w:r>
              <w:br/>
              <w:t>8. The study concluded that Sirt1 in Sf1-expressing neurons plays a crucial role in regulating energy balance and protecting against diet-induced obesity and insulin resistance.</w:t>
            </w:r>
            <w:r>
              <w:br/>
              <w:t>9. These findings suggest that targeting Sirt1 in Sf1-expressing neurons might be a potential therapeutic approach for combating obesity and insulin resistance.</w:t>
            </w:r>
            <w:r>
              <w:br/>
              <w:t xml:space="preserve">It's important to note that while these statements are fact-based, they are based on a specific study and may not </w:t>
            </w:r>
            <w:r>
              <w:lastRenderedPageBreak/>
              <w:t>represent the entire body of knowledge on the subject. It is always recommended to review multiple studies and scientific literature for a comprehensive understanding.</w:t>
            </w:r>
          </w:p>
        </w:tc>
      </w:tr>
      <w:tr w:rsidR="008C45D6" w14:paraId="4897E4D4" w14:textId="77777777">
        <w:tc>
          <w:tcPr>
            <w:tcW w:w="4320" w:type="dxa"/>
          </w:tcPr>
          <w:p w14:paraId="1994CB5C"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4A4722" w14:textId="229D50E1" w:rsidR="008C45D6" w:rsidRPr="005059D9" w:rsidRDefault="005059D9">
            <w:pPr>
              <w:rPr>
                <w:rFonts w:eastAsia="宋体"/>
                <w:lang w:eastAsia="zh-CN"/>
              </w:rPr>
            </w:pPr>
            <w:r>
              <w:rPr>
                <w:rFonts w:eastAsia="宋体" w:hint="eastAsia"/>
                <w:lang w:eastAsia="zh-CN"/>
              </w:rPr>
              <w:t>1</w:t>
            </w:r>
          </w:p>
        </w:tc>
      </w:tr>
      <w:tr w:rsidR="008C45D6" w14:paraId="5906F0D2" w14:textId="77777777">
        <w:tc>
          <w:tcPr>
            <w:tcW w:w="4320" w:type="dxa"/>
          </w:tcPr>
          <w:p w14:paraId="06326E10" w14:textId="77777777" w:rsidR="008C45D6" w:rsidRDefault="00000000">
            <w:r>
              <w:rPr>
                <w:rFonts w:ascii="仿宋" w:eastAsia="仿宋" w:hAnsi="仿宋"/>
              </w:rPr>
              <w:t>提取的事实</w:t>
            </w:r>
          </w:p>
        </w:tc>
        <w:tc>
          <w:tcPr>
            <w:tcW w:w="4320" w:type="dxa"/>
          </w:tcPr>
          <w:p w14:paraId="57B51582" w14:textId="77777777" w:rsidR="008C45D6" w:rsidRDefault="00000000">
            <w:r>
              <w:t>1. A scientific study named "Silencing of Sirt1 in Sf1 Neurons Causes Hyperphagic Obesity and Reduces AgRP Inhibition by Leptin" supports the assertion.</w:t>
            </w:r>
            <w:r>
              <w:br/>
              <w:t>2. The study was specifically conducted on mice lacking Sirt1 in Sf1-expressing neurons.</w:t>
            </w:r>
            <w:r>
              <w:br/>
              <w:t>3. Sirt1 is a protein known as a sirtuin, which plays a role in cellular metabolism and energy homeostasis.</w:t>
            </w:r>
            <w:r>
              <w:br/>
              <w:t>4. Sf1, Steroidogenic Factor 1, is a transcription factor that regulates gene expression in various tissues, including the hypothalamus.</w:t>
            </w:r>
            <w:r>
              <w:br/>
              <w:t>5. The study found that mice lacking Sirt1 in Sf1-expressing neurons were immune to diet-induced obesity and insulin resistance.</w:t>
            </w:r>
          </w:p>
        </w:tc>
      </w:tr>
      <w:tr w:rsidR="008C45D6" w14:paraId="38B263D0" w14:textId="77777777">
        <w:tc>
          <w:tcPr>
            <w:tcW w:w="4320" w:type="dxa"/>
          </w:tcPr>
          <w:p w14:paraId="7A5184E6"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6458E1" w14:textId="68DE8C1E" w:rsidR="008C45D6" w:rsidRPr="005059D9" w:rsidRDefault="0085682E">
            <w:pPr>
              <w:rPr>
                <w:rFonts w:eastAsia="宋体"/>
                <w:lang w:eastAsia="zh-CN"/>
              </w:rPr>
            </w:pPr>
            <w:r>
              <w:rPr>
                <w:rFonts w:eastAsia="宋体"/>
                <w:lang w:eastAsia="zh-CN"/>
              </w:rPr>
              <w:t>7</w:t>
            </w:r>
            <w:r w:rsidR="005059D9">
              <w:rPr>
                <w:rFonts w:eastAsia="宋体"/>
                <w:lang w:eastAsia="zh-CN"/>
              </w:rPr>
              <w:t>,1,1,</w:t>
            </w:r>
            <w:r w:rsidR="005435B9">
              <w:rPr>
                <w:rFonts w:eastAsia="宋体"/>
                <w:lang w:eastAsia="zh-CN"/>
              </w:rPr>
              <w:t>1,</w:t>
            </w:r>
            <w:r>
              <w:rPr>
                <w:rFonts w:eastAsia="宋体"/>
                <w:lang w:eastAsia="zh-CN"/>
              </w:rPr>
              <w:t>7</w:t>
            </w:r>
          </w:p>
        </w:tc>
      </w:tr>
    </w:tbl>
    <w:p w14:paraId="2EAC059E"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9"/>
        <w:gridCol w:w="6051"/>
      </w:tblGrid>
      <w:tr w:rsidR="008C45D6" w14:paraId="0F492A8E" w14:textId="77777777">
        <w:tc>
          <w:tcPr>
            <w:tcW w:w="4320" w:type="dxa"/>
          </w:tcPr>
          <w:p w14:paraId="18605D2F" w14:textId="77777777" w:rsidR="008C45D6" w:rsidRDefault="00000000">
            <w:r>
              <w:t>ID</w:t>
            </w:r>
          </w:p>
        </w:tc>
        <w:tc>
          <w:tcPr>
            <w:tcW w:w="10080" w:type="dxa"/>
          </w:tcPr>
          <w:p w14:paraId="43E3A54C" w14:textId="77777777" w:rsidR="008C45D6" w:rsidRDefault="00000000">
            <w:r>
              <w:t>461(22)</w:t>
            </w:r>
          </w:p>
        </w:tc>
      </w:tr>
      <w:tr w:rsidR="008C45D6" w14:paraId="502DB14D" w14:textId="77777777">
        <w:tc>
          <w:tcPr>
            <w:tcW w:w="4320" w:type="dxa"/>
          </w:tcPr>
          <w:p w14:paraId="04F24A2E" w14:textId="77777777" w:rsidR="008C45D6" w:rsidRDefault="00000000">
            <w:r>
              <w:rPr>
                <w:rFonts w:ascii="仿宋" w:eastAsia="仿宋" w:hAnsi="仿宋"/>
              </w:rPr>
              <w:t>领域</w:t>
            </w:r>
          </w:p>
        </w:tc>
        <w:tc>
          <w:tcPr>
            <w:tcW w:w="4320" w:type="dxa"/>
          </w:tcPr>
          <w:p w14:paraId="5E1469DA" w14:textId="77777777" w:rsidR="008C45D6" w:rsidRDefault="00000000">
            <w:r>
              <w:t>Science</w:t>
            </w:r>
          </w:p>
        </w:tc>
      </w:tr>
      <w:tr w:rsidR="008C45D6" w14:paraId="653DF971" w14:textId="77777777">
        <w:tc>
          <w:tcPr>
            <w:tcW w:w="4320" w:type="dxa"/>
          </w:tcPr>
          <w:p w14:paraId="03F7C067" w14:textId="77777777" w:rsidR="008C45D6" w:rsidRDefault="00000000">
            <w:r>
              <w:rPr>
                <w:rFonts w:ascii="仿宋" w:eastAsia="仿宋" w:hAnsi="仿宋"/>
              </w:rPr>
              <w:t>用户问题</w:t>
            </w:r>
          </w:p>
        </w:tc>
        <w:tc>
          <w:tcPr>
            <w:tcW w:w="4320" w:type="dxa"/>
          </w:tcPr>
          <w:p w14:paraId="529CD255" w14:textId="77777777" w:rsidR="008C45D6" w:rsidRDefault="00000000">
            <w:r>
              <w:t>Do you agree with the claim that "Misunderstandings between doctors and patients can lead to non-adherence."? Provide factual statements about the claim.</w:t>
            </w:r>
          </w:p>
        </w:tc>
      </w:tr>
      <w:tr w:rsidR="008C45D6" w14:paraId="3FF9C21B" w14:textId="77777777">
        <w:tc>
          <w:tcPr>
            <w:tcW w:w="4320" w:type="dxa"/>
          </w:tcPr>
          <w:p w14:paraId="159759D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A5E5542" w14:textId="6ABAD4BA" w:rsidR="008C45D6" w:rsidRPr="005435B9" w:rsidRDefault="005435B9">
            <w:pPr>
              <w:rPr>
                <w:rFonts w:eastAsia="宋体"/>
                <w:lang w:eastAsia="zh-CN"/>
              </w:rPr>
            </w:pPr>
            <w:r>
              <w:rPr>
                <w:rFonts w:eastAsia="宋体" w:hint="eastAsia"/>
                <w:lang w:eastAsia="zh-CN"/>
              </w:rPr>
              <w:lastRenderedPageBreak/>
              <w:t>4</w:t>
            </w:r>
            <w:r>
              <w:rPr>
                <w:rFonts w:eastAsia="宋体"/>
                <w:lang w:eastAsia="zh-CN"/>
              </w:rPr>
              <w:t>,4,4</w:t>
            </w:r>
          </w:p>
        </w:tc>
      </w:tr>
      <w:tr w:rsidR="008C45D6" w14:paraId="5DCB2D2F" w14:textId="77777777">
        <w:tc>
          <w:tcPr>
            <w:tcW w:w="4320" w:type="dxa"/>
          </w:tcPr>
          <w:p w14:paraId="6B986CAF" w14:textId="77777777" w:rsidR="008C45D6" w:rsidRDefault="00000000">
            <w:r>
              <w:rPr>
                <w:rFonts w:ascii="仿宋" w:eastAsia="仿宋" w:hAnsi="仿宋"/>
              </w:rPr>
              <w:t>模型回复</w:t>
            </w:r>
          </w:p>
        </w:tc>
        <w:tc>
          <w:tcPr>
            <w:tcW w:w="4320" w:type="dxa"/>
          </w:tcPr>
          <w:p w14:paraId="518E5E79" w14:textId="77777777" w:rsidR="008C45D6" w:rsidRDefault="00000000">
            <w:r>
              <w:t>Yes, I agree with the claim that misunderstandings between doctors and patients can lead to non-adherence. Here are some factual statements supporting this claim:</w:t>
            </w:r>
            <w:r>
              <w:br/>
              <w:t>1. According to a study published in the Journal of General Internal Medicine, communication problems, including misunderstandings, were identified in approximately 40% of malpractice claims involving primary care physicians. These communication breakdowns can affect patients' understanding of their conditions and treatment plans, potentially leading to non-adherence.</w:t>
            </w:r>
            <w:r>
              <w:br/>
              <w:t>2. The Annals of Family Medicine published a study that found patients with limited health literacy and comprehensibility faced higher rates of non-adherence to prescribed medications and treatment recommendations. Misunderstandings often contribute to reduced health literacy, making it difficult for patients to understand and follow medical advice.</w:t>
            </w:r>
            <w:r>
              <w:br/>
              <w:t>3. A systematic review published in BMC Health Services Research found that miscommunication or misunderstandings between doctors and patients can result in patients not fully understanding their diagnosis, the recommended treatment, or the importance of adherence. As a result, patients may be less likely to adhere to prescribed medications, lifestyle changes, or treatment plans.</w:t>
            </w:r>
            <w:r>
              <w:br/>
              <w:t>4. A study published in the Journal of Internal Medicine revealed that patients who had poor communication with their doctors were less likely to adhere to prescribed medications. Misunderstandings, such as a lack of clear instructions or side effect explanations, can significantly hinder medication adherence.</w:t>
            </w:r>
            <w:r>
              <w:br/>
              <w:t>5. The World Health Organization (WHO) identifies poor communication and misunderstandings as one of the leading factors contributing to medication errors. When patients are unclear about how to take their medications or have misconceptions about potential side effects, it can lead to non-adherence.</w:t>
            </w:r>
            <w:r>
              <w:br/>
            </w:r>
            <w:r>
              <w:lastRenderedPageBreak/>
              <w:t>In conclusion, several studies and reputable sources support the claim that misunderstandings between doctors and patients can indeed lead to non-adherence. Improving communication, addressing potential misunderstandings, and enhancing health literacy are crucial to increase patient adherence and overall health outcomes.</w:t>
            </w:r>
          </w:p>
        </w:tc>
      </w:tr>
      <w:tr w:rsidR="008C45D6" w14:paraId="3DFFE368" w14:textId="77777777">
        <w:tc>
          <w:tcPr>
            <w:tcW w:w="4320" w:type="dxa"/>
          </w:tcPr>
          <w:p w14:paraId="56914D1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48916E" w14:textId="1C7FD550" w:rsidR="008C45D6" w:rsidRPr="005435B9" w:rsidRDefault="005435B9">
            <w:pPr>
              <w:rPr>
                <w:rFonts w:eastAsia="宋体"/>
                <w:lang w:eastAsia="zh-CN"/>
              </w:rPr>
            </w:pPr>
            <w:r>
              <w:rPr>
                <w:rFonts w:eastAsia="宋体" w:hint="eastAsia"/>
                <w:lang w:eastAsia="zh-CN"/>
              </w:rPr>
              <w:t>1</w:t>
            </w:r>
          </w:p>
        </w:tc>
      </w:tr>
      <w:tr w:rsidR="008C45D6" w14:paraId="136D2CA6" w14:textId="77777777">
        <w:tc>
          <w:tcPr>
            <w:tcW w:w="4320" w:type="dxa"/>
          </w:tcPr>
          <w:p w14:paraId="1CC3DA56" w14:textId="77777777" w:rsidR="008C45D6" w:rsidRDefault="00000000">
            <w:r>
              <w:rPr>
                <w:rFonts w:ascii="仿宋" w:eastAsia="仿宋" w:hAnsi="仿宋"/>
              </w:rPr>
              <w:t>提取的事实</w:t>
            </w:r>
          </w:p>
        </w:tc>
        <w:tc>
          <w:tcPr>
            <w:tcW w:w="4320" w:type="dxa"/>
          </w:tcPr>
          <w:p w14:paraId="209BC8A5" w14:textId="77777777" w:rsidR="008C45D6" w:rsidRDefault="00000000">
            <w:r>
              <w:t>1. The Journal of General Internal Medicine published a study stating that communication problems were identified in about 40% of malpractice claims involving primary care physicians.</w:t>
            </w:r>
            <w:r>
              <w:br/>
              <w:t>2. The Annals of Family Medicine found patients with limited health literacy and comprehensibility often faced higher rates of non-adherence to medical advice.</w:t>
            </w:r>
            <w:r>
              <w:br/>
              <w:t>3. A systematic review in BMC Health Services Research noted that miscommunication between doctors and patients can result in patients not fully understanding their diagnosis or treatment.</w:t>
            </w:r>
            <w:r>
              <w:br/>
              <w:t>4. The Journal of Internal Medicine published a study showing that poor communication with their doctors made patients less likely to adhere to prescribed medications.</w:t>
            </w:r>
            <w:r>
              <w:br/>
              <w:t>5. The World Health Organization identifies poor communication and misunderstandings as leading factors contributing to medication errors.</w:t>
            </w:r>
          </w:p>
        </w:tc>
      </w:tr>
      <w:tr w:rsidR="008C45D6" w14:paraId="19A45D8D" w14:textId="77777777">
        <w:tc>
          <w:tcPr>
            <w:tcW w:w="4320" w:type="dxa"/>
          </w:tcPr>
          <w:p w14:paraId="5E56937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A6396FE" w14:textId="657A7489" w:rsidR="008C45D6" w:rsidRPr="005435B9" w:rsidRDefault="0085682E">
            <w:pPr>
              <w:rPr>
                <w:rFonts w:eastAsia="宋体"/>
                <w:lang w:eastAsia="zh-CN"/>
              </w:rPr>
            </w:pPr>
            <w:r>
              <w:rPr>
                <w:rFonts w:eastAsia="宋体"/>
                <w:lang w:eastAsia="zh-CN"/>
              </w:rPr>
              <w:t>2</w:t>
            </w:r>
            <w:r w:rsidR="005435B9">
              <w:rPr>
                <w:rFonts w:eastAsia="宋体"/>
                <w:lang w:eastAsia="zh-CN"/>
              </w:rPr>
              <w:t>,</w:t>
            </w:r>
            <w:r>
              <w:rPr>
                <w:rFonts w:eastAsia="宋体"/>
                <w:lang w:eastAsia="zh-CN"/>
              </w:rPr>
              <w:t>2</w:t>
            </w:r>
            <w:r w:rsidR="005435B9">
              <w:rPr>
                <w:rFonts w:eastAsia="宋体"/>
                <w:lang w:eastAsia="zh-CN"/>
              </w:rPr>
              <w:t>,1,</w:t>
            </w:r>
            <w:r>
              <w:rPr>
                <w:rFonts w:eastAsia="宋体"/>
                <w:lang w:eastAsia="zh-CN"/>
              </w:rPr>
              <w:t>2</w:t>
            </w:r>
            <w:r w:rsidR="005435B9">
              <w:rPr>
                <w:rFonts w:eastAsia="宋体"/>
                <w:lang w:eastAsia="zh-CN"/>
              </w:rPr>
              <w:t>,</w:t>
            </w:r>
            <w:r>
              <w:rPr>
                <w:rFonts w:eastAsia="宋体"/>
                <w:lang w:eastAsia="zh-CN"/>
              </w:rPr>
              <w:t>1</w:t>
            </w:r>
          </w:p>
        </w:tc>
      </w:tr>
    </w:tbl>
    <w:p w14:paraId="51A5A47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C45D6" w14:paraId="58FA5A58" w14:textId="77777777">
        <w:tc>
          <w:tcPr>
            <w:tcW w:w="4320" w:type="dxa"/>
          </w:tcPr>
          <w:p w14:paraId="5AA2620F" w14:textId="77777777" w:rsidR="008C45D6" w:rsidRDefault="00000000">
            <w:r>
              <w:t>ID</w:t>
            </w:r>
          </w:p>
        </w:tc>
        <w:tc>
          <w:tcPr>
            <w:tcW w:w="10080" w:type="dxa"/>
          </w:tcPr>
          <w:p w14:paraId="2298BF94" w14:textId="77777777" w:rsidR="008C45D6" w:rsidRDefault="00000000">
            <w:r>
              <w:t>471(23)</w:t>
            </w:r>
          </w:p>
        </w:tc>
      </w:tr>
      <w:tr w:rsidR="008C45D6" w14:paraId="0C6B6CA1" w14:textId="77777777">
        <w:tc>
          <w:tcPr>
            <w:tcW w:w="4320" w:type="dxa"/>
          </w:tcPr>
          <w:p w14:paraId="1768CA0C" w14:textId="77777777" w:rsidR="008C45D6" w:rsidRDefault="00000000">
            <w:r>
              <w:rPr>
                <w:rFonts w:ascii="仿宋" w:eastAsia="仿宋" w:hAnsi="仿宋"/>
              </w:rPr>
              <w:t>领域</w:t>
            </w:r>
          </w:p>
        </w:tc>
        <w:tc>
          <w:tcPr>
            <w:tcW w:w="4320" w:type="dxa"/>
          </w:tcPr>
          <w:p w14:paraId="2A1BED4D" w14:textId="77777777" w:rsidR="008C45D6" w:rsidRDefault="00000000">
            <w:r>
              <w:t>Science</w:t>
            </w:r>
          </w:p>
        </w:tc>
      </w:tr>
      <w:tr w:rsidR="008C45D6" w14:paraId="64D57FDD" w14:textId="77777777">
        <w:tc>
          <w:tcPr>
            <w:tcW w:w="4320" w:type="dxa"/>
          </w:tcPr>
          <w:p w14:paraId="1033252C" w14:textId="77777777" w:rsidR="008C45D6" w:rsidRDefault="00000000">
            <w:r>
              <w:rPr>
                <w:rFonts w:ascii="仿宋" w:eastAsia="仿宋" w:hAnsi="仿宋"/>
              </w:rPr>
              <w:lastRenderedPageBreak/>
              <w:t>用户问题</w:t>
            </w:r>
          </w:p>
        </w:tc>
        <w:tc>
          <w:tcPr>
            <w:tcW w:w="4320" w:type="dxa"/>
          </w:tcPr>
          <w:p w14:paraId="1525C3CE" w14:textId="77777777" w:rsidR="008C45D6" w:rsidRDefault="00000000">
            <w:r>
              <w:t>Do you agree with the claim that "Mouse models can be generated using "artificial spermatids.""? Provide factual statements about the claim.</w:t>
            </w:r>
          </w:p>
        </w:tc>
      </w:tr>
      <w:tr w:rsidR="008C45D6" w14:paraId="76491758" w14:textId="77777777">
        <w:tc>
          <w:tcPr>
            <w:tcW w:w="4320" w:type="dxa"/>
          </w:tcPr>
          <w:p w14:paraId="6D972CCE"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9ECDC6" w14:textId="23986368" w:rsidR="008C45D6" w:rsidRPr="005435B9" w:rsidRDefault="005435B9">
            <w:pPr>
              <w:rPr>
                <w:rFonts w:eastAsia="宋体"/>
                <w:lang w:eastAsia="zh-CN"/>
              </w:rPr>
            </w:pPr>
            <w:r>
              <w:rPr>
                <w:rFonts w:eastAsia="宋体" w:hint="eastAsia"/>
                <w:lang w:eastAsia="zh-CN"/>
              </w:rPr>
              <w:t>4</w:t>
            </w:r>
            <w:r>
              <w:rPr>
                <w:rFonts w:eastAsia="宋体"/>
                <w:lang w:eastAsia="zh-CN"/>
              </w:rPr>
              <w:t>,3,3</w:t>
            </w:r>
          </w:p>
        </w:tc>
      </w:tr>
      <w:tr w:rsidR="008C45D6" w14:paraId="1ECF9FC6" w14:textId="77777777">
        <w:tc>
          <w:tcPr>
            <w:tcW w:w="4320" w:type="dxa"/>
          </w:tcPr>
          <w:p w14:paraId="6D1172D1" w14:textId="77777777" w:rsidR="008C45D6" w:rsidRDefault="00000000">
            <w:r>
              <w:rPr>
                <w:rFonts w:ascii="仿宋" w:eastAsia="仿宋" w:hAnsi="仿宋"/>
              </w:rPr>
              <w:t>模型回复</w:t>
            </w:r>
          </w:p>
        </w:tc>
        <w:tc>
          <w:tcPr>
            <w:tcW w:w="4320" w:type="dxa"/>
          </w:tcPr>
          <w:p w14:paraId="516EB2D6" w14:textId="77777777" w:rsidR="008C45D6" w:rsidRDefault="00000000">
            <w:r>
              <w:t>As of my knowledge, the claim that "Mouse models can be generated using artificial spermatids" is not supported by factual statements or scientific evidence. Artificial spermatids, also known as round spermatids, are immature male germ cells incapable of fertilizing eggs and producing offspring. While research has explored techniques like in vitro maturation (IVM) or round spermatid injection (ROSI) to generate live offspring using artificial spermatids in laboratory settings, these approaches have not been proven successful or reliable enough for practical use in creating mouse models.</w:t>
            </w:r>
            <w:r>
              <w:br/>
              <w:t>Mouse models are typically generated using well-established techniques like genetic modification, such as gene targeting or transgenic methods, to introduce specific genetic alterations into the germline of mice. These techniques involve introducing modified DNA constructs into embryonic stem cells, producing chimeric mice, and then breeding these mice to establish stable lines carrying the desired genetic alteration. This process relies on the ability of mature and functional sperm to fertilize eggs, resulting in the production of offspring carrying the genetic modification.</w:t>
            </w:r>
            <w:r>
              <w:br/>
              <w:t>While artificial spermatids have shown potential as a research tool for studying infertility or reproductive biology, their use in generating mouse models remains an area of ongoing scientific investigation and has not been widely adopted as a standard approach. Therefore, it would be inaccurate to claim that mouse models can currently be generated using artificial spermatids.</w:t>
            </w:r>
          </w:p>
        </w:tc>
      </w:tr>
      <w:tr w:rsidR="008C45D6" w14:paraId="23712B17" w14:textId="77777777">
        <w:tc>
          <w:tcPr>
            <w:tcW w:w="4320" w:type="dxa"/>
          </w:tcPr>
          <w:p w14:paraId="1E313537"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D340FE" w14:textId="282A56BD" w:rsidR="008C45D6" w:rsidRPr="005435B9" w:rsidRDefault="005435B9">
            <w:pPr>
              <w:rPr>
                <w:rFonts w:eastAsia="宋体"/>
                <w:lang w:eastAsia="zh-CN"/>
              </w:rPr>
            </w:pPr>
            <w:r>
              <w:rPr>
                <w:rFonts w:eastAsia="宋体" w:hint="eastAsia"/>
                <w:lang w:eastAsia="zh-CN"/>
              </w:rPr>
              <w:t>1</w:t>
            </w:r>
          </w:p>
        </w:tc>
      </w:tr>
      <w:tr w:rsidR="008C45D6" w14:paraId="2D10C8CE" w14:textId="77777777">
        <w:tc>
          <w:tcPr>
            <w:tcW w:w="4320" w:type="dxa"/>
          </w:tcPr>
          <w:p w14:paraId="478ECA87" w14:textId="77777777" w:rsidR="008C45D6" w:rsidRDefault="00000000">
            <w:r>
              <w:rPr>
                <w:rFonts w:ascii="仿宋" w:eastAsia="仿宋" w:hAnsi="仿宋"/>
              </w:rPr>
              <w:lastRenderedPageBreak/>
              <w:t>提取的事实</w:t>
            </w:r>
          </w:p>
        </w:tc>
        <w:tc>
          <w:tcPr>
            <w:tcW w:w="4320" w:type="dxa"/>
          </w:tcPr>
          <w:p w14:paraId="4BFC6739" w14:textId="77777777" w:rsidR="008C45D6" w:rsidRDefault="00000000">
            <w:r>
              <w:t>1. Artificial spermatids, also known as round spermatids, are immature male germ cells.</w:t>
            </w:r>
            <w:r>
              <w:br/>
              <w:t>2. According to the information provided, artificial spermatids are incapable of fertilizing eggs and producing offspring.</w:t>
            </w:r>
            <w:r>
              <w:br/>
              <w:t>3. Mouse models are typically generated using genetic modification techniques like gene targeting or transgenic methods.</w:t>
            </w:r>
            <w:r>
              <w:br/>
              <w:t>4. These genetic modification techniques involve introducing modified DNA constructs into embryonic stem cells and breeding chimeric mice to establish stable lines carrying the desired genetic alteration.</w:t>
            </w:r>
            <w:r>
              <w:br/>
              <w:t>5. Despite ongoing research, the use of artificial spermatids to generate mouse models has not been widely adopted as a standard approach.</w:t>
            </w:r>
          </w:p>
        </w:tc>
      </w:tr>
      <w:tr w:rsidR="008C45D6" w14:paraId="51367729" w14:textId="77777777">
        <w:tc>
          <w:tcPr>
            <w:tcW w:w="4320" w:type="dxa"/>
          </w:tcPr>
          <w:p w14:paraId="77F44B2B"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F4A3A2" w14:textId="67A138AB" w:rsidR="008C45D6" w:rsidRPr="005435B9" w:rsidRDefault="005435B9">
            <w:pPr>
              <w:rPr>
                <w:rFonts w:eastAsia="宋体"/>
                <w:lang w:eastAsia="zh-CN"/>
              </w:rPr>
            </w:pPr>
            <w:r>
              <w:rPr>
                <w:rFonts w:eastAsia="宋体" w:hint="eastAsia"/>
                <w:lang w:eastAsia="zh-CN"/>
              </w:rPr>
              <w:t>1</w:t>
            </w:r>
            <w:r>
              <w:rPr>
                <w:rFonts w:eastAsia="宋体"/>
                <w:lang w:eastAsia="zh-CN"/>
              </w:rPr>
              <w:t>,6,1,1,1</w:t>
            </w:r>
          </w:p>
        </w:tc>
      </w:tr>
    </w:tbl>
    <w:p w14:paraId="31863CBB"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14C7C463" w14:textId="77777777">
        <w:tc>
          <w:tcPr>
            <w:tcW w:w="4320" w:type="dxa"/>
          </w:tcPr>
          <w:p w14:paraId="05D4ADCD" w14:textId="77777777" w:rsidR="008C45D6" w:rsidRDefault="00000000">
            <w:r>
              <w:t>ID</w:t>
            </w:r>
          </w:p>
        </w:tc>
        <w:tc>
          <w:tcPr>
            <w:tcW w:w="10080" w:type="dxa"/>
          </w:tcPr>
          <w:p w14:paraId="4B1C391C" w14:textId="77777777" w:rsidR="008C45D6" w:rsidRDefault="00000000">
            <w:r>
              <w:t>474(24)</w:t>
            </w:r>
          </w:p>
        </w:tc>
      </w:tr>
      <w:tr w:rsidR="008C45D6" w14:paraId="1AC171C9" w14:textId="77777777">
        <w:tc>
          <w:tcPr>
            <w:tcW w:w="4320" w:type="dxa"/>
          </w:tcPr>
          <w:p w14:paraId="4EC5BBF1" w14:textId="77777777" w:rsidR="008C45D6" w:rsidRDefault="00000000">
            <w:r>
              <w:rPr>
                <w:rFonts w:ascii="仿宋" w:eastAsia="仿宋" w:hAnsi="仿宋"/>
              </w:rPr>
              <w:t>领域</w:t>
            </w:r>
          </w:p>
        </w:tc>
        <w:tc>
          <w:tcPr>
            <w:tcW w:w="4320" w:type="dxa"/>
          </w:tcPr>
          <w:p w14:paraId="12C7EC50" w14:textId="77777777" w:rsidR="008C45D6" w:rsidRDefault="00000000">
            <w:r>
              <w:t>Science</w:t>
            </w:r>
          </w:p>
        </w:tc>
      </w:tr>
      <w:tr w:rsidR="008C45D6" w14:paraId="4D5C187D" w14:textId="77777777">
        <w:tc>
          <w:tcPr>
            <w:tcW w:w="4320" w:type="dxa"/>
          </w:tcPr>
          <w:p w14:paraId="0A36F2C1" w14:textId="77777777" w:rsidR="008C45D6" w:rsidRDefault="00000000">
            <w:r>
              <w:rPr>
                <w:rFonts w:ascii="仿宋" w:eastAsia="仿宋" w:hAnsi="仿宋"/>
              </w:rPr>
              <w:t>用户问题</w:t>
            </w:r>
          </w:p>
        </w:tc>
        <w:tc>
          <w:tcPr>
            <w:tcW w:w="4320" w:type="dxa"/>
          </w:tcPr>
          <w:p w14:paraId="790B9B92" w14:textId="77777777" w:rsidR="008C45D6" w:rsidRDefault="00000000">
            <w:r>
              <w:t>How truthful is the statement that "Mutations in RIM1 decrease levels of IME1 RNA."? Present a series of factual points about the statement.</w:t>
            </w:r>
          </w:p>
        </w:tc>
      </w:tr>
      <w:tr w:rsidR="008C45D6" w14:paraId="50D22051" w14:textId="77777777">
        <w:tc>
          <w:tcPr>
            <w:tcW w:w="4320" w:type="dxa"/>
          </w:tcPr>
          <w:p w14:paraId="6124555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AD3F4" w14:textId="7B1F901A" w:rsidR="008C45D6" w:rsidRPr="005435B9" w:rsidRDefault="005435B9">
            <w:pPr>
              <w:rPr>
                <w:rFonts w:eastAsia="宋体"/>
                <w:lang w:eastAsia="zh-CN"/>
              </w:rPr>
            </w:pPr>
            <w:r>
              <w:rPr>
                <w:rFonts w:eastAsia="宋体"/>
                <w:lang w:eastAsia="zh-CN"/>
              </w:rPr>
              <w:t>3,</w:t>
            </w:r>
            <w:r>
              <w:rPr>
                <w:rFonts w:eastAsia="宋体" w:hint="eastAsia"/>
                <w:lang w:eastAsia="zh-CN"/>
              </w:rPr>
              <w:t>2</w:t>
            </w:r>
            <w:r>
              <w:rPr>
                <w:rFonts w:eastAsia="宋体"/>
                <w:lang w:eastAsia="zh-CN"/>
              </w:rPr>
              <w:t>,2</w:t>
            </w:r>
          </w:p>
        </w:tc>
      </w:tr>
      <w:tr w:rsidR="008C45D6" w14:paraId="4156B327" w14:textId="77777777">
        <w:tc>
          <w:tcPr>
            <w:tcW w:w="4320" w:type="dxa"/>
          </w:tcPr>
          <w:p w14:paraId="282E93C0" w14:textId="77777777" w:rsidR="008C45D6" w:rsidRDefault="00000000">
            <w:r>
              <w:rPr>
                <w:rFonts w:ascii="仿宋" w:eastAsia="仿宋" w:hAnsi="仿宋"/>
              </w:rPr>
              <w:t>模型回复</w:t>
            </w:r>
          </w:p>
        </w:tc>
        <w:tc>
          <w:tcPr>
            <w:tcW w:w="4320" w:type="dxa"/>
          </w:tcPr>
          <w:p w14:paraId="1DE6FBCD" w14:textId="77777777" w:rsidR="008C45D6" w:rsidRDefault="00000000">
            <w:r>
              <w:t xml:space="preserve">1. RIM1 is a gene that encodes a protein called Rim1p, which is involved in regulating a variety of cellular functions, </w:t>
            </w:r>
            <w:r>
              <w:lastRenderedPageBreak/>
              <w:t>including cell division and cell cycle progression.</w:t>
            </w:r>
            <w:r>
              <w:br/>
              <w:t>2. IME1 is another gene that encodes a different protein called Ime1p. Ime1p is a transcription factor that plays a key role in initiating meiosis, a specialized cell division process that occurs in certain organisms during sexual reproduction.</w:t>
            </w:r>
            <w:r>
              <w:br/>
              <w:t>3. Mutations in RIM1 can indeed affect the levels of IME1 RNA. This is because Rim1p, the protein encoded by RIM1, directly interacts with the IME1 gene and influences its transcriptional activity.</w:t>
            </w:r>
            <w:r>
              <w:br/>
              <w:t>4. Several studies have investigated the relationship between RIM1 mutations and IME1 RNA levels. One study in budding yeast (Saccharomyces cerevisiae) demonstrated that certain RIM1 mutations led to a significant decrease in IME1 RNA expression.</w:t>
            </w:r>
            <w:r>
              <w:br/>
              <w:t>5. The decrease in IME1 RNA caused by RIM1 mutations can result in impaired initiation of meiosis. When IME1 RNA levels are low, it leads to a reduced availability of Ime1p protein, resulting in a disruption of the meiotic program.</w:t>
            </w:r>
            <w:r>
              <w:br/>
              <w:t>6. However, it is important to note that not all RIM1 mutations necessarily result in decreased levels of IME1 RNA. The effect of a specific mutation on IME1 RNA expression can vary depending on the location and nature of the genetic alteration.</w:t>
            </w:r>
            <w:r>
              <w:br/>
              <w:t>7. Other genetic and regulatory factors can also influence IME1 RNA levels independently of RIM1 mutations. Therefore, while it is generally true that RIM1 mutations decrease IME1 RNA levels, it is not an absolute statement due to potential variations and additional contributing factors.</w:t>
            </w:r>
          </w:p>
        </w:tc>
      </w:tr>
      <w:tr w:rsidR="008C45D6" w14:paraId="097E4BD8" w14:textId="77777777">
        <w:tc>
          <w:tcPr>
            <w:tcW w:w="4320" w:type="dxa"/>
          </w:tcPr>
          <w:p w14:paraId="3623A4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5E375B" w14:textId="04E83B92" w:rsidR="008C45D6" w:rsidRPr="005435B9" w:rsidRDefault="005435B9">
            <w:pPr>
              <w:rPr>
                <w:rFonts w:eastAsia="宋体"/>
                <w:lang w:eastAsia="zh-CN"/>
              </w:rPr>
            </w:pPr>
            <w:r>
              <w:rPr>
                <w:rFonts w:eastAsia="宋体" w:hint="eastAsia"/>
                <w:lang w:eastAsia="zh-CN"/>
              </w:rPr>
              <w:t>1</w:t>
            </w:r>
          </w:p>
        </w:tc>
      </w:tr>
      <w:tr w:rsidR="008C45D6" w14:paraId="5A9B0BDD" w14:textId="77777777">
        <w:tc>
          <w:tcPr>
            <w:tcW w:w="4320" w:type="dxa"/>
          </w:tcPr>
          <w:p w14:paraId="4D305045" w14:textId="77777777" w:rsidR="008C45D6" w:rsidRDefault="00000000">
            <w:r>
              <w:rPr>
                <w:rFonts w:ascii="仿宋" w:eastAsia="仿宋" w:hAnsi="仿宋"/>
              </w:rPr>
              <w:t>提取的事实</w:t>
            </w:r>
          </w:p>
        </w:tc>
        <w:tc>
          <w:tcPr>
            <w:tcW w:w="4320" w:type="dxa"/>
          </w:tcPr>
          <w:p w14:paraId="518446C0" w14:textId="77777777" w:rsidR="008C45D6" w:rsidRDefault="00000000">
            <w:r>
              <w:t>1. RIM1 is a gene that encodes a protein called Rim1p, which is involved in regulating cellular functions, including cell division and cell cycle progression.</w:t>
            </w:r>
            <w:r>
              <w:br/>
              <w:t>2. IME1 is a gene that encodes a protein called Ime1p, which is involved in initiating meiosis, a specific type of cell division occurring during sexual reproduction.</w:t>
            </w:r>
            <w:r>
              <w:br/>
              <w:t xml:space="preserve">3. Mutations in the RIM1 gene can influence the levels of </w:t>
            </w:r>
            <w:r>
              <w:lastRenderedPageBreak/>
              <w:t>IME1 RNA, as the gene's protein directly interacts with and influences the transcriptional activity of the IME1 gene.</w:t>
            </w:r>
            <w:r>
              <w:br/>
              <w:t>4. One study in budding yeast showed that specific RIM1 genetic alterations can lead to a significant decrease in IME1 RNA expression.</w:t>
            </w:r>
            <w:r>
              <w:br/>
              <w:t>5. Reductions in IME1 RNA levels caused by RIM1 mutations can impact meiosis initiation due to decreased availability of Ime1p protein.</w:t>
            </w:r>
          </w:p>
        </w:tc>
      </w:tr>
      <w:tr w:rsidR="008C45D6" w14:paraId="396C42E3" w14:textId="77777777">
        <w:tc>
          <w:tcPr>
            <w:tcW w:w="4320" w:type="dxa"/>
          </w:tcPr>
          <w:p w14:paraId="09230E8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F02FF3" w14:textId="5D24309A" w:rsidR="008C45D6" w:rsidRPr="005435B9" w:rsidRDefault="0022601B">
            <w:pPr>
              <w:rPr>
                <w:rFonts w:eastAsia="宋体"/>
                <w:lang w:eastAsia="zh-CN"/>
              </w:rPr>
            </w:pPr>
            <w:r>
              <w:rPr>
                <w:rFonts w:eastAsia="宋体"/>
                <w:lang w:eastAsia="zh-CN"/>
              </w:rPr>
              <w:t>7</w:t>
            </w:r>
            <w:r w:rsidR="005435B9">
              <w:rPr>
                <w:rFonts w:eastAsia="宋体"/>
                <w:lang w:eastAsia="zh-CN"/>
              </w:rPr>
              <w:t>,1,</w:t>
            </w:r>
            <w:r>
              <w:rPr>
                <w:rFonts w:eastAsia="宋体"/>
                <w:lang w:eastAsia="zh-CN"/>
              </w:rPr>
              <w:t>7</w:t>
            </w:r>
            <w:r w:rsidR="005435B9">
              <w:rPr>
                <w:rFonts w:eastAsia="宋体"/>
                <w:lang w:eastAsia="zh-CN"/>
              </w:rPr>
              <w:t>,</w:t>
            </w:r>
            <w:r>
              <w:rPr>
                <w:rFonts w:eastAsia="宋体"/>
                <w:lang w:eastAsia="zh-CN"/>
              </w:rPr>
              <w:t>7</w:t>
            </w:r>
            <w:r w:rsidR="005435B9">
              <w:rPr>
                <w:rFonts w:eastAsia="宋体"/>
                <w:lang w:eastAsia="zh-CN"/>
              </w:rPr>
              <w:t>,3</w:t>
            </w:r>
          </w:p>
        </w:tc>
      </w:tr>
    </w:tbl>
    <w:p w14:paraId="094ECE7E"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C45D6" w14:paraId="5DF15A8F" w14:textId="77777777">
        <w:tc>
          <w:tcPr>
            <w:tcW w:w="4320" w:type="dxa"/>
          </w:tcPr>
          <w:p w14:paraId="2F546AF3" w14:textId="77777777" w:rsidR="008C45D6" w:rsidRDefault="00000000">
            <w:r>
              <w:t>ID</w:t>
            </w:r>
          </w:p>
        </w:tc>
        <w:tc>
          <w:tcPr>
            <w:tcW w:w="10080" w:type="dxa"/>
          </w:tcPr>
          <w:p w14:paraId="5497C870" w14:textId="77777777" w:rsidR="008C45D6" w:rsidRDefault="00000000">
            <w:r>
              <w:t>480(25)</w:t>
            </w:r>
          </w:p>
        </w:tc>
      </w:tr>
      <w:tr w:rsidR="008C45D6" w14:paraId="312D33A1" w14:textId="77777777">
        <w:tc>
          <w:tcPr>
            <w:tcW w:w="4320" w:type="dxa"/>
          </w:tcPr>
          <w:p w14:paraId="0F2C130B" w14:textId="77777777" w:rsidR="008C45D6" w:rsidRDefault="00000000">
            <w:r>
              <w:rPr>
                <w:rFonts w:ascii="仿宋" w:eastAsia="仿宋" w:hAnsi="仿宋"/>
              </w:rPr>
              <w:t>领域</w:t>
            </w:r>
          </w:p>
        </w:tc>
        <w:tc>
          <w:tcPr>
            <w:tcW w:w="4320" w:type="dxa"/>
          </w:tcPr>
          <w:p w14:paraId="28E34079" w14:textId="77777777" w:rsidR="008C45D6" w:rsidRDefault="00000000">
            <w:r>
              <w:t>Science</w:t>
            </w:r>
          </w:p>
        </w:tc>
      </w:tr>
      <w:tr w:rsidR="008C45D6" w14:paraId="146CA07C" w14:textId="77777777">
        <w:tc>
          <w:tcPr>
            <w:tcW w:w="4320" w:type="dxa"/>
          </w:tcPr>
          <w:p w14:paraId="2E2280E1" w14:textId="77777777" w:rsidR="008C45D6" w:rsidRDefault="00000000">
            <w:r>
              <w:rPr>
                <w:rFonts w:ascii="仿宋" w:eastAsia="仿宋" w:hAnsi="仿宋"/>
              </w:rPr>
              <w:t>用户问题</w:t>
            </w:r>
          </w:p>
        </w:tc>
        <w:tc>
          <w:tcPr>
            <w:tcW w:w="4320" w:type="dxa"/>
          </w:tcPr>
          <w:p w14:paraId="7CB705F6" w14:textId="77777777" w:rsidR="008C45D6" w:rsidRDefault="00000000">
            <w:r>
              <w:t>Consider the following statement: "NAC destabilizes NO to increase the effect of contrast agents on renal functions." Is it right? Present fact-based arguments about the statement.</w:t>
            </w:r>
          </w:p>
        </w:tc>
      </w:tr>
      <w:tr w:rsidR="008C45D6" w14:paraId="61403838" w14:textId="77777777">
        <w:tc>
          <w:tcPr>
            <w:tcW w:w="4320" w:type="dxa"/>
          </w:tcPr>
          <w:p w14:paraId="2655811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4683EF" w14:textId="34A2C361" w:rsidR="008C45D6" w:rsidRPr="005435B9" w:rsidRDefault="005435B9">
            <w:pPr>
              <w:rPr>
                <w:rFonts w:eastAsia="宋体"/>
                <w:lang w:eastAsia="zh-CN"/>
              </w:rPr>
            </w:pPr>
            <w:r>
              <w:rPr>
                <w:rFonts w:eastAsia="宋体" w:hint="eastAsia"/>
                <w:lang w:eastAsia="zh-CN"/>
              </w:rPr>
              <w:t>4</w:t>
            </w:r>
            <w:r>
              <w:rPr>
                <w:rFonts w:eastAsia="宋体"/>
                <w:lang w:eastAsia="zh-CN"/>
              </w:rPr>
              <w:t>,3,3</w:t>
            </w:r>
          </w:p>
        </w:tc>
      </w:tr>
      <w:tr w:rsidR="008C45D6" w14:paraId="6749DA72" w14:textId="77777777">
        <w:tc>
          <w:tcPr>
            <w:tcW w:w="4320" w:type="dxa"/>
          </w:tcPr>
          <w:p w14:paraId="77B9B8B9" w14:textId="77777777" w:rsidR="008C45D6" w:rsidRDefault="00000000">
            <w:r>
              <w:rPr>
                <w:rFonts w:ascii="仿宋" w:eastAsia="仿宋" w:hAnsi="仿宋"/>
              </w:rPr>
              <w:t>模型回复</w:t>
            </w:r>
          </w:p>
        </w:tc>
        <w:tc>
          <w:tcPr>
            <w:tcW w:w="4320" w:type="dxa"/>
          </w:tcPr>
          <w:p w14:paraId="2AF07F21" w14:textId="77777777" w:rsidR="008C45D6" w:rsidRDefault="00000000">
            <w:r>
              <w:t>The given statement is incorrect. N-acetylcysteine (NAC) is a mucolytic agent that is commonly used to reduce mucus viscosity in conditions like bronchitis and chronic obstructive pulmonary disease (COPD). It has no direct effect on renal functions or contrast agents.</w:t>
            </w:r>
            <w:r>
              <w:br/>
              <w:t>Nitric oxide (NO), on the other hand, is a signaling molecule that plays essential roles in various physiological processes, including the regulation of renal blood flow and maintenance of normal kidney function.</w:t>
            </w:r>
            <w:r>
              <w:br/>
              <w:t xml:space="preserve">Contrast agents, such as those used in medical imaging (e.g., </w:t>
            </w:r>
            <w:r>
              <w:lastRenderedPageBreak/>
              <w:t>computed tomography or magnetic resonance imaging), are substances that enhance the visibility of specific tissues or structures. They are generally unrelated to NO or NAC and work independently to improve the clarity of images.</w:t>
            </w:r>
            <w:r>
              <w:br/>
              <w:t>There is no scientific evidence or mechanisms to suggest that NAC destabilizes NO or that it increases the effect of contrast agents on renal functions. These are separate entities with different physiological roles and actions.</w:t>
            </w:r>
          </w:p>
        </w:tc>
      </w:tr>
      <w:tr w:rsidR="008C45D6" w14:paraId="64DB4E96" w14:textId="77777777">
        <w:tc>
          <w:tcPr>
            <w:tcW w:w="4320" w:type="dxa"/>
          </w:tcPr>
          <w:p w14:paraId="174E2FD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8F1311" w14:textId="632E30C9" w:rsidR="008C45D6" w:rsidRPr="005435B9" w:rsidRDefault="005435B9">
            <w:pPr>
              <w:rPr>
                <w:rFonts w:eastAsia="宋体"/>
                <w:lang w:eastAsia="zh-CN"/>
              </w:rPr>
            </w:pPr>
            <w:r>
              <w:rPr>
                <w:rFonts w:eastAsia="宋体" w:hint="eastAsia"/>
                <w:lang w:eastAsia="zh-CN"/>
              </w:rPr>
              <w:t>1</w:t>
            </w:r>
          </w:p>
        </w:tc>
      </w:tr>
      <w:tr w:rsidR="008C45D6" w14:paraId="122F70F1" w14:textId="77777777">
        <w:tc>
          <w:tcPr>
            <w:tcW w:w="4320" w:type="dxa"/>
          </w:tcPr>
          <w:p w14:paraId="4C62C169" w14:textId="77777777" w:rsidR="008C45D6" w:rsidRDefault="00000000">
            <w:r>
              <w:rPr>
                <w:rFonts w:ascii="仿宋" w:eastAsia="仿宋" w:hAnsi="仿宋"/>
              </w:rPr>
              <w:t>提取的事实</w:t>
            </w:r>
          </w:p>
        </w:tc>
        <w:tc>
          <w:tcPr>
            <w:tcW w:w="4320" w:type="dxa"/>
          </w:tcPr>
          <w:p w14:paraId="03A2A8B9" w14:textId="77777777" w:rsidR="008C45D6" w:rsidRDefault="00000000">
            <w:r>
              <w:t>1. N-acetylcysteine (NAC) is a mucolytic agent used to reduce mucus viscosity in conditions like bronchitis and chronic obstructive pulmonary disease (COPD).</w:t>
            </w:r>
            <w:r>
              <w:br/>
              <w:t>2. N-acetylcysteine does not have a direct effect on renal functions or contrast agents.</w:t>
            </w:r>
            <w:r>
              <w:br/>
              <w:t>3. Nitric oxide (NO) is a signaling molecule that plays essential roles in various physiological processes, including the regulation of renal blood flow and maintenance of normal kidney function.</w:t>
            </w:r>
            <w:r>
              <w:br/>
              <w:t>4. Contrast agents, used in medical imaging, enhance the visibility of specific tissues or structures.</w:t>
            </w:r>
            <w:r>
              <w:br/>
              <w:t>5. There is no scientific evidence or mechanisms to suggest that NAC destabilizes NO or that it increases the effect of contrast agents on renal functions.</w:t>
            </w:r>
          </w:p>
        </w:tc>
      </w:tr>
      <w:tr w:rsidR="008C45D6" w14:paraId="7F9890E0" w14:textId="77777777">
        <w:tc>
          <w:tcPr>
            <w:tcW w:w="4320" w:type="dxa"/>
          </w:tcPr>
          <w:p w14:paraId="410C75B6"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0CAEBF" w14:textId="5A1646E6" w:rsidR="008C45D6" w:rsidRPr="005435B9" w:rsidRDefault="005435B9">
            <w:pPr>
              <w:rPr>
                <w:rFonts w:eastAsia="宋体"/>
                <w:lang w:eastAsia="zh-CN"/>
              </w:rPr>
            </w:pPr>
            <w:r>
              <w:rPr>
                <w:rFonts w:eastAsia="宋体" w:hint="eastAsia"/>
                <w:lang w:eastAsia="zh-CN"/>
              </w:rPr>
              <w:t>1</w:t>
            </w:r>
            <w:r>
              <w:rPr>
                <w:rFonts w:eastAsia="宋体"/>
                <w:lang w:eastAsia="zh-CN"/>
              </w:rPr>
              <w:t>,5,1,1,5</w:t>
            </w:r>
          </w:p>
        </w:tc>
      </w:tr>
    </w:tbl>
    <w:p w14:paraId="1AFAEA1F"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208D6480" w14:textId="77777777">
        <w:tc>
          <w:tcPr>
            <w:tcW w:w="4320" w:type="dxa"/>
          </w:tcPr>
          <w:p w14:paraId="26F46DC5" w14:textId="77777777" w:rsidR="008C45D6" w:rsidRDefault="00000000">
            <w:r>
              <w:t>ID</w:t>
            </w:r>
          </w:p>
        </w:tc>
        <w:tc>
          <w:tcPr>
            <w:tcW w:w="10080" w:type="dxa"/>
          </w:tcPr>
          <w:p w14:paraId="0A23F57D" w14:textId="77777777" w:rsidR="008C45D6" w:rsidRDefault="00000000">
            <w:r>
              <w:t>481(26)</w:t>
            </w:r>
          </w:p>
        </w:tc>
      </w:tr>
      <w:tr w:rsidR="008C45D6" w14:paraId="5F232449" w14:textId="77777777">
        <w:tc>
          <w:tcPr>
            <w:tcW w:w="4320" w:type="dxa"/>
          </w:tcPr>
          <w:p w14:paraId="6B553CCB" w14:textId="77777777" w:rsidR="008C45D6" w:rsidRDefault="00000000">
            <w:r>
              <w:rPr>
                <w:rFonts w:ascii="仿宋" w:eastAsia="仿宋" w:hAnsi="仿宋"/>
              </w:rPr>
              <w:t>领域</w:t>
            </w:r>
          </w:p>
        </w:tc>
        <w:tc>
          <w:tcPr>
            <w:tcW w:w="4320" w:type="dxa"/>
          </w:tcPr>
          <w:p w14:paraId="400A1DB9" w14:textId="77777777" w:rsidR="008C45D6" w:rsidRDefault="00000000">
            <w:r>
              <w:t>Science</w:t>
            </w:r>
          </w:p>
        </w:tc>
      </w:tr>
      <w:tr w:rsidR="008C45D6" w14:paraId="38749E24" w14:textId="77777777">
        <w:tc>
          <w:tcPr>
            <w:tcW w:w="4320" w:type="dxa"/>
          </w:tcPr>
          <w:p w14:paraId="6233FBCE" w14:textId="77777777" w:rsidR="008C45D6" w:rsidRDefault="00000000">
            <w:r>
              <w:rPr>
                <w:rFonts w:ascii="仿宋" w:eastAsia="仿宋" w:hAnsi="仿宋"/>
              </w:rPr>
              <w:lastRenderedPageBreak/>
              <w:t>用户问题</w:t>
            </w:r>
          </w:p>
        </w:tc>
        <w:tc>
          <w:tcPr>
            <w:tcW w:w="4320" w:type="dxa"/>
          </w:tcPr>
          <w:p w14:paraId="7F4FEE44" w14:textId="77777777" w:rsidR="008C45D6" w:rsidRDefault="00000000">
            <w:r>
              <w:t>Do you agree with the claim that "NAC inhibits the generation of angiotensin-converting enzyme."? Provide factual statements about the claim.</w:t>
            </w:r>
          </w:p>
        </w:tc>
      </w:tr>
      <w:tr w:rsidR="008C45D6" w14:paraId="5EBDEA56" w14:textId="77777777">
        <w:tc>
          <w:tcPr>
            <w:tcW w:w="4320" w:type="dxa"/>
          </w:tcPr>
          <w:p w14:paraId="6CE3933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943B90" w14:textId="4FC84CC9" w:rsidR="008C45D6" w:rsidRPr="005435B9" w:rsidRDefault="005435B9">
            <w:pPr>
              <w:rPr>
                <w:rFonts w:eastAsia="宋体"/>
                <w:lang w:eastAsia="zh-CN"/>
              </w:rPr>
            </w:pPr>
            <w:r>
              <w:rPr>
                <w:rFonts w:eastAsia="宋体" w:hint="eastAsia"/>
                <w:lang w:eastAsia="zh-CN"/>
              </w:rPr>
              <w:t>4</w:t>
            </w:r>
            <w:r>
              <w:rPr>
                <w:rFonts w:eastAsia="宋体"/>
                <w:lang w:eastAsia="zh-CN"/>
              </w:rPr>
              <w:t>,3,2</w:t>
            </w:r>
          </w:p>
        </w:tc>
      </w:tr>
      <w:tr w:rsidR="008C45D6" w14:paraId="528B92F0" w14:textId="77777777">
        <w:tc>
          <w:tcPr>
            <w:tcW w:w="4320" w:type="dxa"/>
          </w:tcPr>
          <w:p w14:paraId="36D3DC27" w14:textId="77777777" w:rsidR="008C45D6" w:rsidRDefault="00000000">
            <w:r>
              <w:rPr>
                <w:rFonts w:ascii="仿宋" w:eastAsia="仿宋" w:hAnsi="仿宋"/>
              </w:rPr>
              <w:t>模型回复</w:t>
            </w:r>
          </w:p>
        </w:tc>
        <w:tc>
          <w:tcPr>
            <w:tcW w:w="4320" w:type="dxa"/>
          </w:tcPr>
          <w:p w14:paraId="78B1A81F" w14:textId="77777777" w:rsidR="008C45D6" w:rsidRDefault="00000000">
            <w:r>
              <w:t>As an AI language model, I can provide information on the topic, but I do not hold personal opinions or beliefs. According to the available scientific literature, there is evidence to support the claim that N-Acetylcysteine (NAC) can inhibit the generation of angiotensin-converting enzyme (ACE). Here are some factual statements related to this claim:</w:t>
            </w:r>
            <w:r>
              <w:br/>
              <w:t>1. N-Acetylcysteine (NAC) is a derivative of the amino acid cysteine and has antioxidant and anti-inflammatory properties.</w:t>
            </w:r>
            <w:r>
              <w:br/>
              <w:t>2. ACE is an enzyme involved in the production of a peptide hormone called angiotensin II, which plays a role in regulating blood pressure.</w:t>
            </w:r>
            <w:r>
              <w:br/>
              <w:t>3. Studies have demonstrated that NAC can inhibit the activity of ACE. For instance:</w:t>
            </w:r>
            <w:r>
              <w:br/>
              <w:t xml:space="preserve">   a) A study published in the journal Medical Science Monitor in 2018 found that NAC reduced ACE levels and decreased blood pressure in spontaneously hypertensive rats.</w:t>
            </w:r>
            <w:r>
              <w:br/>
              <w:t xml:space="preserve">   b) Another study published in the European Journal of Internal Medicine in 2019 concluded that NAC significantly reduced ACE activity and improved endothelial function in patients with heart failure.</w:t>
            </w:r>
            <w:r>
              <w:br/>
              <w:t>It is important to note that while these statements support the claim that NAC inhibits the generation of ACE, more research is needed to fully understand the extent and implications of NAC's effect on ACE activity.</w:t>
            </w:r>
          </w:p>
        </w:tc>
      </w:tr>
      <w:tr w:rsidR="008C45D6" w14:paraId="7E411908" w14:textId="77777777">
        <w:tc>
          <w:tcPr>
            <w:tcW w:w="4320" w:type="dxa"/>
          </w:tcPr>
          <w:p w14:paraId="4F90EDC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FE0CE3" w14:textId="63F50074" w:rsidR="008C45D6" w:rsidRPr="005435B9" w:rsidRDefault="005435B9">
            <w:pPr>
              <w:rPr>
                <w:rFonts w:eastAsia="宋体"/>
                <w:lang w:eastAsia="zh-CN"/>
              </w:rPr>
            </w:pPr>
            <w:r>
              <w:rPr>
                <w:rFonts w:eastAsia="宋体" w:hint="eastAsia"/>
                <w:lang w:eastAsia="zh-CN"/>
              </w:rPr>
              <w:t>1</w:t>
            </w:r>
          </w:p>
        </w:tc>
      </w:tr>
      <w:tr w:rsidR="008C45D6" w14:paraId="40F4F4D6" w14:textId="77777777">
        <w:tc>
          <w:tcPr>
            <w:tcW w:w="4320" w:type="dxa"/>
          </w:tcPr>
          <w:p w14:paraId="226A4D6E" w14:textId="77777777" w:rsidR="008C45D6" w:rsidRDefault="00000000">
            <w:r>
              <w:rPr>
                <w:rFonts w:ascii="仿宋" w:eastAsia="仿宋" w:hAnsi="仿宋"/>
              </w:rPr>
              <w:t>提取的事实</w:t>
            </w:r>
          </w:p>
        </w:tc>
        <w:tc>
          <w:tcPr>
            <w:tcW w:w="4320" w:type="dxa"/>
          </w:tcPr>
          <w:p w14:paraId="632942CF" w14:textId="77777777" w:rsidR="008C45D6" w:rsidRDefault="00000000">
            <w:r>
              <w:t>1. N-Acetylcysteine (NAC) is a derivative of the amino acid cysteine and has antioxidant and anti-inflammatory properties.</w:t>
            </w:r>
            <w:r>
              <w:br/>
              <w:t xml:space="preserve">2. Angiotensin-converting enzyme (ACE) is involved in the </w:t>
            </w:r>
            <w:r>
              <w:lastRenderedPageBreak/>
              <w:t>production of a peptide hormone called angiotensin II, which helps regulate blood pressure.</w:t>
            </w:r>
            <w:r>
              <w:br/>
              <w:t>3. Studies have found that NAC can inhibit the activity of ACE.</w:t>
            </w:r>
            <w:r>
              <w:br/>
              <w:t>4. A study published in the Medical Science Monitor in 2018 indicated that NAC reduced ACE levels and lowered blood pressure in certain rats.</w:t>
            </w:r>
            <w:r>
              <w:br/>
              <w:t>5. A study in the European Journal of Internal Medicine in 2019 suggested that NAC notably reduced ACE activity and improved endothelial function in patients with heart failure.</w:t>
            </w:r>
          </w:p>
        </w:tc>
      </w:tr>
      <w:tr w:rsidR="008C45D6" w14:paraId="075B8407" w14:textId="77777777">
        <w:tc>
          <w:tcPr>
            <w:tcW w:w="4320" w:type="dxa"/>
          </w:tcPr>
          <w:p w14:paraId="10619654"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D0CD2A" w14:textId="4F4439D4" w:rsidR="008C45D6" w:rsidRPr="005435B9" w:rsidRDefault="005435B9">
            <w:pPr>
              <w:rPr>
                <w:rFonts w:eastAsia="宋体"/>
                <w:lang w:eastAsia="zh-CN"/>
              </w:rPr>
            </w:pPr>
            <w:r>
              <w:rPr>
                <w:rFonts w:eastAsia="宋体" w:hint="eastAsia"/>
                <w:lang w:eastAsia="zh-CN"/>
              </w:rPr>
              <w:t>1</w:t>
            </w:r>
            <w:r>
              <w:rPr>
                <w:rFonts w:eastAsia="宋体"/>
                <w:lang w:eastAsia="zh-CN"/>
              </w:rPr>
              <w:t>,1,</w:t>
            </w:r>
            <w:r w:rsidR="006E7E5B">
              <w:rPr>
                <w:rFonts w:eastAsia="宋体"/>
                <w:lang w:eastAsia="zh-CN"/>
              </w:rPr>
              <w:t>2</w:t>
            </w:r>
            <w:r>
              <w:rPr>
                <w:rFonts w:eastAsia="宋体"/>
                <w:lang w:eastAsia="zh-CN"/>
              </w:rPr>
              <w:t>,</w:t>
            </w:r>
            <w:r w:rsidR="006E7E5B">
              <w:rPr>
                <w:rFonts w:eastAsia="宋体"/>
                <w:lang w:eastAsia="zh-CN"/>
              </w:rPr>
              <w:t>7</w:t>
            </w:r>
            <w:r>
              <w:rPr>
                <w:rFonts w:eastAsia="宋体"/>
                <w:lang w:eastAsia="zh-CN"/>
              </w:rPr>
              <w:t>,1</w:t>
            </w:r>
          </w:p>
        </w:tc>
      </w:tr>
    </w:tbl>
    <w:p w14:paraId="5CE4A3C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23B7ABB3" w14:textId="77777777">
        <w:tc>
          <w:tcPr>
            <w:tcW w:w="4320" w:type="dxa"/>
          </w:tcPr>
          <w:p w14:paraId="4A6B318D" w14:textId="77777777" w:rsidR="008C45D6" w:rsidRDefault="00000000">
            <w:r>
              <w:t>ID</w:t>
            </w:r>
          </w:p>
        </w:tc>
        <w:tc>
          <w:tcPr>
            <w:tcW w:w="10080" w:type="dxa"/>
          </w:tcPr>
          <w:p w14:paraId="0D58D387" w14:textId="77777777" w:rsidR="008C45D6" w:rsidRDefault="00000000">
            <w:r>
              <w:t>487(27)</w:t>
            </w:r>
          </w:p>
        </w:tc>
      </w:tr>
      <w:tr w:rsidR="008C45D6" w14:paraId="3E6ECB38" w14:textId="77777777">
        <w:tc>
          <w:tcPr>
            <w:tcW w:w="4320" w:type="dxa"/>
          </w:tcPr>
          <w:p w14:paraId="5842BAB5" w14:textId="77777777" w:rsidR="008C45D6" w:rsidRDefault="00000000">
            <w:r>
              <w:rPr>
                <w:rFonts w:ascii="仿宋" w:eastAsia="仿宋" w:hAnsi="仿宋"/>
              </w:rPr>
              <w:t>领域</w:t>
            </w:r>
          </w:p>
        </w:tc>
        <w:tc>
          <w:tcPr>
            <w:tcW w:w="4320" w:type="dxa"/>
          </w:tcPr>
          <w:p w14:paraId="130192F0" w14:textId="77777777" w:rsidR="008C45D6" w:rsidRDefault="00000000">
            <w:r>
              <w:t>Science</w:t>
            </w:r>
          </w:p>
        </w:tc>
      </w:tr>
      <w:tr w:rsidR="008C45D6" w14:paraId="4C53DFF4" w14:textId="77777777">
        <w:tc>
          <w:tcPr>
            <w:tcW w:w="4320" w:type="dxa"/>
          </w:tcPr>
          <w:p w14:paraId="3B76E881" w14:textId="77777777" w:rsidR="008C45D6" w:rsidRDefault="00000000">
            <w:r>
              <w:rPr>
                <w:rFonts w:ascii="仿宋" w:eastAsia="仿宋" w:hAnsi="仿宋"/>
              </w:rPr>
              <w:t>用户问题</w:t>
            </w:r>
          </w:p>
        </w:tc>
        <w:tc>
          <w:tcPr>
            <w:tcW w:w="4320" w:type="dxa"/>
          </w:tcPr>
          <w:p w14:paraId="5BC26970" w14:textId="77777777" w:rsidR="008C45D6" w:rsidRDefault="00000000">
            <w:r>
              <w:t>What is the validity of the assertion that "Neutrophils produce IL-1β in response to large particles."? Outline fact-based statements about the assertion.</w:t>
            </w:r>
          </w:p>
        </w:tc>
      </w:tr>
      <w:tr w:rsidR="008C45D6" w14:paraId="4324BB57" w14:textId="77777777">
        <w:tc>
          <w:tcPr>
            <w:tcW w:w="4320" w:type="dxa"/>
          </w:tcPr>
          <w:p w14:paraId="48C36D8E"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4EB93B" w14:textId="29D61033" w:rsidR="008C45D6" w:rsidRPr="005435B9" w:rsidRDefault="005435B9">
            <w:pPr>
              <w:rPr>
                <w:rFonts w:eastAsia="宋体"/>
                <w:lang w:eastAsia="zh-CN"/>
              </w:rPr>
            </w:pPr>
            <w:r>
              <w:rPr>
                <w:rFonts w:eastAsia="宋体" w:hint="eastAsia"/>
                <w:lang w:eastAsia="zh-CN"/>
              </w:rPr>
              <w:t>3</w:t>
            </w:r>
            <w:r>
              <w:rPr>
                <w:rFonts w:eastAsia="宋体"/>
                <w:lang w:eastAsia="zh-CN"/>
              </w:rPr>
              <w:t>,3,2</w:t>
            </w:r>
          </w:p>
        </w:tc>
      </w:tr>
      <w:tr w:rsidR="008C45D6" w14:paraId="2BAEE6C9" w14:textId="77777777">
        <w:tc>
          <w:tcPr>
            <w:tcW w:w="4320" w:type="dxa"/>
          </w:tcPr>
          <w:p w14:paraId="7333C734" w14:textId="77777777" w:rsidR="008C45D6" w:rsidRDefault="00000000">
            <w:r>
              <w:rPr>
                <w:rFonts w:ascii="仿宋" w:eastAsia="仿宋" w:hAnsi="仿宋"/>
              </w:rPr>
              <w:t>模型回复</w:t>
            </w:r>
          </w:p>
        </w:tc>
        <w:tc>
          <w:tcPr>
            <w:tcW w:w="4320" w:type="dxa"/>
          </w:tcPr>
          <w:p w14:paraId="246E047D" w14:textId="77777777" w:rsidR="008C45D6" w:rsidRDefault="00000000">
            <w:r>
              <w:t>The assertion that "Neutrophils produce IL-1β in response to large particles" is valid and supported by scientific evidence. Here are some fact-based statements about the assertion:</w:t>
            </w:r>
            <w:r>
              <w:br/>
              <w:t>1. Neutrophils, a type of white blood cells, play a crucial role in the innate immune response, especially against bacterial pathogens and foreign particles.</w:t>
            </w:r>
            <w:r>
              <w:br/>
              <w:t xml:space="preserve">2. Several studies have shown that neutrophils can produce Interleukin-1β (IL-1β) in response to various stimuli, </w:t>
            </w:r>
            <w:r>
              <w:lastRenderedPageBreak/>
              <w:t>including large particles.</w:t>
            </w:r>
            <w:r>
              <w:br/>
              <w:t>3. IL-1β is a pro-inflammatory cytokine that regulates the immune response and inflammation. It is produced by a variety of immune cells, including neutrophils.</w:t>
            </w:r>
            <w:r>
              <w:br/>
              <w:t>4. One study published in the Journal of Leukocyte Biology demonstrated the production of IL-1β by neutrophils in response to large particles, such as silica crystals.</w:t>
            </w:r>
            <w:r>
              <w:br/>
              <w:t>5. Another study published in the journal Nature Communications showed that neutrophils in a mouse model produced IL-1β in response to large particulate matter, leading to enhanced inflammation.</w:t>
            </w:r>
            <w:r>
              <w:br/>
              <w:t>6. IL-1β production by neutrophils in response to large particles is believed to be mediated by the NOD-like receptor family, pyrin domain-containing 3 (NLRP3) inflammasome.</w:t>
            </w:r>
            <w:r>
              <w:br/>
              <w:t>7. The NLRP3 inflammasome is activated in response to various danger signals, including large particulate matter, and initiates the processing of pro-IL-1β into its active form.</w:t>
            </w:r>
            <w:r>
              <w:br/>
              <w:t>8. The release of IL-1β by neutrophils in response to large particles contributes to the recruitment and activation of other immune cells, amplifying the inflammatory response and promoting pathogen clearance.</w:t>
            </w:r>
            <w:r>
              <w:br/>
              <w:t>Overall, the assertion that neutrophils produce IL-1β in response to large particles is supported by scientific studies and is a recognized aspect of the innate immune response.</w:t>
            </w:r>
          </w:p>
        </w:tc>
      </w:tr>
      <w:tr w:rsidR="008C45D6" w14:paraId="22724CA8" w14:textId="77777777">
        <w:tc>
          <w:tcPr>
            <w:tcW w:w="4320" w:type="dxa"/>
          </w:tcPr>
          <w:p w14:paraId="6FD86969"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50CA6B" w14:textId="14384FDE" w:rsidR="008C45D6" w:rsidRPr="005435B9" w:rsidRDefault="005435B9">
            <w:pPr>
              <w:rPr>
                <w:rFonts w:eastAsia="宋体"/>
                <w:lang w:eastAsia="zh-CN"/>
              </w:rPr>
            </w:pPr>
            <w:r>
              <w:rPr>
                <w:rFonts w:eastAsia="宋体" w:hint="eastAsia"/>
                <w:lang w:eastAsia="zh-CN"/>
              </w:rPr>
              <w:t>1</w:t>
            </w:r>
          </w:p>
        </w:tc>
      </w:tr>
      <w:tr w:rsidR="008C45D6" w14:paraId="4FB1F8A6" w14:textId="77777777">
        <w:tc>
          <w:tcPr>
            <w:tcW w:w="4320" w:type="dxa"/>
          </w:tcPr>
          <w:p w14:paraId="15F37E15" w14:textId="77777777" w:rsidR="008C45D6" w:rsidRDefault="00000000">
            <w:r>
              <w:rPr>
                <w:rFonts w:ascii="仿宋" w:eastAsia="仿宋" w:hAnsi="仿宋"/>
              </w:rPr>
              <w:t>提取的事实</w:t>
            </w:r>
          </w:p>
        </w:tc>
        <w:tc>
          <w:tcPr>
            <w:tcW w:w="4320" w:type="dxa"/>
          </w:tcPr>
          <w:p w14:paraId="3938B62F" w14:textId="77777777" w:rsidR="008C45D6" w:rsidRDefault="00000000">
            <w:r>
              <w:t>1. Neutrophils, a type of white blood cell, play a role in the innate immune response against bacterial pathogens and foreign particles.</w:t>
            </w:r>
            <w:r>
              <w:br/>
              <w:t>2. Neutrophils have been shown to produce Interleukin-1β (IL-1β), a pro-inflammatory cytokine, in response to various stimuli, including large particles.</w:t>
            </w:r>
            <w:r>
              <w:br/>
              <w:t>3. One study published in the Journal of Leukocyte Biology indicated the production of IL-1β by neutrophils in response to large particles like silica crystals.</w:t>
            </w:r>
            <w:r>
              <w:br/>
              <w:t xml:space="preserve">4. Another research in Nature Communications depicted that neutrophils in a mouse model generated IL-1β in response to </w:t>
            </w:r>
            <w:r>
              <w:lastRenderedPageBreak/>
              <w:t>large particulate matter leading to amplified inflammation.</w:t>
            </w:r>
            <w:r>
              <w:br/>
              <w:t>5. The NOD-like receptor family, pyrin domain-containing 3 (NLRP3) inflammasome is believed to mediate IL-1β production by neutrophils in response to large particles.</w:t>
            </w:r>
          </w:p>
        </w:tc>
      </w:tr>
      <w:tr w:rsidR="008C45D6" w14:paraId="11F52E65" w14:textId="77777777">
        <w:tc>
          <w:tcPr>
            <w:tcW w:w="4320" w:type="dxa"/>
          </w:tcPr>
          <w:p w14:paraId="799CCE65"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A6ED95" w14:textId="1B1C04B0" w:rsidR="008C45D6" w:rsidRPr="005435B9" w:rsidRDefault="005435B9">
            <w:pPr>
              <w:rPr>
                <w:rFonts w:eastAsia="宋体"/>
                <w:lang w:eastAsia="zh-CN"/>
              </w:rPr>
            </w:pPr>
            <w:r>
              <w:rPr>
                <w:rFonts w:eastAsia="宋体" w:hint="eastAsia"/>
                <w:lang w:eastAsia="zh-CN"/>
              </w:rPr>
              <w:t>1</w:t>
            </w:r>
            <w:r>
              <w:rPr>
                <w:rFonts w:eastAsia="宋体"/>
                <w:lang w:eastAsia="zh-CN"/>
              </w:rPr>
              <w:t>,1,</w:t>
            </w:r>
            <w:r w:rsidR="006E7E5B">
              <w:rPr>
                <w:rFonts w:eastAsia="宋体"/>
                <w:lang w:eastAsia="zh-CN"/>
              </w:rPr>
              <w:t>7</w:t>
            </w:r>
            <w:r>
              <w:rPr>
                <w:rFonts w:eastAsia="宋体"/>
                <w:lang w:eastAsia="zh-CN"/>
              </w:rPr>
              <w:t>,</w:t>
            </w:r>
            <w:r w:rsidR="006E7E5B">
              <w:rPr>
                <w:rFonts w:eastAsia="宋体"/>
                <w:lang w:eastAsia="zh-CN"/>
              </w:rPr>
              <w:t>7</w:t>
            </w:r>
            <w:r>
              <w:rPr>
                <w:rFonts w:eastAsia="宋体"/>
                <w:lang w:eastAsia="zh-CN"/>
              </w:rPr>
              <w:t>,7</w:t>
            </w:r>
          </w:p>
        </w:tc>
      </w:tr>
    </w:tbl>
    <w:p w14:paraId="06019430"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160D1624" w14:textId="77777777">
        <w:tc>
          <w:tcPr>
            <w:tcW w:w="4320" w:type="dxa"/>
          </w:tcPr>
          <w:p w14:paraId="059EB175" w14:textId="77777777" w:rsidR="008C45D6" w:rsidRDefault="00000000">
            <w:r>
              <w:t>ID</w:t>
            </w:r>
          </w:p>
        </w:tc>
        <w:tc>
          <w:tcPr>
            <w:tcW w:w="10080" w:type="dxa"/>
          </w:tcPr>
          <w:p w14:paraId="340A9BF0" w14:textId="77777777" w:rsidR="008C45D6" w:rsidRDefault="00000000">
            <w:r>
              <w:t>488(28)</w:t>
            </w:r>
          </w:p>
        </w:tc>
      </w:tr>
      <w:tr w:rsidR="008C45D6" w14:paraId="0BDFF8FA" w14:textId="77777777">
        <w:tc>
          <w:tcPr>
            <w:tcW w:w="4320" w:type="dxa"/>
          </w:tcPr>
          <w:p w14:paraId="0F170F4A" w14:textId="77777777" w:rsidR="008C45D6" w:rsidRDefault="00000000">
            <w:r>
              <w:rPr>
                <w:rFonts w:ascii="仿宋" w:eastAsia="仿宋" w:hAnsi="仿宋"/>
              </w:rPr>
              <w:t>领域</w:t>
            </w:r>
          </w:p>
        </w:tc>
        <w:tc>
          <w:tcPr>
            <w:tcW w:w="4320" w:type="dxa"/>
          </w:tcPr>
          <w:p w14:paraId="02B243CE" w14:textId="77777777" w:rsidR="008C45D6" w:rsidRDefault="00000000">
            <w:r>
              <w:t>Science</w:t>
            </w:r>
          </w:p>
        </w:tc>
      </w:tr>
      <w:tr w:rsidR="008C45D6" w14:paraId="4182E0DD" w14:textId="77777777">
        <w:tc>
          <w:tcPr>
            <w:tcW w:w="4320" w:type="dxa"/>
          </w:tcPr>
          <w:p w14:paraId="2A5F38B6" w14:textId="77777777" w:rsidR="008C45D6" w:rsidRDefault="00000000">
            <w:r>
              <w:rPr>
                <w:rFonts w:ascii="仿宋" w:eastAsia="仿宋" w:hAnsi="仿宋"/>
              </w:rPr>
              <w:t>用户问题</w:t>
            </w:r>
          </w:p>
        </w:tc>
        <w:tc>
          <w:tcPr>
            <w:tcW w:w="4320" w:type="dxa"/>
          </w:tcPr>
          <w:p w14:paraId="220F56D5" w14:textId="77777777" w:rsidR="008C45D6" w:rsidRDefault="00000000">
            <w:r>
              <w:t>Can you clarify whether the claim "Nigerian physicians constitue the largest component of sub-Saharan Africa-trained physicians in the United States." is accurate or not? Build factual arguments about the claim.</w:t>
            </w:r>
          </w:p>
        </w:tc>
      </w:tr>
      <w:tr w:rsidR="008C45D6" w14:paraId="1738F6CB" w14:textId="77777777">
        <w:tc>
          <w:tcPr>
            <w:tcW w:w="4320" w:type="dxa"/>
          </w:tcPr>
          <w:p w14:paraId="54F9584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BDC4EF" w14:textId="69B85E5D" w:rsidR="008C45D6" w:rsidRPr="005435B9" w:rsidRDefault="005435B9">
            <w:pPr>
              <w:rPr>
                <w:rFonts w:eastAsia="宋体"/>
                <w:lang w:eastAsia="zh-CN"/>
              </w:rPr>
            </w:pPr>
            <w:r>
              <w:rPr>
                <w:rFonts w:eastAsia="宋体" w:hint="eastAsia"/>
                <w:lang w:eastAsia="zh-CN"/>
              </w:rPr>
              <w:t>3</w:t>
            </w:r>
            <w:r>
              <w:rPr>
                <w:rFonts w:eastAsia="宋体"/>
                <w:lang w:eastAsia="zh-CN"/>
              </w:rPr>
              <w:t>,4,4</w:t>
            </w:r>
          </w:p>
        </w:tc>
      </w:tr>
      <w:tr w:rsidR="008C45D6" w14:paraId="4A9FB01A" w14:textId="77777777">
        <w:tc>
          <w:tcPr>
            <w:tcW w:w="4320" w:type="dxa"/>
          </w:tcPr>
          <w:p w14:paraId="7F6087DC" w14:textId="77777777" w:rsidR="008C45D6" w:rsidRDefault="00000000">
            <w:r>
              <w:rPr>
                <w:rFonts w:ascii="仿宋" w:eastAsia="仿宋" w:hAnsi="仿宋"/>
              </w:rPr>
              <w:t>模型回复</w:t>
            </w:r>
          </w:p>
        </w:tc>
        <w:tc>
          <w:tcPr>
            <w:tcW w:w="4320" w:type="dxa"/>
          </w:tcPr>
          <w:p w14:paraId="3548F304" w14:textId="77777777" w:rsidR="008C45D6" w:rsidRDefault="00000000">
            <w:r>
              <w:t>The claim that "Nigerian physicians constitute the largest component of sub-Saharan Africa-trained physicians in the United States" can be supported with factual arguments. Here are a few points to consider:</w:t>
            </w:r>
            <w:r>
              <w:br/>
              <w:t>1. Academic Studies: A study published in the Journal of the National Medical Association in 2008 titled "The New African Diaspora in the United States" analyzed the origin country of sub-Saharan Africa-trained physicians in the US. It found that Nigerians made up the largest group, accounting for approximately 29.6% of all sub-Saharan Africa-trained physicians.</w:t>
            </w:r>
            <w:r>
              <w:br/>
              <w:t xml:space="preserve">2. Immigration Data: Data from the American Community Survey conducted by the US Census Bureau supports this </w:t>
            </w:r>
            <w:r>
              <w:lastRenderedPageBreak/>
              <w:t>claim. According to the survey, Nigerians consistently ranked among the top countries of origin for foreign-born physicians in the US. In 2019, Nigeria was identified as the leading African country of origin for foreign-born medical graduates employed as physicians in the US.</w:t>
            </w:r>
            <w:r>
              <w:br/>
              <w:t>3. Professional Associations: The Nigerian Medical Association in the United States (NMAUS) is one of the largest diaspora professional organizations, with thousands of members. The presence of such an organization reinforces the idea that there is a significant number of Nigerian physicians practicing in the United States.</w:t>
            </w:r>
            <w:r>
              <w:br/>
              <w:t>4. Recognition and Reputation: Nigerian physicians are widely recognized for their contributions to the American healthcare system. Many Nigerian doctors have achieved remarkable success in various medical fields and have garnered significant recognition, including awards, research grants, and leadership positions within healthcare institutions.</w:t>
            </w:r>
            <w:r>
              <w:br/>
              <w:t>While it is essential to acknowledge that there is limited publicly accessible data solely focused on the origin of sub-Saharan African-trained physicians in the US, the available evidence from studies, immigration data, and professional associations supports the claim that Nigerian physicians constitute the largest component of sub-Saharan Africa-trained physicians in the United States.</w:t>
            </w:r>
          </w:p>
        </w:tc>
      </w:tr>
      <w:tr w:rsidR="008C45D6" w14:paraId="641CDB90" w14:textId="77777777">
        <w:tc>
          <w:tcPr>
            <w:tcW w:w="4320" w:type="dxa"/>
          </w:tcPr>
          <w:p w14:paraId="6B33B28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53EFA2" w14:textId="6108F2C5" w:rsidR="008C45D6" w:rsidRPr="005435B9" w:rsidRDefault="005435B9">
            <w:pPr>
              <w:rPr>
                <w:rFonts w:eastAsia="宋体"/>
                <w:lang w:eastAsia="zh-CN"/>
              </w:rPr>
            </w:pPr>
            <w:r>
              <w:rPr>
                <w:rFonts w:eastAsia="宋体" w:hint="eastAsia"/>
                <w:lang w:eastAsia="zh-CN"/>
              </w:rPr>
              <w:t>1</w:t>
            </w:r>
          </w:p>
        </w:tc>
      </w:tr>
      <w:tr w:rsidR="008C45D6" w14:paraId="6A0664C4" w14:textId="77777777">
        <w:tc>
          <w:tcPr>
            <w:tcW w:w="4320" w:type="dxa"/>
          </w:tcPr>
          <w:p w14:paraId="4220089E" w14:textId="77777777" w:rsidR="008C45D6" w:rsidRDefault="00000000">
            <w:r>
              <w:rPr>
                <w:rFonts w:ascii="仿宋" w:eastAsia="仿宋" w:hAnsi="仿宋"/>
              </w:rPr>
              <w:t>提取的事实</w:t>
            </w:r>
          </w:p>
        </w:tc>
        <w:tc>
          <w:tcPr>
            <w:tcW w:w="4320" w:type="dxa"/>
          </w:tcPr>
          <w:p w14:paraId="61F75F0D" w14:textId="77777777" w:rsidR="008C45D6" w:rsidRDefault="00000000">
            <w:r>
              <w:t>1. The study "The New African Diaspora in the United States" published in the Journal of the National Medical Association in 2008 analyzed the origin country of sub-Saharan Africa-trained physicians in the US.</w:t>
            </w:r>
            <w:r>
              <w:br/>
              <w:t>2. Based on the mentioned study, Nigerians made up about 29.6% of all sub-Saharan Africa-trained physicians in the US.</w:t>
            </w:r>
            <w:r>
              <w:br/>
              <w:t>3. According to the American Community Survey conducted by the US Census Bureau, Nigeria was identified as the leading African country of origin for foreign-born medical graduates employed as physicians in the US in 2019.</w:t>
            </w:r>
            <w:r>
              <w:br/>
            </w:r>
            <w:r>
              <w:lastRenderedPageBreak/>
              <w:t>4. The Nigerian Medical Association in the United States (NMAUS) is one of the largest diaspora professional organizations, with thousands of members.</w:t>
            </w:r>
            <w:r>
              <w:br/>
              <w:t>5. Nigerian physicians have achieved remarkable success in various medical fields within the American healthcare system.</w:t>
            </w:r>
          </w:p>
        </w:tc>
      </w:tr>
      <w:tr w:rsidR="008C45D6" w14:paraId="4F81F2CB" w14:textId="77777777">
        <w:tc>
          <w:tcPr>
            <w:tcW w:w="4320" w:type="dxa"/>
          </w:tcPr>
          <w:p w14:paraId="12549463"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CD63FE" w14:textId="3779F4A4" w:rsidR="008C45D6" w:rsidRPr="005435B9" w:rsidRDefault="006E7E5B">
            <w:pPr>
              <w:rPr>
                <w:rFonts w:eastAsia="宋体"/>
                <w:lang w:eastAsia="zh-CN"/>
              </w:rPr>
            </w:pPr>
            <w:r>
              <w:rPr>
                <w:rFonts w:eastAsia="宋体"/>
                <w:lang w:eastAsia="zh-CN"/>
              </w:rPr>
              <w:t>7</w:t>
            </w:r>
            <w:r w:rsidR="005435B9">
              <w:rPr>
                <w:rFonts w:eastAsia="宋体"/>
                <w:lang w:eastAsia="zh-CN"/>
              </w:rPr>
              <w:t>,</w:t>
            </w:r>
            <w:r>
              <w:rPr>
                <w:rFonts w:eastAsia="宋体"/>
                <w:lang w:eastAsia="zh-CN"/>
              </w:rPr>
              <w:t>7</w:t>
            </w:r>
            <w:r w:rsidR="005435B9">
              <w:rPr>
                <w:rFonts w:eastAsia="宋体"/>
                <w:lang w:eastAsia="zh-CN"/>
              </w:rPr>
              <w:t>,</w:t>
            </w:r>
            <w:r>
              <w:rPr>
                <w:rFonts w:eastAsia="宋体"/>
                <w:lang w:eastAsia="zh-CN"/>
              </w:rPr>
              <w:t>7</w:t>
            </w:r>
            <w:r w:rsidR="005435B9">
              <w:rPr>
                <w:rFonts w:eastAsia="宋体"/>
                <w:lang w:eastAsia="zh-CN"/>
              </w:rPr>
              <w:t>,</w:t>
            </w:r>
            <w:r>
              <w:rPr>
                <w:rFonts w:eastAsia="宋体"/>
                <w:lang w:eastAsia="zh-CN"/>
              </w:rPr>
              <w:t>7</w:t>
            </w:r>
            <w:r w:rsidR="005435B9">
              <w:rPr>
                <w:rFonts w:eastAsia="宋体"/>
                <w:lang w:eastAsia="zh-CN"/>
              </w:rPr>
              <w:t>,7</w:t>
            </w:r>
          </w:p>
        </w:tc>
      </w:tr>
    </w:tbl>
    <w:p w14:paraId="474C48B0"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51564D75" w14:textId="77777777">
        <w:tc>
          <w:tcPr>
            <w:tcW w:w="4320" w:type="dxa"/>
          </w:tcPr>
          <w:p w14:paraId="548D53D7" w14:textId="77777777" w:rsidR="008C45D6" w:rsidRDefault="00000000">
            <w:r>
              <w:t>ID</w:t>
            </w:r>
          </w:p>
        </w:tc>
        <w:tc>
          <w:tcPr>
            <w:tcW w:w="10080" w:type="dxa"/>
          </w:tcPr>
          <w:p w14:paraId="4CD63905" w14:textId="77777777" w:rsidR="008C45D6" w:rsidRDefault="00000000">
            <w:r>
              <w:t>503(29)</w:t>
            </w:r>
          </w:p>
        </w:tc>
      </w:tr>
      <w:tr w:rsidR="008C45D6" w14:paraId="5A0301B6" w14:textId="77777777">
        <w:tc>
          <w:tcPr>
            <w:tcW w:w="4320" w:type="dxa"/>
          </w:tcPr>
          <w:p w14:paraId="76E656C5" w14:textId="77777777" w:rsidR="008C45D6" w:rsidRDefault="00000000">
            <w:r>
              <w:rPr>
                <w:rFonts w:ascii="仿宋" w:eastAsia="仿宋" w:hAnsi="仿宋"/>
              </w:rPr>
              <w:t>领域</w:t>
            </w:r>
          </w:p>
        </w:tc>
        <w:tc>
          <w:tcPr>
            <w:tcW w:w="4320" w:type="dxa"/>
          </w:tcPr>
          <w:p w14:paraId="7D9BB887" w14:textId="77777777" w:rsidR="008C45D6" w:rsidRDefault="00000000">
            <w:r>
              <w:t>Science</w:t>
            </w:r>
          </w:p>
        </w:tc>
      </w:tr>
      <w:tr w:rsidR="008C45D6" w14:paraId="3AB7EE46" w14:textId="77777777">
        <w:tc>
          <w:tcPr>
            <w:tcW w:w="4320" w:type="dxa"/>
          </w:tcPr>
          <w:p w14:paraId="406587E5" w14:textId="77777777" w:rsidR="008C45D6" w:rsidRDefault="00000000">
            <w:r>
              <w:rPr>
                <w:rFonts w:ascii="仿宋" w:eastAsia="仿宋" w:hAnsi="仿宋"/>
              </w:rPr>
              <w:t>用户问题</w:t>
            </w:r>
          </w:p>
        </w:tc>
        <w:tc>
          <w:tcPr>
            <w:tcW w:w="4320" w:type="dxa"/>
          </w:tcPr>
          <w:p w14:paraId="121B41CC" w14:textId="77777777" w:rsidR="008C45D6" w:rsidRDefault="00000000">
            <w:r>
              <w:t>Can you clarify whether the claim "Omnivores produce less trimethylamine N-oxide from dietary I-carnitine than vegans." is accurate or not? Build factual arguments about the claim.</w:t>
            </w:r>
          </w:p>
        </w:tc>
      </w:tr>
      <w:tr w:rsidR="008C45D6" w14:paraId="70ECB829" w14:textId="77777777">
        <w:tc>
          <w:tcPr>
            <w:tcW w:w="4320" w:type="dxa"/>
          </w:tcPr>
          <w:p w14:paraId="3D3CD1F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50B997" w14:textId="5E444176" w:rsidR="008C45D6" w:rsidRPr="00911A1D" w:rsidRDefault="00911A1D">
            <w:pPr>
              <w:rPr>
                <w:rFonts w:eastAsia="宋体"/>
                <w:lang w:eastAsia="zh-CN"/>
              </w:rPr>
            </w:pPr>
            <w:r>
              <w:rPr>
                <w:rFonts w:eastAsia="宋体" w:hint="eastAsia"/>
                <w:lang w:eastAsia="zh-CN"/>
              </w:rPr>
              <w:t>3</w:t>
            </w:r>
            <w:r>
              <w:rPr>
                <w:rFonts w:eastAsia="宋体"/>
                <w:lang w:eastAsia="zh-CN"/>
              </w:rPr>
              <w:t>,4,4</w:t>
            </w:r>
          </w:p>
        </w:tc>
      </w:tr>
      <w:tr w:rsidR="008C45D6" w14:paraId="107800DD" w14:textId="77777777">
        <w:tc>
          <w:tcPr>
            <w:tcW w:w="4320" w:type="dxa"/>
          </w:tcPr>
          <w:p w14:paraId="4461E2B9" w14:textId="77777777" w:rsidR="008C45D6" w:rsidRDefault="00000000">
            <w:r>
              <w:rPr>
                <w:rFonts w:ascii="仿宋" w:eastAsia="仿宋" w:hAnsi="仿宋"/>
              </w:rPr>
              <w:t>模型回复</w:t>
            </w:r>
          </w:p>
        </w:tc>
        <w:tc>
          <w:tcPr>
            <w:tcW w:w="4320" w:type="dxa"/>
          </w:tcPr>
          <w:p w14:paraId="7A43A759" w14:textId="77777777" w:rsidR="008C45D6" w:rsidRDefault="00000000">
            <w:r>
              <w:t>The claim "Omnivores produce less trimethylamine N-oxide (TMAO) from dietary L-carnitine than vegans" is accurate.</w:t>
            </w:r>
            <w:r>
              <w:br/>
              <w:t>TMAO is a compound that has been linked to cardiovascular disease and other health issues. It is produced in the gut when certain bacteria digest L-carnitine, found in foods like red meat, fish, and dairy products. Here are factual arguments supporting the claim:</w:t>
            </w:r>
            <w:r>
              <w:br/>
              <w:t xml:space="preserve">1. Gut microbiota differences: Omnivores typically have a more diverse gut microbiota compared to vegans. Studies have shown that the gut microbiota composition plays a </w:t>
            </w:r>
            <w:r>
              <w:lastRenderedPageBreak/>
              <w:t>crucial role in determining the production of TMAO. Omnivores have a greater variety of bacteria capable of metabolizing L-carnitine, leading to lower TMAO levels compared to vegans.</w:t>
            </w:r>
            <w:r>
              <w:br/>
              <w:t>2. Different dietary intake: Omnivores have diets that include animal-based foods, which are significant sources of L-carnitine. On the other hand, vegans exclude these food sources from their diet. As a result, omnivores consume higher amounts of dietary L-carnitine, leading to bacteria in the gut increasing their ability to process it without producing excessive TMAO.</w:t>
            </w:r>
            <w:r>
              <w:br/>
              <w:t>3. Accumulation of L-carnitine handling enzymes: Studies have shown that omnivores have higher levels of enzymes involved in L-carnitine metabolism than vegans. These enzymes, such as L-carnitine dehydrogenase, help the body convert L-carnitine to other metabolites, reducing the amount available for gut bacteria to convert to TMAO.</w:t>
            </w:r>
            <w:r>
              <w:br/>
              <w:t>4. Previous research findings: Numerous studies comparing omnivores and vegans have consistently shown higher TMAO levels in vegans and vegetarians. For example, a study published in the European Journal of Nutrition found that vegans had significantly higher TMAO levels after consuming a meal containing L-carnitine compared to omnivores.</w:t>
            </w:r>
            <w:r>
              <w:br/>
              <w:t>While the claim focuses on the specific compound TMAO and its relationship to carnitine intake, it is essential to note that it does not address other potential health benefits or concerns associated with a vegan or omnivorous diet.</w:t>
            </w:r>
          </w:p>
        </w:tc>
      </w:tr>
      <w:tr w:rsidR="008C45D6" w14:paraId="58814D3B" w14:textId="77777777">
        <w:tc>
          <w:tcPr>
            <w:tcW w:w="4320" w:type="dxa"/>
          </w:tcPr>
          <w:p w14:paraId="66C5D7C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F2ED2A" w14:textId="7B9028ED" w:rsidR="008C45D6" w:rsidRPr="00911A1D" w:rsidRDefault="00911A1D">
            <w:pPr>
              <w:rPr>
                <w:rFonts w:eastAsia="宋体"/>
                <w:lang w:eastAsia="zh-CN"/>
              </w:rPr>
            </w:pPr>
            <w:r>
              <w:rPr>
                <w:rFonts w:eastAsia="宋体" w:hint="eastAsia"/>
                <w:lang w:eastAsia="zh-CN"/>
              </w:rPr>
              <w:t>1</w:t>
            </w:r>
          </w:p>
        </w:tc>
      </w:tr>
      <w:tr w:rsidR="008C45D6" w14:paraId="7E09431E" w14:textId="77777777">
        <w:tc>
          <w:tcPr>
            <w:tcW w:w="4320" w:type="dxa"/>
          </w:tcPr>
          <w:p w14:paraId="737CBCA1" w14:textId="77777777" w:rsidR="008C45D6" w:rsidRDefault="00000000">
            <w:r>
              <w:rPr>
                <w:rFonts w:ascii="仿宋" w:eastAsia="仿宋" w:hAnsi="仿宋"/>
              </w:rPr>
              <w:t>提取的事实</w:t>
            </w:r>
          </w:p>
        </w:tc>
        <w:tc>
          <w:tcPr>
            <w:tcW w:w="4320" w:type="dxa"/>
          </w:tcPr>
          <w:p w14:paraId="135D516B" w14:textId="77777777" w:rsidR="008C45D6" w:rsidRDefault="00000000">
            <w:r>
              <w:t>1. Trimethylamine N-oxide (TMAO) is a compound linked to cardiovascular disease and is produced in the gut when bacteria digest L-carnitine.</w:t>
            </w:r>
            <w:r>
              <w:br/>
              <w:t>2. L-carnitine is found in foods like red meat, fish, and dairy products.</w:t>
            </w:r>
            <w:r>
              <w:br/>
              <w:t>3. Omnivores' gut microbiota typically harbors a greater variety of bacteria capable of metabolizing L-carnitine, leading to lower TMAO levels compared to vegans.</w:t>
            </w:r>
            <w:r>
              <w:br/>
            </w:r>
            <w:r>
              <w:lastRenderedPageBreak/>
              <w:t>4. Omnivores consume larger amounts of dietary L-carnitine from animal-based foods, leading to increased bacterial L-carnitine processing capacity in the gut without excessive TMAO production.</w:t>
            </w:r>
            <w:r>
              <w:br/>
              <w:t>5. Studies have reportedly found higher levels of L-carnitine handling enzymes such as L-carnitine dehydrogenase in omnivores compared to vegans.</w:t>
            </w:r>
          </w:p>
        </w:tc>
      </w:tr>
      <w:tr w:rsidR="008C45D6" w14:paraId="239517D5" w14:textId="77777777">
        <w:tc>
          <w:tcPr>
            <w:tcW w:w="4320" w:type="dxa"/>
          </w:tcPr>
          <w:p w14:paraId="4460E084"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92034A" w14:textId="2E96ABAE" w:rsidR="008C45D6" w:rsidRPr="00911A1D" w:rsidRDefault="00911A1D">
            <w:pPr>
              <w:rPr>
                <w:rFonts w:eastAsia="宋体"/>
                <w:lang w:eastAsia="zh-CN"/>
              </w:rPr>
            </w:pPr>
            <w:r>
              <w:rPr>
                <w:rFonts w:eastAsia="宋体" w:hint="eastAsia"/>
                <w:lang w:eastAsia="zh-CN"/>
              </w:rPr>
              <w:t>1</w:t>
            </w:r>
            <w:r>
              <w:rPr>
                <w:rFonts w:eastAsia="宋体"/>
                <w:lang w:eastAsia="zh-CN"/>
              </w:rPr>
              <w:t>,1,</w:t>
            </w:r>
            <w:r w:rsidR="006E7E5B">
              <w:rPr>
                <w:rFonts w:eastAsia="宋体"/>
                <w:lang w:eastAsia="zh-CN"/>
              </w:rPr>
              <w:t>7</w:t>
            </w:r>
            <w:r>
              <w:rPr>
                <w:rFonts w:eastAsia="宋体"/>
                <w:lang w:eastAsia="zh-CN"/>
              </w:rPr>
              <w:t>,</w:t>
            </w:r>
            <w:r w:rsidR="006E7E5B">
              <w:rPr>
                <w:rFonts w:eastAsia="宋体"/>
                <w:lang w:eastAsia="zh-CN"/>
              </w:rPr>
              <w:t>1</w:t>
            </w:r>
            <w:r>
              <w:rPr>
                <w:rFonts w:eastAsia="宋体"/>
                <w:lang w:eastAsia="zh-CN"/>
              </w:rPr>
              <w:t>,</w:t>
            </w:r>
            <w:r w:rsidR="006E7E5B">
              <w:rPr>
                <w:rFonts w:eastAsia="宋体"/>
                <w:lang w:eastAsia="zh-CN"/>
              </w:rPr>
              <w:t>7</w:t>
            </w:r>
          </w:p>
        </w:tc>
      </w:tr>
    </w:tbl>
    <w:p w14:paraId="29C01A1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8C45D6" w14:paraId="5FCFEC11" w14:textId="77777777">
        <w:tc>
          <w:tcPr>
            <w:tcW w:w="4320" w:type="dxa"/>
          </w:tcPr>
          <w:p w14:paraId="49B5209F" w14:textId="77777777" w:rsidR="008C45D6" w:rsidRDefault="00000000">
            <w:r>
              <w:t>ID</w:t>
            </w:r>
          </w:p>
        </w:tc>
        <w:tc>
          <w:tcPr>
            <w:tcW w:w="10080" w:type="dxa"/>
          </w:tcPr>
          <w:p w14:paraId="44B145CF" w14:textId="77777777" w:rsidR="008C45D6" w:rsidRDefault="00000000">
            <w:r>
              <w:t>522(30)</w:t>
            </w:r>
          </w:p>
        </w:tc>
      </w:tr>
      <w:tr w:rsidR="008C45D6" w14:paraId="4A36210C" w14:textId="77777777">
        <w:tc>
          <w:tcPr>
            <w:tcW w:w="4320" w:type="dxa"/>
          </w:tcPr>
          <w:p w14:paraId="46A02829" w14:textId="77777777" w:rsidR="008C45D6" w:rsidRDefault="00000000">
            <w:r>
              <w:rPr>
                <w:rFonts w:ascii="仿宋" w:eastAsia="仿宋" w:hAnsi="仿宋"/>
              </w:rPr>
              <w:t>领域</w:t>
            </w:r>
          </w:p>
        </w:tc>
        <w:tc>
          <w:tcPr>
            <w:tcW w:w="4320" w:type="dxa"/>
          </w:tcPr>
          <w:p w14:paraId="09317A86" w14:textId="77777777" w:rsidR="008C45D6" w:rsidRDefault="00000000">
            <w:r>
              <w:t>Science</w:t>
            </w:r>
          </w:p>
        </w:tc>
      </w:tr>
      <w:tr w:rsidR="008C45D6" w14:paraId="2C0FD10A" w14:textId="77777777">
        <w:tc>
          <w:tcPr>
            <w:tcW w:w="4320" w:type="dxa"/>
          </w:tcPr>
          <w:p w14:paraId="199EB64F" w14:textId="77777777" w:rsidR="008C45D6" w:rsidRDefault="00000000">
            <w:r>
              <w:rPr>
                <w:rFonts w:ascii="仿宋" w:eastAsia="仿宋" w:hAnsi="仿宋"/>
              </w:rPr>
              <w:t>用户问题</w:t>
            </w:r>
          </w:p>
        </w:tc>
        <w:tc>
          <w:tcPr>
            <w:tcW w:w="4320" w:type="dxa"/>
          </w:tcPr>
          <w:p w14:paraId="78C4AC38" w14:textId="77777777" w:rsidR="008C45D6" w:rsidRDefault="00000000">
            <w:r>
              <w:t>What is the validity of the assertion that "PKG-la does not have a large impact on expression of spinal long term potentiation in PGK-la knockout mice."? Outline fact-based statements about the assertion.</w:t>
            </w:r>
          </w:p>
        </w:tc>
      </w:tr>
      <w:tr w:rsidR="008C45D6" w14:paraId="12992484" w14:textId="77777777">
        <w:tc>
          <w:tcPr>
            <w:tcW w:w="4320" w:type="dxa"/>
          </w:tcPr>
          <w:p w14:paraId="75D3274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97976E" w14:textId="1A0E797C" w:rsidR="008C45D6" w:rsidRPr="008703A6" w:rsidRDefault="008703A6">
            <w:pPr>
              <w:rPr>
                <w:rFonts w:eastAsia="宋体"/>
                <w:lang w:eastAsia="zh-CN"/>
              </w:rPr>
            </w:pPr>
            <w:r>
              <w:rPr>
                <w:rFonts w:eastAsia="宋体" w:hint="eastAsia"/>
                <w:lang w:eastAsia="zh-CN"/>
              </w:rPr>
              <w:t>3</w:t>
            </w:r>
            <w:r>
              <w:rPr>
                <w:rFonts w:eastAsia="宋体"/>
                <w:lang w:eastAsia="zh-CN"/>
              </w:rPr>
              <w:t>,3,4</w:t>
            </w:r>
          </w:p>
        </w:tc>
      </w:tr>
      <w:tr w:rsidR="008C45D6" w14:paraId="195EF65A" w14:textId="77777777">
        <w:tc>
          <w:tcPr>
            <w:tcW w:w="4320" w:type="dxa"/>
          </w:tcPr>
          <w:p w14:paraId="181A8F5B" w14:textId="77777777" w:rsidR="008C45D6" w:rsidRDefault="00000000">
            <w:r>
              <w:rPr>
                <w:rFonts w:ascii="仿宋" w:eastAsia="仿宋" w:hAnsi="仿宋"/>
              </w:rPr>
              <w:t>模型回复</w:t>
            </w:r>
          </w:p>
        </w:tc>
        <w:tc>
          <w:tcPr>
            <w:tcW w:w="4320" w:type="dxa"/>
          </w:tcPr>
          <w:p w14:paraId="4DFA60C3" w14:textId="77777777" w:rsidR="008C45D6" w:rsidRDefault="00000000">
            <w:r>
              <w:t>To properly evaluate the validity of the assertion, we need to gather factual statements related to the impact of PKG-la (protein kinase G type I alpha) on the expression of spinal long-term potentiation (LTP) in PGK-la knockout mice. Here are some fact-based statements that can help in assessing the assertion:</w:t>
            </w:r>
            <w:r>
              <w:br/>
              <w:t>1. PKG-la expression: PKG-la is a protein kinase enzyme that is expressed in various tissues, including the central nervous system, which encompasses the spinal cord.</w:t>
            </w:r>
            <w:r>
              <w:br/>
              <w:t xml:space="preserve">2. Spinal long-term potentiation (LTP): LTP is a process </w:t>
            </w:r>
            <w:r>
              <w:lastRenderedPageBreak/>
              <w:t>involved in synaptic plasticity, which is the ability of synapses to strengthen or weaken over time. In the context of the spinal cord, LTP refers to the enhancement of synaptic transmission between neurons in response to specific stimuli.</w:t>
            </w:r>
            <w:r>
              <w:br/>
              <w:t>3. Genetic knockout: PGK-la knockout mice are genetically modified mice where the PKG-la gene has been selectively deleted or inactivated. This gene manipulation results in these mice lacking the expression of PKG-la protein.</w:t>
            </w:r>
            <w:r>
              <w:br/>
              <w:t>4. Impact of PKG-la on LTP: Studies have shown that PKG-la can modulate synaptic plasticity, including LTP, in various brain regions. However, the specific impact of PKG-la on spinal LTP in PGK-la knockout mice is uncertain and requires further investigation.</w:t>
            </w:r>
            <w:r>
              <w:br/>
              <w:t>5. Alternative compensatory mechanisms: In the absence of PKG-la, other signaling pathways or proteins may compensate for the loss of PKG-la function in the expression of spinal LTP in PGK-la knockout mice.</w:t>
            </w:r>
            <w:r>
              <w:br/>
              <w:t>In conclusion, based on the current knowledge, it is unclear whether the assertion that "PKG-la does not have a large impact on expression of spinal long-term potentiation in PGK-la knockout mice" is valid. Further research is needed to determine the exact role and significance of PKG-la in spinal LTP in the context of PGK-la knockout mice.</w:t>
            </w:r>
          </w:p>
        </w:tc>
      </w:tr>
      <w:tr w:rsidR="008C45D6" w14:paraId="51A54315" w14:textId="77777777">
        <w:tc>
          <w:tcPr>
            <w:tcW w:w="4320" w:type="dxa"/>
          </w:tcPr>
          <w:p w14:paraId="6B1DA88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D7D222" w14:textId="385748EA" w:rsidR="008C45D6" w:rsidRPr="008703A6" w:rsidRDefault="008703A6">
            <w:pPr>
              <w:rPr>
                <w:rFonts w:eastAsia="宋体"/>
                <w:lang w:eastAsia="zh-CN"/>
              </w:rPr>
            </w:pPr>
            <w:r>
              <w:rPr>
                <w:rFonts w:eastAsia="宋体" w:hint="eastAsia"/>
                <w:lang w:eastAsia="zh-CN"/>
              </w:rPr>
              <w:t>1</w:t>
            </w:r>
          </w:p>
        </w:tc>
      </w:tr>
      <w:tr w:rsidR="008C45D6" w14:paraId="0B83ED1B" w14:textId="77777777">
        <w:tc>
          <w:tcPr>
            <w:tcW w:w="4320" w:type="dxa"/>
          </w:tcPr>
          <w:p w14:paraId="4C0B69A6" w14:textId="77777777" w:rsidR="008C45D6" w:rsidRDefault="00000000">
            <w:r>
              <w:rPr>
                <w:rFonts w:ascii="仿宋" w:eastAsia="仿宋" w:hAnsi="仿宋"/>
              </w:rPr>
              <w:t>提取的事实</w:t>
            </w:r>
          </w:p>
        </w:tc>
        <w:tc>
          <w:tcPr>
            <w:tcW w:w="4320" w:type="dxa"/>
          </w:tcPr>
          <w:p w14:paraId="6CE0EA28" w14:textId="77777777" w:rsidR="008C45D6" w:rsidRDefault="00000000">
            <w:r>
              <w:t>1. PKG-la is a protein kinase enzyme that is expressed in various tissues, such as the central nervous system.</w:t>
            </w:r>
            <w:r>
              <w:br/>
              <w:t>2. Long-term potentiation (LTP) is a synaptic plasticity process involved in the enhancement of synaptic transmission between neurons due to specific stimuli.</w:t>
            </w:r>
            <w:r>
              <w:br/>
              <w:t>3. PGK-la knockout mice are genetically modified animals in which the PKG-la gene has been selectively deleted or inactivated.</w:t>
            </w:r>
            <w:r>
              <w:br/>
              <w:t>4. Studies have suggested that PKG-la can influence synaptic plasticity, including LTP, in various parts of the brain.</w:t>
            </w:r>
            <w:r>
              <w:br/>
              <w:t xml:space="preserve">5. In the absence of PKG-la, other signaling mechanisms or </w:t>
            </w:r>
            <w:r>
              <w:lastRenderedPageBreak/>
              <w:t>proteins might compensate for the lost function of PKG-la in the expression of spinal LTP in PGK-la knockout mice.</w:t>
            </w:r>
          </w:p>
        </w:tc>
      </w:tr>
      <w:tr w:rsidR="008C45D6" w14:paraId="2974740A" w14:textId="77777777">
        <w:tc>
          <w:tcPr>
            <w:tcW w:w="4320" w:type="dxa"/>
          </w:tcPr>
          <w:p w14:paraId="5F2BDFED"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3A6D00" w14:textId="5B149118" w:rsidR="008C45D6" w:rsidRPr="008703A6" w:rsidRDefault="00682906">
            <w:pPr>
              <w:rPr>
                <w:rFonts w:eastAsia="宋体"/>
                <w:lang w:eastAsia="zh-CN"/>
              </w:rPr>
            </w:pPr>
            <w:r>
              <w:rPr>
                <w:rFonts w:eastAsia="宋体"/>
                <w:lang w:eastAsia="zh-CN"/>
              </w:rPr>
              <w:t>7</w:t>
            </w:r>
            <w:r w:rsidR="008703A6">
              <w:rPr>
                <w:rFonts w:eastAsia="宋体"/>
                <w:lang w:eastAsia="zh-CN"/>
              </w:rPr>
              <w:t>,1</w:t>
            </w:r>
            <w:r>
              <w:rPr>
                <w:rFonts w:eastAsia="宋体"/>
                <w:lang w:eastAsia="zh-CN"/>
              </w:rPr>
              <w:t>,7</w:t>
            </w:r>
            <w:r w:rsidR="008703A6">
              <w:rPr>
                <w:rFonts w:eastAsia="宋体"/>
                <w:lang w:eastAsia="zh-CN"/>
              </w:rPr>
              <w:t>,1</w:t>
            </w:r>
            <w:bookmarkStart w:id="0" w:name="_Hlk152853353"/>
            <w:r w:rsidR="008703A6">
              <w:rPr>
                <w:rFonts w:eastAsia="宋体"/>
                <w:lang w:eastAsia="zh-CN"/>
              </w:rPr>
              <w:t>,7</w:t>
            </w:r>
            <w:bookmarkEnd w:id="0"/>
          </w:p>
        </w:tc>
      </w:tr>
    </w:tbl>
    <w:p w14:paraId="739471B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89"/>
        <w:gridCol w:w="6041"/>
      </w:tblGrid>
      <w:tr w:rsidR="008C45D6" w14:paraId="2B0AE700" w14:textId="77777777">
        <w:tc>
          <w:tcPr>
            <w:tcW w:w="4320" w:type="dxa"/>
          </w:tcPr>
          <w:p w14:paraId="20DB10EF" w14:textId="77777777" w:rsidR="008C45D6" w:rsidRDefault="00000000">
            <w:r>
              <w:t>ID</w:t>
            </w:r>
          </w:p>
        </w:tc>
        <w:tc>
          <w:tcPr>
            <w:tcW w:w="10080" w:type="dxa"/>
          </w:tcPr>
          <w:p w14:paraId="0F25751F" w14:textId="77777777" w:rsidR="008C45D6" w:rsidRDefault="00000000">
            <w:r>
              <w:t>523(31)</w:t>
            </w:r>
          </w:p>
        </w:tc>
      </w:tr>
      <w:tr w:rsidR="008C45D6" w14:paraId="4209982E" w14:textId="77777777">
        <w:tc>
          <w:tcPr>
            <w:tcW w:w="4320" w:type="dxa"/>
          </w:tcPr>
          <w:p w14:paraId="5C4CC271" w14:textId="77777777" w:rsidR="008C45D6" w:rsidRDefault="00000000">
            <w:r>
              <w:rPr>
                <w:rFonts w:ascii="仿宋" w:eastAsia="仿宋" w:hAnsi="仿宋"/>
              </w:rPr>
              <w:t>领域</w:t>
            </w:r>
          </w:p>
        </w:tc>
        <w:tc>
          <w:tcPr>
            <w:tcW w:w="4320" w:type="dxa"/>
          </w:tcPr>
          <w:p w14:paraId="07CC41EB" w14:textId="77777777" w:rsidR="008C45D6" w:rsidRDefault="00000000">
            <w:r>
              <w:t>Science</w:t>
            </w:r>
          </w:p>
        </w:tc>
      </w:tr>
      <w:tr w:rsidR="008C45D6" w14:paraId="0555B70C" w14:textId="77777777">
        <w:tc>
          <w:tcPr>
            <w:tcW w:w="4320" w:type="dxa"/>
          </w:tcPr>
          <w:p w14:paraId="05200551" w14:textId="77777777" w:rsidR="008C45D6" w:rsidRDefault="00000000">
            <w:r>
              <w:rPr>
                <w:rFonts w:ascii="仿宋" w:eastAsia="仿宋" w:hAnsi="仿宋"/>
              </w:rPr>
              <w:t>用户问题</w:t>
            </w:r>
          </w:p>
        </w:tc>
        <w:tc>
          <w:tcPr>
            <w:tcW w:w="4320" w:type="dxa"/>
          </w:tcPr>
          <w:p w14:paraId="3878976B" w14:textId="77777777" w:rsidR="008C45D6" w:rsidRDefault="00000000">
            <w:r>
              <w:t>Can you clarify whether the claim "PKG-la plays an essential role in expression of spinal long term potentiation in PGK-la knockout mice." is accurate or not? Build factual arguments about the claim.</w:t>
            </w:r>
          </w:p>
        </w:tc>
      </w:tr>
      <w:tr w:rsidR="008C45D6" w14:paraId="2C8A3E1C" w14:textId="77777777">
        <w:tc>
          <w:tcPr>
            <w:tcW w:w="4320" w:type="dxa"/>
          </w:tcPr>
          <w:p w14:paraId="445BEC4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850E82" w14:textId="24AAF662" w:rsidR="008C45D6" w:rsidRPr="008703A6" w:rsidRDefault="008703A6">
            <w:pPr>
              <w:rPr>
                <w:rFonts w:eastAsia="宋体"/>
                <w:lang w:eastAsia="zh-CN"/>
              </w:rPr>
            </w:pPr>
            <w:r>
              <w:rPr>
                <w:rFonts w:eastAsia="宋体" w:hint="eastAsia"/>
                <w:lang w:eastAsia="zh-CN"/>
              </w:rPr>
              <w:t>3</w:t>
            </w:r>
            <w:r>
              <w:rPr>
                <w:rFonts w:eastAsia="宋体"/>
                <w:lang w:eastAsia="zh-CN"/>
              </w:rPr>
              <w:t>,4,4</w:t>
            </w:r>
          </w:p>
        </w:tc>
      </w:tr>
      <w:tr w:rsidR="008C45D6" w14:paraId="28ADA146" w14:textId="77777777">
        <w:tc>
          <w:tcPr>
            <w:tcW w:w="4320" w:type="dxa"/>
          </w:tcPr>
          <w:p w14:paraId="4E7D8A71" w14:textId="77777777" w:rsidR="008C45D6" w:rsidRDefault="00000000">
            <w:r>
              <w:rPr>
                <w:rFonts w:ascii="仿宋" w:eastAsia="仿宋" w:hAnsi="仿宋"/>
              </w:rPr>
              <w:t>模型回复</w:t>
            </w:r>
          </w:p>
        </w:tc>
        <w:tc>
          <w:tcPr>
            <w:tcW w:w="4320" w:type="dxa"/>
          </w:tcPr>
          <w:p w14:paraId="4134FBD3" w14:textId="77777777" w:rsidR="008C45D6" w:rsidRDefault="00000000">
            <w:r>
              <w:t xml:space="preserve">To determine the accuracy of the claim that "PKG-la plays an essential role in the expression of spinal long term potentiation (LTP) in PGK-la knockout mice," we need to examine the existing scientific evidence. </w:t>
            </w:r>
            <w:r>
              <w:br/>
              <w:t>1. Research on PKG-la: Studies have demonstrated that PKG-la (protein kinase G-I alpha) is involved in various cellular processes, including synaptic plasticity and long term potentiation. PKG-la is known to regulate the activity of NMDA receptors, which are crucial for the induction of LTP in the spinal cord.</w:t>
            </w:r>
            <w:r>
              <w:br/>
              <w:t xml:space="preserve">2. Importance of LTP in spinal cord: Long term potentiation refers to the strengthening of synapses, which is critical for learning and memory processes. In the spinal cord, LTP is believed to be involved in pain sensitization and the </w:t>
            </w:r>
            <w:r>
              <w:lastRenderedPageBreak/>
              <w:t>maintenance of chronic pain states.</w:t>
            </w:r>
            <w:r>
              <w:br/>
              <w:t>3. PGK-la knockout mice: These mice are genetically modified to lack the expression of PKG-la. Therefore, studying the behavior of PGK-la knockout mice allows researchers to investigate the role of PKG-la in specific physiological processes.</w:t>
            </w:r>
            <w:r>
              <w:br/>
              <w:t>4. Evidence supporting the claim: Several studies have observed deficits in the expression of spinal LTP in PGK-la knockout mice. For example, a 2011 study by Liu et al. found that PGK-la knockout mice exhibited impaired spinal LTP, suggesting the involvement of PKG-la in its expression. Other researchers have also shown similar results, further supporting the claim.</w:t>
            </w:r>
            <w:r>
              <w:br/>
              <w:t>5. Counterarguments: It is important to note that a single study or a limited number of studies might not provide a comprehensive understanding of the complex role of PKG-la in spinal LTP. Some research findings might conflict or suggest alternative mechanisms at play. Therefore, further studies are needed to strengthen the claim.</w:t>
            </w:r>
            <w:r>
              <w:br/>
              <w:t>In conclusion, the claim that "PKG-la plays an essential role in the expression of spinal long term potentiation in PGK-la knockout mice" is supported by existing evidence. Multiple studies indicate a relationship between PKG-la and spinal LTP deficits in PGK-la knockout mice. However, additional research is necessary to provide a more conclusive understanding of the complete mechanism and potential auxiliary factors involved.</w:t>
            </w:r>
          </w:p>
        </w:tc>
      </w:tr>
      <w:tr w:rsidR="008C45D6" w14:paraId="2F87F03C" w14:textId="77777777">
        <w:tc>
          <w:tcPr>
            <w:tcW w:w="4320" w:type="dxa"/>
          </w:tcPr>
          <w:p w14:paraId="2810C9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02BFE1" w14:textId="4DBAD89B" w:rsidR="008C45D6" w:rsidRPr="008703A6" w:rsidRDefault="008703A6">
            <w:pPr>
              <w:rPr>
                <w:rFonts w:eastAsia="宋体"/>
                <w:lang w:eastAsia="zh-CN"/>
              </w:rPr>
            </w:pPr>
            <w:r>
              <w:rPr>
                <w:rFonts w:eastAsia="宋体" w:hint="eastAsia"/>
                <w:lang w:eastAsia="zh-CN"/>
              </w:rPr>
              <w:t>1</w:t>
            </w:r>
          </w:p>
        </w:tc>
      </w:tr>
      <w:tr w:rsidR="008C45D6" w14:paraId="419A76BB" w14:textId="77777777">
        <w:tc>
          <w:tcPr>
            <w:tcW w:w="4320" w:type="dxa"/>
          </w:tcPr>
          <w:p w14:paraId="0D17EAF1" w14:textId="77777777" w:rsidR="008C45D6" w:rsidRDefault="00000000">
            <w:r>
              <w:rPr>
                <w:rFonts w:ascii="仿宋" w:eastAsia="仿宋" w:hAnsi="仿宋"/>
              </w:rPr>
              <w:t>提取的事实</w:t>
            </w:r>
          </w:p>
        </w:tc>
        <w:tc>
          <w:tcPr>
            <w:tcW w:w="4320" w:type="dxa"/>
          </w:tcPr>
          <w:p w14:paraId="699CDB6B" w14:textId="77777777" w:rsidR="008C45D6" w:rsidRDefault="00000000">
            <w:r>
              <w:t>1. PKG-la, or protein kinase G-I alpha, is known to regulate the activity of NMDA receptors which are crucial for the induction of long term potentiation in the spinal cord.</w:t>
            </w:r>
            <w:r>
              <w:br/>
              <w:t>2. Long term potentiation refers to the strengthening of synapses and is critical for learning and memory processes.</w:t>
            </w:r>
            <w:r>
              <w:br/>
              <w:t>3. PGK-la knockout mice are genetically modified to lack the expression of PKG-la.</w:t>
            </w:r>
            <w:r>
              <w:br/>
              <w:t xml:space="preserve">4. A 2011 study by Liu et al. found that PGK-la knockout mice </w:t>
            </w:r>
            <w:r>
              <w:lastRenderedPageBreak/>
              <w:t>exhibited impaired spinal long term potentiation.</w:t>
            </w:r>
            <w:r>
              <w:br/>
              <w:t>5. The claim that PKG-la plays an essential role in the expression of spinal long term potentiation in PGK-la knockout mice is supported by existing evidence.</w:t>
            </w:r>
          </w:p>
        </w:tc>
      </w:tr>
      <w:tr w:rsidR="008C45D6" w14:paraId="6502A1BD" w14:textId="77777777">
        <w:tc>
          <w:tcPr>
            <w:tcW w:w="4320" w:type="dxa"/>
          </w:tcPr>
          <w:p w14:paraId="5DC9BC1F"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42E973" w14:textId="3D40D7B1" w:rsidR="008C45D6" w:rsidRPr="008703A6" w:rsidRDefault="00280468">
            <w:pPr>
              <w:rPr>
                <w:rFonts w:eastAsia="宋体"/>
                <w:lang w:eastAsia="zh-CN"/>
              </w:rPr>
            </w:pPr>
            <w:r>
              <w:rPr>
                <w:rFonts w:eastAsia="宋体"/>
                <w:lang w:eastAsia="zh-CN"/>
              </w:rPr>
              <w:t>2</w:t>
            </w:r>
            <w:r w:rsidR="008703A6">
              <w:rPr>
                <w:rFonts w:eastAsia="宋体"/>
                <w:lang w:eastAsia="zh-CN"/>
              </w:rPr>
              <w:t>,1,</w:t>
            </w:r>
            <w:r>
              <w:rPr>
                <w:rFonts w:eastAsia="宋体"/>
                <w:lang w:eastAsia="zh-CN"/>
              </w:rPr>
              <w:t>7</w:t>
            </w:r>
            <w:r w:rsidR="008703A6">
              <w:rPr>
                <w:rFonts w:eastAsia="宋体"/>
                <w:lang w:eastAsia="zh-CN"/>
              </w:rPr>
              <w:t>,</w:t>
            </w:r>
            <w:r>
              <w:rPr>
                <w:rFonts w:eastAsia="宋体"/>
                <w:lang w:eastAsia="zh-CN"/>
              </w:rPr>
              <w:t>7</w:t>
            </w:r>
            <w:r w:rsidR="008703A6">
              <w:rPr>
                <w:rFonts w:eastAsia="宋体"/>
                <w:lang w:eastAsia="zh-CN"/>
              </w:rPr>
              <w:t>,</w:t>
            </w:r>
            <w:r>
              <w:rPr>
                <w:rFonts w:eastAsia="宋体"/>
                <w:lang w:eastAsia="zh-CN"/>
              </w:rPr>
              <w:t>7</w:t>
            </w:r>
          </w:p>
        </w:tc>
      </w:tr>
    </w:tbl>
    <w:p w14:paraId="3103BC0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0ACCED30" w14:textId="77777777">
        <w:tc>
          <w:tcPr>
            <w:tcW w:w="4320" w:type="dxa"/>
          </w:tcPr>
          <w:p w14:paraId="7750653A" w14:textId="77777777" w:rsidR="008C45D6" w:rsidRDefault="00000000">
            <w:r>
              <w:t>ID</w:t>
            </w:r>
          </w:p>
        </w:tc>
        <w:tc>
          <w:tcPr>
            <w:tcW w:w="10080" w:type="dxa"/>
          </w:tcPr>
          <w:p w14:paraId="62484D5E" w14:textId="77777777" w:rsidR="008C45D6" w:rsidRDefault="00000000">
            <w:r>
              <w:t>526(32)</w:t>
            </w:r>
          </w:p>
        </w:tc>
      </w:tr>
      <w:tr w:rsidR="008C45D6" w14:paraId="3F6BFBF9" w14:textId="77777777">
        <w:tc>
          <w:tcPr>
            <w:tcW w:w="4320" w:type="dxa"/>
          </w:tcPr>
          <w:p w14:paraId="72B3FC56" w14:textId="77777777" w:rsidR="008C45D6" w:rsidRDefault="00000000">
            <w:r>
              <w:rPr>
                <w:rFonts w:ascii="仿宋" w:eastAsia="仿宋" w:hAnsi="仿宋"/>
              </w:rPr>
              <w:t>领域</w:t>
            </w:r>
          </w:p>
        </w:tc>
        <w:tc>
          <w:tcPr>
            <w:tcW w:w="4320" w:type="dxa"/>
          </w:tcPr>
          <w:p w14:paraId="7DE46E64" w14:textId="77777777" w:rsidR="008C45D6" w:rsidRDefault="00000000">
            <w:r>
              <w:t>Science</w:t>
            </w:r>
          </w:p>
        </w:tc>
      </w:tr>
      <w:tr w:rsidR="008C45D6" w14:paraId="3CB11BB2" w14:textId="77777777">
        <w:tc>
          <w:tcPr>
            <w:tcW w:w="4320" w:type="dxa"/>
          </w:tcPr>
          <w:p w14:paraId="2CAE4CDC" w14:textId="77777777" w:rsidR="008C45D6" w:rsidRDefault="00000000">
            <w:r>
              <w:rPr>
                <w:rFonts w:ascii="仿宋" w:eastAsia="仿宋" w:hAnsi="仿宋"/>
              </w:rPr>
              <w:t>用户问题</w:t>
            </w:r>
          </w:p>
        </w:tc>
        <w:tc>
          <w:tcPr>
            <w:tcW w:w="4320" w:type="dxa"/>
          </w:tcPr>
          <w:p w14:paraId="35C75FC0" w14:textId="77777777" w:rsidR="008C45D6" w:rsidRDefault="00000000">
            <w:r>
              <w:t>Do you agree with the claim that "Participants who quit smoking reduce lung cancer risk by approximately 50%."? Provide factual statements about the claim.</w:t>
            </w:r>
          </w:p>
        </w:tc>
      </w:tr>
      <w:tr w:rsidR="008C45D6" w14:paraId="4FB10DF8" w14:textId="77777777">
        <w:tc>
          <w:tcPr>
            <w:tcW w:w="4320" w:type="dxa"/>
          </w:tcPr>
          <w:p w14:paraId="7180586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3CD227D" w14:textId="077F6BDC" w:rsidR="008C45D6" w:rsidRPr="008703A6" w:rsidRDefault="008703A6">
            <w:pPr>
              <w:rPr>
                <w:rFonts w:eastAsia="宋体"/>
                <w:lang w:eastAsia="zh-CN"/>
              </w:rPr>
            </w:pPr>
            <w:r>
              <w:rPr>
                <w:rFonts w:eastAsia="宋体" w:hint="eastAsia"/>
                <w:lang w:eastAsia="zh-CN"/>
              </w:rPr>
              <w:t>4</w:t>
            </w:r>
            <w:r>
              <w:rPr>
                <w:rFonts w:eastAsia="宋体"/>
                <w:lang w:eastAsia="zh-CN"/>
              </w:rPr>
              <w:t>,4,3</w:t>
            </w:r>
          </w:p>
        </w:tc>
      </w:tr>
      <w:tr w:rsidR="008C45D6" w14:paraId="19845AFD" w14:textId="77777777">
        <w:tc>
          <w:tcPr>
            <w:tcW w:w="4320" w:type="dxa"/>
          </w:tcPr>
          <w:p w14:paraId="5671C6E6" w14:textId="77777777" w:rsidR="008C45D6" w:rsidRDefault="00000000">
            <w:r>
              <w:rPr>
                <w:rFonts w:ascii="仿宋" w:eastAsia="仿宋" w:hAnsi="仿宋"/>
              </w:rPr>
              <w:t>模型回复</w:t>
            </w:r>
          </w:p>
        </w:tc>
        <w:tc>
          <w:tcPr>
            <w:tcW w:w="4320" w:type="dxa"/>
          </w:tcPr>
          <w:p w14:paraId="65E83D4B" w14:textId="77777777" w:rsidR="008C45D6" w:rsidRDefault="00000000">
            <w:r>
              <w:t>As an AI language model, I can provide you with factual information regarding the claim, but I cannot express personal opinions or beliefs. With that said, I can provide you with some factual statements about the claim:</w:t>
            </w:r>
            <w:r>
              <w:br/>
              <w:t>1. The claim suggests that individuals who quit smoking can reduce their lung cancer risk by around 50%. This reduction is based on statistical evidence from studies conducted on groups of participants.</w:t>
            </w:r>
            <w:r>
              <w:br/>
              <w:t>2. According to the American Cancer Society, tobacco smoke contains chemicals that can damage DNA and other genetic material in lung cells, leading to the development of lung cancer. By quitting smoking, individuals reduce their exposure to these harmful substances.</w:t>
            </w:r>
            <w:r>
              <w:br/>
              <w:t xml:space="preserve">3. A study published in the British Medical Journal found that </w:t>
            </w:r>
            <w:r>
              <w:lastRenderedPageBreak/>
              <w:t>the risk of lung cancer starts to decrease shortly after quitting smoking. It also revealed that after 10 years of quitting, the risk of developing lung cancer decreases by approximately 50% compared to those who continue to smoke.</w:t>
            </w:r>
            <w:r>
              <w:br/>
              <w:t>4. Another study published in the Journal of the National Cancer Institute demonstrated that the risk of lung cancer decreases with increased years of smoking cessation. It found that people who quit smoking for more than 15 years had a significantly lower risk of lung cancer compared to current smokers.</w:t>
            </w:r>
            <w:r>
              <w:br/>
              <w:t>5. The Centers for Disease Control and Prevention (CDC) states that quitting smoking greatly reduces the risk of developing lung cancer, as well as other smoking-related diseases such as heart disease, stroke, and chronic respiratory diseases.</w:t>
            </w:r>
            <w:r>
              <w:br/>
              <w:t>It's important to note that individual risk factors and circumstances can vary, and quitting smoking is not an absolute guarantee against lung cancer. However, quitting smoking is universally recognized as a crucial step in reducing the risk of developing lung cancer and improving overall health.</w:t>
            </w:r>
          </w:p>
        </w:tc>
      </w:tr>
      <w:tr w:rsidR="008C45D6" w14:paraId="21FA24D3" w14:textId="77777777">
        <w:tc>
          <w:tcPr>
            <w:tcW w:w="4320" w:type="dxa"/>
          </w:tcPr>
          <w:p w14:paraId="05A34F3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239AE5" w14:textId="3E599291" w:rsidR="008C45D6" w:rsidRPr="008703A6" w:rsidRDefault="008703A6">
            <w:pPr>
              <w:rPr>
                <w:rFonts w:eastAsia="宋体"/>
                <w:lang w:eastAsia="zh-CN"/>
              </w:rPr>
            </w:pPr>
            <w:r>
              <w:rPr>
                <w:rFonts w:eastAsia="宋体" w:hint="eastAsia"/>
                <w:lang w:eastAsia="zh-CN"/>
              </w:rPr>
              <w:t>1</w:t>
            </w:r>
          </w:p>
        </w:tc>
      </w:tr>
      <w:tr w:rsidR="008C45D6" w14:paraId="0B56A1D9" w14:textId="77777777">
        <w:tc>
          <w:tcPr>
            <w:tcW w:w="4320" w:type="dxa"/>
          </w:tcPr>
          <w:p w14:paraId="14638022" w14:textId="77777777" w:rsidR="008C45D6" w:rsidRDefault="00000000">
            <w:r>
              <w:rPr>
                <w:rFonts w:ascii="仿宋" w:eastAsia="仿宋" w:hAnsi="仿宋"/>
              </w:rPr>
              <w:t>提取的事实</w:t>
            </w:r>
          </w:p>
        </w:tc>
        <w:tc>
          <w:tcPr>
            <w:tcW w:w="4320" w:type="dxa"/>
          </w:tcPr>
          <w:p w14:paraId="483744C9" w14:textId="77777777" w:rsidR="008C45D6" w:rsidRDefault="00000000">
            <w:r>
              <w:t>1. The claim suggests that individuals who quit smoking can reduce their lung cancer risk by around 50% based on statistical evidence from studies.</w:t>
            </w:r>
            <w:r>
              <w:br/>
              <w:t>2. Tobacco smoke contains chemicals that can damage DNA and other genetic material in lung cells, leading to the development of lung cancer.</w:t>
            </w:r>
            <w:r>
              <w:br/>
              <w:t>3. According to a study in the British Medical Journal, the risk of lung cancer starts to decrease shortly after quitting smoking.</w:t>
            </w:r>
            <w:r>
              <w:br/>
              <w:t>4. According to a study published in the Journal of the National Cancer Institute, the risk of lung cancer decreases with increased years of smoking cessation.</w:t>
            </w:r>
            <w:r>
              <w:br/>
              <w:t xml:space="preserve">5. The Centers for Disease Control and Prevention (CDC) </w:t>
            </w:r>
            <w:r>
              <w:lastRenderedPageBreak/>
              <w:t>state that quitting smoking reduces the risk of developing lung cancer as well as other smoking-related diseases such as heart disease, stroke, and chronic respiratory diseases.</w:t>
            </w:r>
          </w:p>
        </w:tc>
      </w:tr>
      <w:tr w:rsidR="008C45D6" w14:paraId="2A6C6E18" w14:textId="77777777">
        <w:tc>
          <w:tcPr>
            <w:tcW w:w="4320" w:type="dxa"/>
          </w:tcPr>
          <w:p w14:paraId="158BB89C"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35E3AF" w14:textId="30D70B7B" w:rsidR="008C45D6" w:rsidRPr="008703A6" w:rsidRDefault="008703A6">
            <w:pPr>
              <w:rPr>
                <w:rFonts w:eastAsia="宋体"/>
                <w:lang w:eastAsia="zh-CN"/>
              </w:rPr>
            </w:pPr>
            <w:r>
              <w:rPr>
                <w:rFonts w:eastAsia="宋体" w:hint="eastAsia"/>
                <w:lang w:eastAsia="zh-CN"/>
              </w:rPr>
              <w:t>8</w:t>
            </w:r>
            <w:r>
              <w:rPr>
                <w:rFonts w:eastAsia="宋体"/>
                <w:lang w:eastAsia="zh-CN"/>
              </w:rPr>
              <w:t>,1,</w:t>
            </w:r>
            <w:r w:rsidR="008B076C">
              <w:rPr>
                <w:rFonts w:eastAsia="宋体"/>
                <w:lang w:eastAsia="zh-CN"/>
              </w:rPr>
              <w:t>7</w:t>
            </w:r>
            <w:r>
              <w:rPr>
                <w:rFonts w:eastAsia="宋体"/>
                <w:lang w:eastAsia="zh-CN"/>
              </w:rPr>
              <w:t>,</w:t>
            </w:r>
            <w:r w:rsidR="008B076C">
              <w:rPr>
                <w:rFonts w:eastAsia="宋体"/>
                <w:lang w:eastAsia="zh-CN"/>
              </w:rPr>
              <w:t>2</w:t>
            </w:r>
            <w:r>
              <w:rPr>
                <w:rFonts w:eastAsia="宋体"/>
                <w:lang w:eastAsia="zh-CN"/>
              </w:rPr>
              <w:t>,1</w:t>
            </w:r>
          </w:p>
        </w:tc>
      </w:tr>
    </w:tbl>
    <w:p w14:paraId="1CC8471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8C45D6" w14:paraId="1763F3C2" w14:textId="77777777">
        <w:tc>
          <w:tcPr>
            <w:tcW w:w="4320" w:type="dxa"/>
          </w:tcPr>
          <w:p w14:paraId="4A5B216E" w14:textId="77777777" w:rsidR="008C45D6" w:rsidRDefault="00000000">
            <w:r>
              <w:t>ID</w:t>
            </w:r>
          </w:p>
        </w:tc>
        <w:tc>
          <w:tcPr>
            <w:tcW w:w="10080" w:type="dxa"/>
          </w:tcPr>
          <w:p w14:paraId="251E5307" w14:textId="77777777" w:rsidR="008C45D6" w:rsidRDefault="00000000">
            <w:r>
              <w:t>532(33)</w:t>
            </w:r>
          </w:p>
        </w:tc>
      </w:tr>
      <w:tr w:rsidR="008C45D6" w14:paraId="2D68E93F" w14:textId="77777777">
        <w:tc>
          <w:tcPr>
            <w:tcW w:w="4320" w:type="dxa"/>
          </w:tcPr>
          <w:p w14:paraId="708B2680" w14:textId="77777777" w:rsidR="008C45D6" w:rsidRDefault="00000000">
            <w:r>
              <w:rPr>
                <w:rFonts w:ascii="仿宋" w:eastAsia="仿宋" w:hAnsi="仿宋"/>
              </w:rPr>
              <w:t>领域</w:t>
            </w:r>
          </w:p>
        </w:tc>
        <w:tc>
          <w:tcPr>
            <w:tcW w:w="4320" w:type="dxa"/>
          </w:tcPr>
          <w:p w14:paraId="2550F237" w14:textId="77777777" w:rsidR="008C45D6" w:rsidRDefault="00000000">
            <w:r>
              <w:t>Science</w:t>
            </w:r>
          </w:p>
        </w:tc>
      </w:tr>
      <w:tr w:rsidR="008C45D6" w14:paraId="60F59231" w14:textId="77777777">
        <w:tc>
          <w:tcPr>
            <w:tcW w:w="4320" w:type="dxa"/>
          </w:tcPr>
          <w:p w14:paraId="2CC8D162" w14:textId="77777777" w:rsidR="008C45D6" w:rsidRDefault="00000000">
            <w:r>
              <w:rPr>
                <w:rFonts w:ascii="仿宋" w:eastAsia="仿宋" w:hAnsi="仿宋"/>
              </w:rPr>
              <w:t>用户问题</w:t>
            </w:r>
          </w:p>
        </w:tc>
        <w:tc>
          <w:tcPr>
            <w:tcW w:w="4320" w:type="dxa"/>
          </w:tcPr>
          <w:p w14:paraId="2F15589F" w14:textId="77777777" w:rsidR="008C45D6" w:rsidRDefault="00000000">
            <w:r>
              <w:t>What is the validity of the assertion that "Patients with microcytosis and higher erythrocyte count were more resistant to severe malarial anaemia when infected with Plasmodium falciparum."? Outline fact-based statements about the assertion.</w:t>
            </w:r>
          </w:p>
        </w:tc>
      </w:tr>
      <w:tr w:rsidR="008C45D6" w14:paraId="0412A318" w14:textId="77777777">
        <w:tc>
          <w:tcPr>
            <w:tcW w:w="4320" w:type="dxa"/>
          </w:tcPr>
          <w:p w14:paraId="47F6581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9F231B" w14:textId="430B5387" w:rsidR="008C45D6" w:rsidRPr="008703A6" w:rsidRDefault="008703A6">
            <w:pPr>
              <w:rPr>
                <w:rFonts w:eastAsia="宋体"/>
                <w:lang w:eastAsia="zh-CN"/>
              </w:rPr>
            </w:pPr>
            <w:r>
              <w:rPr>
                <w:rFonts w:eastAsia="宋体" w:hint="eastAsia"/>
                <w:lang w:eastAsia="zh-CN"/>
              </w:rPr>
              <w:t>2</w:t>
            </w:r>
            <w:r>
              <w:rPr>
                <w:rFonts w:eastAsia="宋体"/>
                <w:lang w:eastAsia="zh-CN"/>
              </w:rPr>
              <w:t>,4,4</w:t>
            </w:r>
          </w:p>
        </w:tc>
      </w:tr>
      <w:tr w:rsidR="008C45D6" w14:paraId="7560EC47" w14:textId="77777777">
        <w:tc>
          <w:tcPr>
            <w:tcW w:w="4320" w:type="dxa"/>
          </w:tcPr>
          <w:p w14:paraId="5A0792DA" w14:textId="77777777" w:rsidR="008C45D6" w:rsidRDefault="00000000">
            <w:r>
              <w:rPr>
                <w:rFonts w:ascii="仿宋" w:eastAsia="仿宋" w:hAnsi="仿宋"/>
              </w:rPr>
              <w:t>模型回复</w:t>
            </w:r>
          </w:p>
        </w:tc>
        <w:tc>
          <w:tcPr>
            <w:tcW w:w="4320" w:type="dxa"/>
          </w:tcPr>
          <w:p w14:paraId="6F99ABCE" w14:textId="77777777" w:rsidR="008C45D6" w:rsidRDefault="00000000">
            <w:r>
              <w:t>The assertion that "Patients with microcytosis and higher erythrocyte count were more resistant to severe malarial anaemia when infected with Plasmodium falciparum" is valid based on the following fact-based statements:</w:t>
            </w:r>
            <w:r>
              <w:br/>
              <w:t>1. Microcytosis: Microcytosis refers to the presence of abnormally small red blood cells. This condition is often associated with iron deficiency anemia and thalassemia, among other conditions. Individuals with microcytosis may have a higher number of red blood cells due to compensatory mechanisms stimulated by low oxygen-carrying capacity of smaller cells.</w:t>
            </w:r>
            <w:r>
              <w:br/>
              <w:t xml:space="preserve">2. Erythrocyte Count: Erythrocyte count refers to the number of red blood cells present in a given volume of blood. A </w:t>
            </w:r>
            <w:r>
              <w:lastRenderedPageBreak/>
              <w:t xml:space="preserve">higher erythrocyte count typically indicates an increased number of red blood cells. </w:t>
            </w:r>
            <w:r>
              <w:br/>
              <w:t>3. Severe Malarial Anaemia: Severe malarial anaemia is a complication of Plasmodium falciparum malaria, which is caused by the parasite infecting red blood cells and destroying them. This leads to reduced oxygen-carrying capacity of the blood and can result in severe anemia.</w:t>
            </w:r>
            <w:r>
              <w:br/>
              <w:t>4. Resistance to Severe Malarial Anaemia: Several studies have observed that individuals with microcytosis, along with higher erythrocyte counts, display greater resistance to severe malarial anaemia when infected with Plasmodium falciparum. The increased number of red blood cells may help compensate for the destruction caused by the parasite, limiting the severity of anemia.</w:t>
            </w:r>
            <w:r>
              <w:br/>
              <w:t>5. Research Evidence: A study conducted in 2005 by Crompton et al. found that individuals with microcytosis had a significantly lower risk of developing severe malarial anaemia when infected with Plasmodium falciparum. Another study published in 2015 by Ganguly et al. also indicated a similar relationship between microcytosis, higher erythrocyte counts, and reduced severity of malarial anaemia.</w:t>
            </w:r>
            <w:r>
              <w:br/>
              <w:t>It is important to note that while these fact-based statements support the assertion, further research and replication studies are necessary to establish a conclusive and universally applicable link between microcytosis, erythrocyte count, and resistance to severe malarial anaemia.</w:t>
            </w:r>
          </w:p>
        </w:tc>
      </w:tr>
      <w:tr w:rsidR="008C45D6" w14:paraId="10B17565" w14:textId="77777777">
        <w:tc>
          <w:tcPr>
            <w:tcW w:w="4320" w:type="dxa"/>
          </w:tcPr>
          <w:p w14:paraId="2255561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D51C74" w14:textId="24902C1D" w:rsidR="008C45D6" w:rsidRPr="008703A6" w:rsidRDefault="008703A6">
            <w:pPr>
              <w:rPr>
                <w:rFonts w:eastAsia="宋体"/>
                <w:lang w:eastAsia="zh-CN"/>
              </w:rPr>
            </w:pPr>
            <w:r>
              <w:rPr>
                <w:rFonts w:eastAsia="宋体" w:hint="eastAsia"/>
                <w:lang w:eastAsia="zh-CN"/>
              </w:rPr>
              <w:t>1</w:t>
            </w:r>
          </w:p>
        </w:tc>
      </w:tr>
      <w:tr w:rsidR="008C45D6" w14:paraId="091D6FCE" w14:textId="77777777">
        <w:tc>
          <w:tcPr>
            <w:tcW w:w="4320" w:type="dxa"/>
          </w:tcPr>
          <w:p w14:paraId="02F162B6" w14:textId="77777777" w:rsidR="008C45D6" w:rsidRDefault="00000000">
            <w:r>
              <w:rPr>
                <w:rFonts w:ascii="仿宋" w:eastAsia="仿宋" w:hAnsi="仿宋"/>
              </w:rPr>
              <w:t>提取的事实</w:t>
            </w:r>
          </w:p>
        </w:tc>
        <w:tc>
          <w:tcPr>
            <w:tcW w:w="4320" w:type="dxa"/>
          </w:tcPr>
          <w:p w14:paraId="01648A62" w14:textId="77777777" w:rsidR="008C45D6" w:rsidRDefault="00000000">
            <w:r>
              <w:t>1. Microcytosis refers to the presence of abnormally small red blood cells.</w:t>
            </w:r>
            <w:r>
              <w:br/>
              <w:t>2. Erythrocyte count refers to the number of red blood cells present in a given volume of blood.</w:t>
            </w:r>
            <w:r>
              <w:br/>
              <w:t>3. Severe malarial anaemia is a complication of Plasmodium falciparum malaria, where the parasite infects and destroys red blood cells.</w:t>
            </w:r>
            <w:r>
              <w:br/>
            </w:r>
            <w:r>
              <w:lastRenderedPageBreak/>
              <w:t>4. Some studies have observed that individuals with microcytosis and higher erythrocyte counts display greater resistance to severe malarial anaemia when infected with Plasmodium falciparum.</w:t>
            </w:r>
            <w:r>
              <w:br/>
              <w:t>5. A study conducted in 2005 by Crompton et al. found a lower risk of developing severe malarial anaemia in individuals with microcytosis infected with Plasmodium falciparum, a finding supported by further research published in 2015 by Ganguly et al.</w:t>
            </w:r>
          </w:p>
        </w:tc>
      </w:tr>
      <w:tr w:rsidR="008C45D6" w14:paraId="405F0315" w14:textId="77777777">
        <w:tc>
          <w:tcPr>
            <w:tcW w:w="4320" w:type="dxa"/>
          </w:tcPr>
          <w:p w14:paraId="4956DDAA"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829370" w14:textId="7ED1284C" w:rsidR="008C45D6" w:rsidRPr="008703A6" w:rsidRDefault="008703A6">
            <w:pPr>
              <w:rPr>
                <w:rFonts w:eastAsia="宋体"/>
                <w:lang w:eastAsia="zh-CN"/>
              </w:rPr>
            </w:pPr>
            <w:r>
              <w:rPr>
                <w:rFonts w:eastAsia="宋体" w:hint="eastAsia"/>
                <w:lang w:eastAsia="zh-CN"/>
              </w:rPr>
              <w:t>1</w:t>
            </w:r>
            <w:r>
              <w:rPr>
                <w:rFonts w:eastAsia="宋体"/>
                <w:lang w:eastAsia="zh-CN"/>
              </w:rPr>
              <w:t>,1,1,</w:t>
            </w:r>
            <w:r w:rsidR="00E9671F">
              <w:rPr>
                <w:rFonts w:eastAsia="宋体"/>
                <w:lang w:eastAsia="zh-CN"/>
              </w:rPr>
              <w:t>2</w:t>
            </w:r>
            <w:r>
              <w:rPr>
                <w:rFonts w:eastAsia="宋体"/>
                <w:lang w:eastAsia="zh-CN"/>
              </w:rPr>
              <w:t>,</w:t>
            </w:r>
            <w:r w:rsidR="00E9671F">
              <w:rPr>
                <w:rFonts w:eastAsia="宋体"/>
                <w:lang w:eastAsia="zh-CN"/>
              </w:rPr>
              <w:t>2</w:t>
            </w:r>
          </w:p>
        </w:tc>
      </w:tr>
    </w:tbl>
    <w:p w14:paraId="18061CD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8C45D6" w14:paraId="4D180D2E" w14:textId="77777777">
        <w:tc>
          <w:tcPr>
            <w:tcW w:w="4320" w:type="dxa"/>
          </w:tcPr>
          <w:p w14:paraId="3D8D2046" w14:textId="77777777" w:rsidR="008C45D6" w:rsidRDefault="00000000">
            <w:r>
              <w:t>ID</w:t>
            </w:r>
          </w:p>
        </w:tc>
        <w:tc>
          <w:tcPr>
            <w:tcW w:w="10080" w:type="dxa"/>
          </w:tcPr>
          <w:p w14:paraId="6A1BF1CC" w14:textId="77777777" w:rsidR="008C45D6" w:rsidRDefault="00000000">
            <w:r>
              <w:t>543(34)</w:t>
            </w:r>
          </w:p>
        </w:tc>
      </w:tr>
      <w:tr w:rsidR="008C45D6" w14:paraId="20E88718" w14:textId="77777777">
        <w:tc>
          <w:tcPr>
            <w:tcW w:w="4320" w:type="dxa"/>
          </w:tcPr>
          <w:p w14:paraId="2EBE7108" w14:textId="77777777" w:rsidR="008C45D6" w:rsidRDefault="00000000">
            <w:r>
              <w:rPr>
                <w:rFonts w:ascii="仿宋" w:eastAsia="仿宋" w:hAnsi="仿宋"/>
              </w:rPr>
              <w:t>领域</w:t>
            </w:r>
          </w:p>
        </w:tc>
        <w:tc>
          <w:tcPr>
            <w:tcW w:w="4320" w:type="dxa"/>
          </w:tcPr>
          <w:p w14:paraId="5B031925" w14:textId="77777777" w:rsidR="008C45D6" w:rsidRDefault="00000000">
            <w:r>
              <w:t>Science</w:t>
            </w:r>
          </w:p>
        </w:tc>
      </w:tr>
      <w:tr w:rsidR="008C45D6" w14:paraId="779171AD" w14:textId="77777777">
        <w:tc>
          <w:tcPr>
            <w:tcW w:w="4320" w:type="dxa"/>
          </w:tcPr>
          <w:p w14:paraId="139377B7" w14:textId="77777777" w:rsidR="008C45D6" w:rsidRDefault="00000000">
            <w:r>
              <w:rPr>
                <w:rFonts w:ascii="仿宋" w:eastAsia="仿宋" w:hAnsi="仿宋"/>
              </w:rPr>
              <w:t>用户问题</w:t>
            </w:r>
          </w:p>
        </w:tc>
        <w:tc>
          <w:tcPr>
            <w:tcW w:w="4320" w:type="dxa"/>
          </w:tcPr>
          <w:p w14:paraId="1B6472B6" w14:textId="77777777" w:rsidR="008C45D6" w:rsidRDefault="00000000">
            <w:r>
              <w:t>Can you clarify whether the claim "Physical activity level has no association with the difference in maximal oxygen consumption between black and white youth." is accurate or not? Build factual arguments about the claim.</w:t>
            </w:r>
          </w:p>
        </w:tc>
      </w:tr>
      <w:tr w:rsidR="008C45D6" w14:paraId="642B936E" w14:textId="77777777">
        <w:tc>
          <w:tcPr>
            <w:tcW w:w="4320" w:type="dxa"/>
          </w:tcPr>
          <w:p w14:paraId="21C2F79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A0BAD0" w14:textId="24C001D3" w:rsidR="008C45D6" w:rsidRPr="008703A6" w:rsidRDefault="008703A6">
            <w:pPr>
              <w:rPr>
                <w:rFonts w:eastAsia="宋体"/>
                <w:lang w:eastAsia="zh-CN"/>
              </w:rPr>
            </w:pPr>
            <w:r>
              <w:rPr>
                <w:rFonts w:eastAsia="宋体"/>
                <w:lang w:eastAsia="zh-CN"/>
              </w:rPr>
              <w:t>4,4,4</w:t>
            </w:r>
          </w:p>
        </w:tc>
      </w:tr>
      <w:tr w:rsidR="008C45D6" w14:paraId="48680DDD" w14:textId="77777777">
        <w:tc>
          <w:tcPr>
            <w:tcW w:w="4320" w:type="dxa"/>
          </w:tcPr>
          <w:p w14:paraId="76C3C2F1" w14:textId="77777777" w:rsidR="008C45D6" w:rsidRDefault="00000000">
            <w:r>
              <w:rPr>
                <w:rFonts w:ascii="仿宋" w:eastAsia="仿宋" w:hAnsi="仿宋"/>
              </w:rPr>
              <w:t>模型回复</w:t>
            </w:r>
          </w:p>
        </w:tc>
        <w:tc>
          <w:tcPr>
            <w:tcW w:w="4320" w:type="dxa"/>
          </w:tcPr>
          <w:p w14:paraId="4F1A8B8A" w14:textId="77777777" w:rsidR="008C45D6" w:rsidRDefault="00000000">
            <w:r>
              <w:t>To determine whether the claim "Physical activity level has no association with the difference in maximal oxygen consumption between black and white youth" is accurate, let's build factual arguments by examining current research studies:</w:t>
            </w:r>
            <w:r>
              <w:br/>
              <w:t>1. Studies showing no association:</w:t>
            </w:r>
            <w:r>
              <w:br/>
              <w:t xml:space="preserve">   - One study by Folsom et al. (2000) found that after adjusting for body composition, maximal oxygen </w:t>
            </w:r>
            <w:r>
              <w:lastRenderedPageBreak/>
              <w:t>consumption (VO2 max) did not differ between black and white individuals.</w:t>
            </w:r>
            <w:r>
              <w:br/>
              <w:t xml:space="preserve">   - Another study by Carnethon et al. (2002) observed no significant differences in VO2 max between black and white adolescents after controlling for body mass index (BMI).</w:t>
            </w:r>
            <w:r>
              <w:br/>
              <w:t>2. Studies suggesting an association:</w:t>
            </w:r>
            <w:r>
              <w:br/>
              <w:t xml:space="preserve">   - In contrast, a study by Gutin et al. (2005) found that black males had significantly lower VO2 max values than white males, even after adjusting for weight, height, and puberty stage. However, this study focused on VO2 max in relation to cardiovascular disease risk and did not specifically examine physical activity levels.</w:t>
            </w:r>
            <w:r>
              <w:br/>
              <w:t xml:space="preserve">   - Another study by Eisenmann et al. (2009) found racial and ethnic disparities in VO2 max among adolescents, but they did not directly examine the association with physical activity levels.</w:t>
            </w:r>
            <w:r>
              <w:br/>
              <w:t>3. Importance of physical activity in VO2 max:</w:t>
            </w:r>
            <w:r>
              <w:br/>
              <w:t xml:space="preserve">   - Regular physical activity is a known determinant of VO2 max. Engaging in aerobic exercise promotes cardiovascular fitness, leading to increased oxygen utilization and possibly higher VO2 max.</w:t>
            </w:r>
            <w:r>
              <w:br/>
              <w:t xml:space="preserve">   - Physical activity is generally considered to be lower among black youth compared to white youth, which could potentially contribute to differences in VO2 max between the two groups.</w:t>
            </w:r>
            <w:r>
              <w:br/>
              <w:t>Overall, it is inaccurate to definitively claim that physical activity level has no association with the difference in VO2 max between black and white youth. While some studies suggest no significant association after adjusting for certain factors, other studies indicate potential racial disparities in VO2 max that may be influenced by physical activity levels. Further research considering objective measurements of physical activity and controlling for confounding variables is needed to draw more conclusive statements about this relationship.</w:t>
            </w:r>
          </w:p>
        </w:tc>
      </w:tr>
      <w:tr w:rsidR="008C45D6" w14:paraId="204FB91F" w14:textId="77777777">
        <w:tc>
          <w:tcPr>
            <w:tcW w:w="4320" w:type="dxa"/>
          </w:tcPr>
          <w:p w14:paraId="5AE8C43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BCE952" w14:textId="579E6214" w:rsidR="008C45D6" w:rsidRPr="008703A6" w:rsidRDefault="008703A6">
            <w:pPr>
              <w:rPr>
                <w:rFonts w:eastAsia="宋体"/>
                <w:lang w:eastAsia="zh-CN"/>
              </w:rPr>
            </w:pPr>
            <w:r>
              <w:rPr>
                <w:rFonts w:eastAsia="宋体" w:hint="eastAsia"/>
                <w:lang w:eastAsia="zh-CN"/>
              </w:rPr>
              <w:t>1</w:t>
            </w:r>
          </w:p>
        </w:tc>
      </w:tr>
      <w:tr w:rsidR="008C45D6" w14:paraId="0A7814C7" w14:textId="77777777">
        <w:tc>
          <w:tcPr>
            <w:tcW w:w="4320" w:type="dxa"/>
          </w:tcPr>
          <w:p w14:paraId="2D7D94EF" w14:textId="77777777" w:rsidR="008C45D6" w:rsidRDefault="00000000">
            <w:r>
              <w:rPr>
                <w:rFonts w:ascii="仿宋" w:eastAsia="仿宋" w:hAnsi="仿宋"/>
              </w:rPr>
              <w:lastRenderedPageBreak/>
              <w:t>提取的事实</w:t>
            </w:r>
          </w:p>
        </w:tc>
        <w:tc>
          <w:tcPr>
            <w:tcW w:w="4320" w:type="dxa"/>
          </w:tcPr>
          <w:p w14:paraId="45C750EB" w14:textId="77777777" w:rsidR="008C45D6" w:rsidRDefault="00000000">
            <w:r>
              <w:t>1. Folsom et al. (2000) conducted a study that found no difference in maximal oxygen consumption (VO2 max) between black and white individuals after adjusting for body composition.</w:t>
            </w:r>
            <w:r>
              <w:br/>
              <w:t>2. Carnethon et al.'s (2002) study found no significant differences in VO2 max between black and white adolescents after controlling for body mass index (BMI).</w:t>
            </w:r>
            <w:r>
              <w:br/>
              <w:t>3. Gutin et al. (2005) found that black males had significantly lower VO2 max values than white males, even after adjusting for weight, height, and puberty stage.</w:t>
            </w:r>
            <w:r>
              <w:br/>
              <w:t>4. Eisenmann et al. (2009) found racial and ethnic disparities in VO2 max among adolescents.</w:t>
            </w:r>
            <w:r>
              <w:br/>
              <w:t>5. Regular physical activity is a known determinant of VO2 max. Engaging in aerobic exercise promotes cardiovascular fitness, leading to increased oxygen utilization and potentially higher VO2 max.</w:t>
            </w:r>
          </w:p>
        </w:tc>
      </w:tr>
      <w:tr w:rsidR="008C45D6" w14:paraId="287E0FFF" w14:textId="77777777">
        <w:tc>
          <w:tcPr>
            <w:tcW w:w="4320" w:type="dxa"/>
          </w:tcPr>
          <w:p w14:paraId="3BC1BBC2"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4CD46D" w14:textId="6142EEC4" w:rsidR="008C45D6" w:rsidRPr="008703A6" w:rsidRDefault="00682906">
            <w:pPr>
              <w:rPr>
                <w:rFonts w:eastAsia="宋体"/>
                <w:lang w:eastAsia="zh-CN"/>
              </w:rPr>
            </w:pPr>
            <w:r>
              <w:rPr>
                <w:rFonts w:eastAsia="宋体"/>
                <w:lang w:eastAsia="zh-CN"/>
              </w:rPr>
              <w:t>7,7,7,7,7</w:t>
            </w:r>
          </w:p>
        </w:tc>
      </w:tr>
    </w:tbl>
    <w:p w14:paraId="07387E8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8C45D6" w14:paraId="5CE06F99" w14:textId="77777777">
        <w:tc>
          <w:tcPr>
            <w:tcW w:w="4320" w:type="dxa"/>
          </w:tcPr>
          <w:p w14:paraId="1D5AF988" w14:textId="77777777" w:rsidR="008C45D6" w:rsidRDefault="00000000">
            <w:r>
              <w:t>ID</w:t>
            </w:r>
          </w:p>
        </w:tc>
        <w:tc>
          <w:tcPr>
            <w:tcW w:w="10080" w:type="dxa"/>
          </w:tcPr>
          <w:p w14:paraId="46238CE1" w14:textId="77777777" w:rsidR="008C45D6" w:rsidRDefault="00000000">
            <w:r>
              <w:t>544(35)</w:t>
            </w:r>
          </w:p>
        </w:tc>
      </w:tr>
      <w:tr w:rsidR="008C45D6" w14:paraId="163374F8" w14:textId="77777777">
        <w:tc>
          <w:tcPr>
            <w:tcW w:w="4320" w:type="dxa"/>
          </w:tcPr>
          <w:p w14:paraId="292634F3" w14:textId="77777777" w:rsidR="008C45D6" w:rsidRDefault="00000000">
            <w:r>
              <w:rPr>
                <w:rFonts w:ascii="仿宋" w:eastAsia="仿宋" w:hAnsi="仿宋"/>
              </w:rPr>
              <w:t>领域</w:t>
            </w:r>
          </w:p>
        </w:tc>
        <w:tc>
          <w:tcPr>
            <w:tcW w:w="4320" w:type="dxa"/>
          </w:tcPr>
          <w:p w14:paraId="39CA0520" w14:textId="77777777" w:rsidR="008C45D6" w:rsidRDefault="00000000">
            <w:r>
              <w:t>Science</w:t>
            </w:r>
          </w:p>
        </w:tc>
      </w:tr>
      <w:tr w:rsidR="008C45D6" w14:paraId="6FDA3FDE" w14:textId="77777777">
        <w:tc>
          <w:tcPr>
            <w:tcW w:w="4320" w:type="dxa"/>
          </w:tcPr>
          <w:p w14:paraId="4F1B077D" w14:textId="77777777" w:rsidR="008C45D6" w:rsidRDefault="00000000">
            <w:r>
              <w:rPr>
                <w:rFonts w:ascii="仿宋" w:eastAsia="仿宋" w:hAnsi="仿宋"/>
              </w:rPr>
              <w:t>用户问题</w:t>
            </w:r>
          </w:p>
        </w:tc>
        <w:tc>
          <w:tcPr>
            <w:tcW w:w="4320" w:type="dxa"/>
          </w:tcPr>
          <w:p w14:paraId="5AFB257E" w14:textId="77777777" w:rsidR="008C45D6" w:rsidRDefault="00000000">
            <w:r>
              <w:t>How truthful is the statement that "Physical activity level is associated with the difference in maximal oxygen consumption between black and white youth."? Present a series of factual points about the statement.</w:t>
            </w:r>
          </w:p>
        </w:tc>
      </w:tr>
      <w:tr w:rsidR="008C45D6" w14:paraId="695126A5" w14:textId="77777777">
        <w:tc>
          <w:tcPr>
            <w:tcW w:w="4320" w:type="dxa"/>
          </w:tcPr>
          <w:p w14:paraId="22D1137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4CB1E" w14:textId="0CBEFDE0" w:rsidR="008C45D6" w:rsidRPr="008703A6" w:rsidRDefault="008703A6">
            <w:pPr>
              <w:rPr>
                <w:rFonts w:eastAsia="宋体"/>
                <w:lang w:eastAsia="zh-CN"/>
              </w:rPr>
            </w:pPr>
            <w:r>
              <w:rPr>
                <w:rFonts w:eastAsia="宋体" w:hint="eastAsia"/>
                <w:lang w:eastAsia="zh-CN"/>
              </w:rPr>
              <w:t>3</w:t>
            </w:r>
            <w:r>
              <w:rPr>
                <w:rFonts w:eastAsia="宋体"/>
                <w:lang w:eastAsia="zh-CN"/>
              </w:rPr>
              <w:t>,4,3</w:t>
            </w:r>
          </w:p>
        </w:tc>
      </w:tr>
      <w:tr w:rsidR="008C45D6" w14:paraId="3C67B2A5" w14:textId="77777777">
        <w:tc>
          <w:tcPr>
            <w:tcW w:w="4320" w:type="dxa"/>
          </w:tcPr>
          <w:p w14:paraId="69448598" w14:textId="77777777" w:rsidR="008C45D6" w:rsidRDefault="00000000">
            <w:r>
              <w:rPr>
                <w:rFonts w:ascii="仿宋" w:eastAsia="仿宋" w:hAnsi="仿宋"/>
              </w:rPr>
              <w:lastRenderedPageBreak/>
              <w:t>模型回复</w:t>
            </w:r>
          </w:p>
        </w:tc>
        <w:tc>
          <w:tcPr>
            <w:tcW w:w="4320" w:type="dxa"/>
          </w:tcPr>
          <w:p w14:paraId="04C60984" w14:textId="77777777" w:rsidR="008C45D6" w:rsidRDefault="00000000">
            <w:r>
              <w:t>To evaluate the truthfulness of the statement that "Physical activity level is associated with the difference in maximal oxygen consumption between black and white youth," we need to examine relevant scientific evidence and present a series of factual points:</w:t>
            </w:r>
            <w:r>
              <w:br/>
              <w:t>1. Research studies have consistently shown differences in maximal oxygen consumption (VO2max) between black and white individuals. VO2max is a measure of the body's ability to utilize oxygen during exercise, indicating cardiovascular fitness.</w:t>
            </w:r>
            <w:r>
              <w:br/>
              <w:t>2. Several studies have investigated the association between physical activity and VO2max levels in black and white youth separately. These studies generally acknowledge that physical activity influences cardiovascular fitness and therefore potentially affects VO2max.</w:t>
            </w:r>
            <w:r>
              <w:br/>
              <w:t>3. A 2010 systematic review published in the Journal of Clinical Epidemiology examined the impact of physical activity on VO2max across different ethnicities, including black and white individuals. The review found that physical activity was indeed associated with higher VO2max levels in both black and white youth.</w:t>
            </w:r>
            <w:r>
              <w:br/>
              <w:t>4. In the specific context of racial differences in VO2max, an analysis published in 2014 in the British Journal of Sports Medicine examined a large sample of black and white youth aged 7-13 years. The study observed that black youth had, on average, lower VO2max than white youth. However, the analysis did not directly establish a causal relationship between physical activity and these racial differences.</w:t>
            </w:r>
            <w:r>
              <w:br/>
              <w:t>5. A genetic component related to VO2max differences between racial groups has also been suggested. Some studies have shown that certain genetic variations may contribute to lower VO2max in black individuals compared to white individuals, regardless of physical activity levels.</w:t>
            </w:r>
            <w:r>
              <w:br/>
              <w:t>6. Acknowledging the importance of physical activity, it is worth noting that the influence of other factors, such as socioeconomic status, access to resources, and cultural influences on physical activity, may also contribute to differences in VO2max between black and white youth.</w:t>
            </w:r>
            <w:r>
              <w:br/>
            </w:r>
            <w:r>
              <w:lastRenderedPageBreak/>
              <w:t>In summary, while physical activity is associated with higher VO2max levels in both black and white youth, the statement that physical activity level is associated with the difference in VO2max between black and white youth does not fully capture the complexity of this issue. Other factors, including genetics, socioeconomic status, and cultural factors, may contribute to the observed differences in maximal oxygen consumption between these racial groups.</w:t>
            </w:r>
          </w:p>
        </w:tc>
      </w:tr>
      <w:tr w:rsidR="008C45D6" w14:paraId="765A4883" w14:textId="77777777">
        <w:tc>
          <w:tcPr>
            <w:tcW w:w="4320" w:type="dxa"/>
          </w:tcPr>
          <w:p w14:paraId="713D256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D1BD5C" w14:textId="161E22D7" w:rsidR="008C45D6" w:rsidRPr="008703A6" w:rsidRDefault="008703A6">
            <w:pPr>
              <w:rPr>
                <w:rFonts w:eastAsia="宋体"/>
                <w:lang w:eastAsia="zh-CN"/>
              </w:rPr>
            </w:pPr>
            <w:r>
              <w:rPr>
                <w:rFonts w:eastAsia="宋体" w:hint="eastAsia"/>
                <w:lang w:eastAsia="zh-CN"/>
              </w:rPr>
              <w:t>1</w:t>
            </w:r>
          </w:p>
        </w:tc>
      </w:tr>
      <w:tr w:rsidR="008C45D6" w14:paraId="0BD666C6" w14:textId="77777777">
        <w:tc>
          <w:tcPr>
            <w:tcW w:w="4320" w:type="dxa"/>
          </w:tcPr>
          <w:p w14:paraId="009CBE7B" w14:textId="77777777" w:rsidR="008C45D6" w:rsidRDefault="00000000">
            <w:r>
              <w:rPr>
                <w:rFonts w:ascii="仿宋" w:eastAsia="仿宋" w:hAnsi="仿宋"/>
              </w:rPr>
              <w:t>提取的事实</w:t>
            </w:r>
          </w:p>
        </w:tc>
        <w:tc>
          <w:tcPr>
            <w:tcW w:w="4320" w:type="dxa"/>
          </w:tcPr>
          <w:p w14:paraId="184435F3" w14:textId="77777777" w:rsidR="008C45D6" w:rsidRDefault="00000000">
            <w:r>
              <w:t>1. Maximal oxygen consumption (VO2max) is a measure of the body's ability to utilize oxygen during exercise.</w:t>
            </w:r>
            <w:r>
              <w:br/>
              <w:t>2. Several studies have found an association between physical activity and VO2max levels in black and white youth.</w:t>
            </w:r>
            <w:r>
              <w:br/>
              <w:t>3. A 2010 systematic review in the Journal of Clinical Epidemiology found that physical activity was associated with higher VO2max levels in both black and white youth.</w:t>
            </w:r>
            <w:r>
              <w:br/>
              <w:t>4. A 2014 analysis in the British Journal of Sports Medicine observed that black youth had, on average, lower VO2max than white youth.</w:t>
            </w:r>
            <w:r>
              <w:br/>
              <w:t>5. Some studies have indicated genetics may contribute to differences in VO2max between black and white individuals, regardless of physical activity levels.</w:t>
            </w:r>
          </w:p>
        </w:tc>
      </w:tr>
      <w:tr w:rsidR="008C45D6" w14:paraId="3094E13F" w14:textId="77777777">
        <w:tc>
          <w:tcPr>
            <w:tcW w:w="4320" w:type="dxa"/>
          </w:tcPr>
          <w:p w14:paraId="3B31817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3FEDDB" w14:textId="1A6F9C1B" w:rsidR="008C45D6" w:rsidRPr="008703A6" w:rsidRDefault="008703A6">
            <w:pPr>
              <w:rPr>
                <w:rFonts w:eastAsia="宋体"/>
                <w:lang w:eastAsia="zh-CN"/>
              </w:rPr>
            </w:pPr>
            <w:r>
              <w:rPr>
                <w:rFonts w:eastAsia="宋体" w:hint="eastAsia"/>
                <w:lang w:eastAsia="zh-CN"/>
              </w:rPr>
              <w:t>1</w:t>
            </w:r>
            <w:bookmarkStart w:id="1" w:name="_Hlk152853393"/>
            <w:r>
              <w:rPr>
                <w:rFonts w:eastAsia="宋体"/>
                <w:lang w:eastAsia="zh-CN"/>
              </w:rPr>
              <w:t>,1</w:t>
            </w:r>
            <w:bookmarkEnd w:id="1"/>
            <w:r w:rsidR="00682906">
              <w:rPr>
                <w:rFonts w:eastAsia="宋体"/>
                <w:lang w:eastAsia="zh-CN"/>
              </w:rPr>
              <w:t>,7</w:t>
            </w:r>
            <w:r>
              <w:rPr>
                <w:rFonts w:eastAsia="宋体"/>
                <w:lang w:eastAsia="zh-CN"/>
              </w:rPr>
              <w:t>,3</w:t>
            </w:r>
            <w:r w:rsidR="00682906">
              <w:rPr>
                <w:rFonts w:eastAsia="宋体"/>
                <w:lang w:eastAsia="zh-CN"/>
              </w:rPr>
              <w:t>,1</w:t>
            </w:r>
          </w:p>
        </w:tc>
      </w:tr>
    </w:tbl>
    <w:p w14:paraId="5A91FCEF"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8C45D6" w14:paraId="6C719508" w14:textId="77777777">
        <w:tc>
          <w:tcPr>
            <w:tcW w:w="4320" w:type="dxa"/>
          </w:tcPr>
          <w:p w14:paraId="2DA14EDE" w14:textId="77777777" w:rsidR="008C45D6" w:rsidRDefault="00000000">
            <w:r>
              <w:t>ID</w:t>
            </w:r>
          </w:p>
        </w:tc>
        <w:tc>
          <w:tcPr>
            <w:tcW w:w="10080" w:type="dxa"/>
          </w:tcPr>
          <w:p w14:paraId="205B5FA9" w14:textId="77777777" w:rsidR="008C45D6" w:rsidRDefault="00000000">
            <w:r>
              <w:t>548(36)</w:t>
            </w:r>
          </w:p>
        </w:tc>
      </w:tr>
      <w:tr w:rsidR="008C45D6" w14:paraId="2A55B30A" w14:textId="77777777">
        <w:tc>
          <w:tcPr>
            <w:tcW w:w="4320" w:type="dxa"/>
          </w:tcPr>
          <w:p w14:paraId="5C6F4E6A" w14:textId="77777777" w:rsidR="008C45D6" w:rsidRDefault="00000000">
            <w:r>
              <w:rPr>
                <w:rFonts w:ascii="仿宋" w:eastAsia="仿宋" w:hAnsi="仿宋"/>
              </w:rPr>
              <w:t>领域</w:t>
            </w:r>
          </w:p>
        </w:tc>
        <w:tc>
          <w:tcPr>
            <w:tcW w:w="4320" w:type="dxa"/>
          </w:tcPr>
          <w:p w14:paraId="352011C0" w14:textId="77777777" w:rsidR="008C45D6" w:rsidRDefault="00000000">
            <w:r>
              <w:t>Science</w:t>
            </w:r>
          </w:p>
        </w:tc>
      </w:tr>
      <w:tr w:rsidR="008C45D6" w14:paraId="017E5D69" w14:textId="77777777">
        <w:tc>
          <w:tcPr>
            <w:tcW w:w="4320" w:type="dxa"/>
          </w:tcPr>
          <w:p w14:paraId="34C25AA1" w14:textId="77777777" w:rsidR="008C45D6" w:rsidRDefault="00000000">
            <w:r>
              <w:rPr>
                <w:rFonts w:ascii="仿宋" w:eastAsia="仿宋" w:hAnsi="仿宋"/>
              </w:rPr>
              <w:lastRenderedPageBreak/>
              <w:t>用户问题</w:t>
            </w:r>
          </w:p>
        </w:tc>
        <w:tc>
          <w:tcPr>
            <w:tcW w:w="4320" w:type="dxa"/>
          </w:tcPr>
          <w:p w14:paraId="1F1B9DB8" w14:textId="77777777" w:rsidR="008C45D6" w:rsidRDefault="00000000">
            <w:r>
              <w:t>Can you clarify whether the claim "Pioglitazone use is significantly associated with an increased risk of pancreatic cancer." is accurate or not? Build factual arguments about the claim.</w:t>
            </w:r>
          </w:p>
        </w:tc>
      </w:tr>
      <w:tr w:rsidR="008C45D6" w14:paraId="303DC9C9" w14:textId="77777777">
        <w:tc>
          <w:tcPr>
            <w:tcW w:w="4320" w:type="dxa"/>
          </w:tcPr>
          <w:p w14:paraId="67D23625"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7421B5" w14:textId="70B75C24" w:rsidR="008C45D6" w:rsidRPr="008703A6" w:rsidRDefault="008703A6">
            <w:pPr>
              <w:rPr>
                <w:rFonts w:eastAsia="宋体"/>
                <w:lang w:eastAsia="zh-CN"/>
              </w:rPr>
            </w:pPr>
            <w:r>
              <w:rPr>
                <w:rFonts w:eastAsia="宋体" w:hint="eastAsia"/>
                <w:lang w:eastAsia="zh-CN"/>
              </w:rPr>
              <w:t>4</w:t>
            </w:r>
            <w:r>
              <w:rPr>
                <w:rFonts w:eastAsia="宋体"/>
                <w:lang w:eastAsia="zh-CN"/>
              </w:rPr>
              <w:t>,4,3</w:t>
            </w:r>
          </w:p>
        </w:tc>
      </w:tr>
      <w:tr w:rsidR="008C45D6" w14:paraId="5B0E7350" w14:textId="77777777">
        <w:tc>
          <w:tcPr>
            <w:tcW w:w="4320" w:type="dxa"/>
          </w:tcPr>
          <w:p w14:paraId="4D73043A" w14:textId="77777777" w:rsidR="008C45D6" w:rsidRDefault="00000000">
            <w:r>
              <w:rPr>
                <w:rFonts w:ascii="仿宋" w:eastAsia="仿宋" w:hAnsi="仿宋"/>
              </w:rPr>
              <w:t>模型回复</w:t>
            </w:r>
          </w:p>
        </w:tc>
        <w:tc>
          <w:tcPr>
            <w:tcW w:w="4320" w:type="dxa"/>
          </w:tcPr>
          <w:p w14:paraId="5076079A" w14:textId="77777777" w:rsidR="008C45D6" w:rsidRDefault="00000000">
            <w:r>
              <w:t>I am an AI language model and I can provide some information to help clarify the claim regarding the association between pioglitazone use and an increased risk of pancreatic cancer. However, please note that I cannot provide the most current or specific medical advice and it is always recommended to consult with a healthcare professional or refer to peer-reviewed studies for the latest information.</w:t>
            </w:r>
            <w:r>
              <w:br/>
              <w:t>There have been studies and discussions examining the potential link between pioglitazone use and pancreatic cancer. However, it is important to analyze the available evidence before drawing any firm conclusions. Here are some factual arguments related to this claim:</w:t>
            </w:r>
            <w:r>
              <w:br/>
              <w:t>1. Regulatory agencies' assessments: Various regulatory agencies, including the U.S. Food and Drug Administration (FDA) and the European Medicines Agency (EMA), have conducted reviews on the association between pioglitazone use and pancreatic cancer. They have found conflicting evidence and reached different conclusions. The FDA concluded that the data supports a potential increased risk, while the EMA found no clear evidence of an increased risk.</w:t>
            </w:r>
            <w:r>
              <w:br/>
              <w:t>2. Epidemiological studies: Several epidemiological studies have investigated the potential association between pioglitazone and pancreatic cancer. These studies have produced mixed results. Some studies have found a modestly elevated risk, while others have found no significant increase in risk. For example, a large observational study published in 2015 found a statistically significant association between pioglitazone use and an increased risk of pancreatic cancer, whereas a subsequent large study published in 2018 found no statistically significant association.</w:t>
            </w:r>
            <w:r>
              <w:br/>
            </w:r>
            <w:r>
              <w:lastRenderedPageBreak/>
              <w:t>3. Confounding factors: It is important to consider potential confounding factors that may influence the association between pioglitazone use and pancreatic cancer risk. Diabetes itself is a risk factor for pancreatic cancer, and pioglitazone is often prescribed to individuals with diabetes. Determining whether the increased risk comes from the medication itself or the underlying conditions can be challenging.</w:t>
            </w:r>
            <w:r>
              <w:br/>
              <w:t>4. Assessing causality: Establishing a causal relationship between pioglitazone use and pancreatic cancer requires rigorous scientific scrutiny. Causality cannot solely be established based on observational studies due to inherent limitations such as bias and confounding factors. Long-term randomized controlled trials specifically designed to evaluate this association may provide more definitive evidence.</w:t>
            </w:r>
            <w:r>
              <w:br/>
              <w:t>In conclusion, while there have been studies and regulatory assessments examining the association between pioglitazone use and pancreatic cancer, the evidence is conflicting. It is essential to consider all available evidence and consult with healthcare professionals to make informed decisions about medication usage.</w:t>
            </w:r>
          </w:p>
        </w:tc>
      </w:tr>
      <w:tr w:rsidR="008C45D6" w14:paraId="74BAC0B9" w14:textId="77777777">
        <w:tc>
          <w:tcPr>
            <w:tcW w:w="4320" w:type="dxa"/>
          </w:tcPr>
          <w:p w14:paraId="546AB22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4095AD" w14:textId="4556B1D0" w:rsidR="008C45D6" w:rsidRPr="008703A6" w:rsidRDefault="008703A6">
            <w:pPr>
              <w:rPr>
                <w:rFonts w:eastAsia="宋体"/>
                <w:lang w:eastAsia="zh-CN"/>
              </w:rPr>
            </w:pPr>
            <w:r>
              <w:rPr>
                <w:rFonts w:eastAsia="宋体" w:hint="eastAsia"/>
                <w:lang w:eastAsia="zh-CN"/>
              </w:rPr>
              <w:t>1</w:t>
            </w:r>
          </w:p>
        </w:tc>
      </w:tr>
      <w:tr w:rsidR="008C45D6" w14:paraId="25E81858" w14:textId="77777777">
        <w:tc>
          <w:tcPr>
            <w:tcW w:w="4320" w:type="dxa"/>
          </w:tcPr>
          <w:p w14:paraId="3B805FDC" w14:textId="77777777" w:rsidR="008C45D6" w:rsidRDefault="00000000">
            <w:r>
              <w:rPr>
                <w:rFonts w:ascii="仿宋" w:eastAsia="仿宋" w:hAnsi="仿宋"/>
              </w:rPr>
              <w:t>提取的事实</w:t>
            </w:r>
          </w:p>
        </w:tc>
        <w:tc>
          <w:tcPr>
            <w:tcW w:w="4320" w:type="dxa"/>
          </w:tcPr>
          <w:p w14:paraId="46EA4F11" w14:textId="77777777" w:rsidR="008C45D6" w:rsidRDefault="00000000">
            <w:r>
              <w:t>1. Pioglitazone is a medication often prescribed to individuals with diabetes.</w:t>
            </w:r>
            <w:r>
              <w:br/>
              <w:t>2. Various regulatory agencies, including the U.S. Food and Drug Administration and the European Medicines Agency, have conducted reviews on the association between pioglitazone use and pancreatic cancer.</w:t>
            </w:r>
            <w:r>
              <w:br/>
              <w:t>3. The FDA found data that supports a potential increased risk of pancreatic cancer with pioglitazone use, while the EMA found no clear evidence of an increased risk.</w:t>
            </w:r>
            <w:r>
              <w:br/>
              <w:t>4. Epidemiological studies on the potential association between pioglitazone and pancreatic cancer have produced mixed results.</w:t>
            </w:r>
            <w:r>
              <w:br/>
              <w:t>5. Diabetes itself is a risk factor for pancreatic cancer.</w:t>
            </w:r>
          </w:p>
        </w:tc>
      </w:tr>
      <w:tr w:rsidR="008C45D6" w14:paraId="17DE06DB" w14:textId="77777777">
        <w:tc>
          <w:tcPr>
            <w:tcW w:w="4320" w:type="dxa"/>
          </w:tcPr>
          <w:p w14:paraId="53FAA14A"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0A6BFF" w14:textId="4BC52A28" w:rsidR="008C45D6" w:rsidRPr="008703A6" w:rsidRDefault="008703A6">
            <w:pPr>
              <w:rPr>
                <w:rFonts w:eastAsia="宋体"/>
                <w:lang w:eastAsia="zh-CN"/>
              </w:rPr>
            </w:pPr>
            <w:r>
              <w:rPr>
                <w:rFonts w:eastAsia="宋体" w:hint="eastAsia"/>
                <w:lang w:eastAsia="zh-CN"/>
              </w:rPr>
              <w:lastRenderedPageBreak/>
              <w:t>1</w:t>
            </w:r>
            <w:r>
              <w:rPr>
                <w:rFonts w:eastAsia="宋体"/>
                <w:lang w:eastAsia="zh-CN"/>
              </w:rPr>
              <w:t>,2,7,7,1</w:t>
            </w:r>
          </w:p>
        </w:tc>
      </w:tr>
    </w:tbl>
    <w:p w14:paraId="3BB9C4A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1825626E" w14:textId="77777777">
        <w:tc>
          <w:tcPr>
            <w:tcW w:w="4320" w:type="dxa"/>
          </w:tcPr>
          <w:p w14:paraId="60B9B38C" w14:textId="77777777" w:rsidR="008C45D6" w:rsidRDefault="00000000">
            <w:r>
              <w:t>ID</w:t>
            </w:r>
          </w:p>
        </w:tc>
        <w:tc>
          <w:tcPr>
            <w:tcW w:w="10080" w:type="dxa"/>
          </w:tcPr>
          <w:p w14:paraId="4F29F83F" w14:textId="77777777" w:rsidR="008C45D6" w:rsidRDefault="00000000">
            <w:r>
              <w:t>549(37)</w:t>
            </w:r>
          </w:p>
        </w:tc>
      </w:tr>
      <w:tr w:rsidR="008C45D6" w14:paraId="0E263880" w14:textId="77777777">
        <w:tc>
          <w:tcPr>
            <w:tcW w:w="4320" w:type="dxa"/>
          </w:tcPr>
          <w:p w14:paraId="6D3DCBC2" w14:textId="77777777" w:rsidR="008C45D6" w:rsidRDefault="00000000">
            <w:r>
              <w:rPr>
                <w:rFonts w:ascii="仿宋" w:eastAsia="仿宋" w:hAnsi="仿宋"/>
              </w:rPr>
              <w:t>领域</w:t>
            </w:r>
          </w:p>
        </w:tc>
        <w:tc>
          <w:tcPr>
            <w:tcW w:w="4320" w:type="dxa"/>
          </w:tcPr>
          <w:p w14:paraId="76BEBB59" w14:textId="77777777" w:rsidR="008C45D6" w:rsidRDefault="00000000">
            <w:r>
              <w:t>Science</w:t>
            </w:r>
          </w:p>
        </w:tc>
      </w:tr>
      <w:tr w:rsidR="008C45D6" w14:paraId="6F9285E2" w14:textId="77777777">
        <w:tc>
          <w:tcPr>
            <w:tcW w:w="4320" w:type="dxa"/>
          </w:tcPr>
          <w:p w14:paraId="6B524104" w14:textId="77777777" w:rsidR="008C45D6" w:rsidRDefault="00000000">
            <w:r>
              <w:rPr>
                <w:rFonts w:ascii="仿宋" w:eastAsia="仿宋" w:hAnsi="仿宋"/>
              </w:rPr>
              <w:t>用户问题</w:t>
            </w:r>
          </w:p>
        </w:tc>
        <w:tc>
          <w:tcPr>
            <w:tcW w:w="4320" w:type="dxa"/>
          </w:tcPr>
          <w:p w14:paraId="4D953156" w14:textId="77777777" w:rsidR="008C45D6" w:rsidRDefault="00000000">
            <w:r>
              <w:t>How truthful is the statement that "Pioglitazone use is significantly associated with an increased risk of prostate cancer."? Present a series of factual points about the statement.</w:t>
            </w:r>
          </w:p>
        </w:tc>
      </w:tr>
      <w:tr w:rsidR="008C45D6" w14:paraId="128D8A66" w14:textId="77777777">
        <w:tc>
          <w:tcPr>
            <w:tcW w:w="4320" w:type="dxa"/>
          </w:tcPr>
          <w:p w14:paraId="6327208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184EA2" w14:textId="3097C50E" w:rsidR="008C45D6" w:rsidRPr="00ED0775" w:rsidRDefault="00ED0775">
            <w:pPr>
              <w:rPr>
                <w:rFonts w:eastAsia="宋体"/>
                <w:lang w:eastAsia="zh-CN"/>
              </w:rPr>
            </w:pPr>
            <w:r>
              <w:rPr>
                <w:rFonts w:eastAsia="宋体" w:hint="eastAsia"/>
                <w:lang w:eastAsia="zh-CN"/>
              </w:rPr>
              <w:t>3</w:t>
            </w:r>
            <w:r>
              <w:rPr>
                <w:rFonts w:eastAsia="宋体"/>
                <w:lang w:eastAsia="zh-CN"/>
              </w:rPr>
              <w:t>,4,3</w:t>
            </w:r>
          </w:p>
        </w:tc>
      </w:tr>
      <w:tr w:rsidR="008C45D6" w14:paraId="17810E2B" w14:textId="77777777">
        <w:tc>
          <w:tcPr>
            <w:tcW w:w="4320" w:type="dxa"/>
          </w:tcPr>
          <w:p w14:paraId="5B03341C" w14:textId="77777777" w:rsidR="008C45D6" w:rsidRDefault="00000000">
            <w:r>
              <w:rPr>
                <w:rFonts w:ascii="仿宋" w:eastAsia="仿宋" w:hAnsi="仿宋"/>
              </w:rPr>
              <w:t>模型回复</w:t>
            </w:r>
          </w:p>
        </w:tc>
        <w:tc>
          <w:tcPr>
            <w:tcW w:w="4320" w:type="dxa"/>
          </w:tcPr>
          <w:p w14:paraId="24F2F3D6" w14:textId="77777777" w:rsidR="008C45D6" w:rsidRDefault="00000000">
            <w:r>
              <w:t>1. There have been studies that have investigated the potential link between pioglitazone (a medication used to treat type 2 diabetes) and an increased risk of prostate cancer.</w:t>
            </w:r>
            <w:r>
              <w:br/>
              <w:t>2. One of the most notable studies exploring this association was a large-scale observational study called the PROspective pioglitAzone Clinical Trial In macroVascular Events (PROactive). It found an increased risk of bladder cancer but did not establish a significant link with prostate cancer.</w:t>
            </w:r>
            <w:r>
              <w:br/>
              <w:t>3. The U.S. Food and Drug Administration (FDA) conducted a comprehensive review of available data on pioglitazone's association with bladder cancer and prostate cancer. They concluded that there is no statistically significant increase in the risk of prostate cancer with pioglitazone use.</w:t>
            </w:r>
            <w:r>
              <w:br/>
              <w:t xml:space="preserve">4. Some individual studies, although inconclusive, have found mixed results. For example, a study published in JAMA Internal Medicine in 2015 suggested a modestly increased risk of prostate cancer associated with pioglitazone use, while a study published in Diabetes Care in 2016 found no </w:t>
            </w:r>
            <w:r>
              <w:lastRenderedPageBreak/>
              <w:t>such association.</w:t>
            </w:r>
            <w:r>
              <w:br/>
              <w:t>5. The American Diabetes Association and the European Association for the Study of Diabetes stated that there is currently insufficient evidence to establish a causal relationship between pioglitazone and prostate cancer.</w:t>
            </w:r>
            <w:r>
              <w:br/>
              <w:t>6. It is important to note that correlation does not imply causation. Even if an association between pioglitazone use and prostate cancer is observed, it does not necessarily mean that the medication directly causes the increased risk.</w:t>
            </w:r>
            <w:r>
              <w:br/>
              <w:t>7. Other factors, such as age, genetics, lifestyle, and comorbidities, can also contribute to the development of prostate cancer, making it challenging to solely attribute the risk to pioglitazone use.</w:t>
            </w:r>
            <w:r>
              <w:br/>
              <w:t>8. In regulatory evaluations, both the FDA and the European Medicines Agency (EMA) have maintained that the benefits of pioglitazone in managing type 2 diabetes outweigh the potential risks.</w:t>
            </w:r>
            <w:r>
              <w:br/>
              <w:t>9. Physicians generally consider the overall risk-benefit profile of pioglitazone for each patient and take into account personal medical histories, existing risk factors, and alternative treatment options before prescribing the medication.</w:t>
            </w:r>
            <w:r>
              <w:br/>
              <w:t>10. To date, the existing evidence does not conclusively support the statement that pioglitazone use is significantly associated with an increased risk of prostate cancer.</w:t>
            </w:r>
          </w:p>
        </w:tc>
      </w:tr>
      <w:tr w:rsidR="008C45D6" w14:paraId="25265DF8" w14:textId="77777777">
        <w:tc>
          <w:tcPr>
            <w:tcW w:w="4320" w:type="dxa"/>
          </w:tcPr>
          <w:p w14:paraId="4D094EA7"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91B3DFF" w14:textId="496F7ED4" w:rsidR="008C45D6" w:rsidRPr="00ED0775" w:rsidRDefault="00ED0775">
            <w:pPr>
              <w:rPr>
                <w:rFonts w:eastAsia="宋体"/>
                <w:lang w:eastAsia="zh-CN"/>
              </w:rPr>
            </w:pPr>
            <w:r>
              <w:rPr>
                <w:rFonts w:eastAsia="宋体" w:hint="eastAsia"/>
                <w:lang w:eastAsia="zh-CN"/>
              </w:rPr>
              <w:t>1</w:t>
            </w:r>
          </w:p>
        </w:tc>
      </w:tr>
      <w:tr w:rsidR="008C45D6" w14:paraId="271B1183" w14:textId="77777777">
        <w:tc>
          <w:tcPr>
            <w:tcW w:w="4320" w:type="dxa"/>
          </w:tcPr>
          <w:p w14:paraId="4BEFB029" w14:textId="77777777" w:rsidR="008C45D6" w:rsidRDefault="00000000">
            <w:r>
              <w:rPr>
                <w:rFonts w:ascii="仿宋" w:eastAsia="仿宋" w:hAnsi="仿宋"/>
              </w:rPr>
              <w:t>提取的事实</w:t>
            </w:r>
          </w:p>
        </w:tc>
        <w:tc>
          <w:tcPr>
            <w:tcW w:w="4320" w:type="dxa"/>
          </w:tcPr>
          <w:p w14:paraId="4545F028" w14:textId="77777777" w:rsidR="008C45D6" w:rsidRDefault="00000000">
            <w:r>
              <w:t>1. Pioglitazone is a medication used to treat type 2 diabetes.</w:t>
            </w:r>
            <w:r>
              <w:br/>
              <w:t>2. The PROactive study investigated the association between pioglitazone and prostate cancer and found an increased risk of bladder cancer but did not establish a significant link with prostate cancer.</w:t>
            </w:r>
            <w:r>
              <w:br/>
              <w:t>3. The U.S. Food and Drug Administration conducted a review of pioglitazone's association with prostate cancer and concluded that there is no statistically significant increase in the risk.</w:t>
            </w:r>
            <w:r>
              <w:br/>
              <w:t xml:space="preserve">4. Both the American Diabetes Association and the European </w:t>
            </w:r>
            <w:r>
              <w:lastRenderedPageBreak/>
              <w:t>Association for the Study of Diabetes have stated that there is insufficient evidence to establish a causal relationship between pioglitazone and prostate cancer.</w:t>
            </w:r>
            <w:r>
              <w:br/>
              <w:t>5. The FDA and the European Medicines Agency maintain that the benefits of pioglitazone in treating type 2 diabetes outweigh the potential risks.</w:t>
            </w:r>
          </w:p>
        </w:tc>
      </w:tr>
      <w:tr w:rsidR="008C45D6" w14:paraId="24E9D632" w14:textId="77777777">
        <w:tc>
          <w:tcPr>
            <w:tcW w:w="4320" w:type="dxa"/>
          </w:tcPr>
          <w:p w14:paraId="547BA668"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ABB920" w14:textId="6BFA7912" w:rsidR="008C45D6" w:rsidRPr="00ED0775" w:rsidRDefault="00ED0775">
            <w:pPr>
              <w:rPr>
                <w:rFonts w:eastAsia="宋体"/>
                <w:lang w:eastAsia="zh-CN"/>
              </w:rPr>
            </w:pPr>
            <w:r>
              <w:rPr>
                <w:rFonts w:eastAsia="宋体"/>
                <w:lang w:eastAsia="zh-CN"/>
              </w:rPr>
              <w:t>1</w:t>
            </w:r>
            <w:r>
              <w:rPr>
                <w:rFonts w:eastAsia="宋体" w:hint="eastAsia"/>
                <w:lang w:eastAsia="zh-CN"/>
              </w:rPr>
              <w:t>,</w:t>
            </w:r>
            <w:r>
              <w:rPr>
                <w:rFonts w:eastAsia="宋体"/>
                <w:lang w:eastAsia="zh-CN"/>
              </w:rPr>
              <w:t>2,2,7</w:t>
            </w:r>
            <w:r w:rsidR="00682906">
              <w:rPr>
                <w:rFonts w:eastAsia="宋体"/>
                <w:lang w:eastAsia="zh-CN"/>
              </w:rPr>
              <w:t>,1</w:t>
            </w:r>
          </w:p>
        </w:tc>
      </w:tr>
    </w:tbl>
    <w:p w14:paraId="39CB004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8C45D6" w14:paraId="12B596D2" w14:textId="77777777">
        <w:tc>
          <w:tcPr>
            <w:tcW w:w="4320" w:type="dxa"/>
          </w:tcPr>
          <w:p w14:paraId="3BD65B8A" w14:textId="77777777" w:rsidR="008C45D6" w:rsidRDefault="00000000">
            <w:r>
              <w:t>ID</w:t>
            </w:r>
          </w:p>
        </w:tc>
        <w:tc>
          <w:tcPr>
            <w:tcW w:w="10080" w:type="dxa"/>
          </w:tcPr>
          <w:p w14:paraId="29829C5E" w14:textId="77777777" w:rsidR="008C45D6" w:rsidRDefault="00000000">
            <w:r>
              <w:t>570(38)</w:t>
            </w:r>
          </w:p>
        </w:tc>
      </w:tr>
      <w:tr w:rsidR="008C45D6" w14:paraId="1F8C518E" w14:textId="77777777">
        <w:tc>
          <w:tcPr>
            <w:tcW w:w="4320" w:type="dxa"/>
          </w:tcPr>
          <w:p w14:paraId="5B67B381" w14:textId="77777777" w:rsidR="008C45D6" w:rsidRDefault="00000000">
            <w:r>
              <w:rPr>
                <w:rFonts w:ascii="仿宋" w:eastAsia="仿宋" w:hAnsi="仿宋"/>
              </w:rPr>
              <w:t>领域</w:t>
            </w:r>
          </w:p>
        </w:tc>
        <w:tc>
          <w:tcPr>
            <w:tcW w:w="4320" w:type="dxa"/>
          </w:tcPr>
          <w:p w14:paraId="345E4510" w14:textId="77777777" w:rsidR="008C45D6" w:rsidRDefault="00000000">
            <w:r>
              <w:t>Science</w:t>
            </w:r>
          </w:p>
        </w:tc>
      </w:tr>
      <w:tr w:rsidR="008C45D6" w14:paraId="0826094C" w14:textId="77777777">
        <w:tc>
          <w:tcPr>
            <w:tcW w:w="4320" w:type="dxa"/>
          </w:tcPr>
          <w:p w14:paraId="652166C9" w14:textId="77777777" w:rsidR="008C45D6" w:rsidRDefault="00000000">
            <w:r>
              <w:rPr>
                <w:rFonts w:ascii="仿宋" w:eastAsia="仿宋" w:hAnsi="仿宋"/>
              </w:rPr>
              <w:t>用户问题</w:t>
            </w:r>
          </w:p>
        </w:tc>
        <w:tc>
          <w:tcPr>
            <w:tcW w:w="4320" w:type="dxa"/>
          </w:tcPr>
          <w:p w14:paraId="4D7121AF" w14:textId="77777777" w:rsidR="008C45D6" w:rsidRDefault="00000000">
            <w:r>
              <w:t>Consider the following statement: "Pyridostatin encourages proliferation of homologous recombination - defective cells." Is it right? Present fact-based arguments about the statement.</w:t>
            </w:r>
          </w:p>
        </w:tc>
      </w:tr>
      <w:tr w:rsidR="008C45D6" w14:paraId="01CA9A69" w14:textId="77777777">
        <w:tc>
          <w:tcPr>
            <w:tcW w:w="4320" w:type="dxa"/>
          </w:tcPr>
          <w:p w14:paraId="363F707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ACA667D" w14:textId="2C41DE5D" w:rsidR="008C45D6" w:rsidRPr="00ED0775" w:rsidRDefault="00ED0775">
            <w:pPr>
              <w:rPr>
                <w:rFonts w:eastAsia="宋体"/>
                <w:lang w:eastAsia="zh-CN"/>
              </w:rPr>
            </w:pPr>
            <w:r>
              <w:rPr>
                <w:rFonts w:eastAsia="宋体" w:hint="eastAsia"/>
                <w:lang w:eastAsia="zh-CN"/>
              </w:rPr>
              <w:t>3</w:t>
            </w:r>
            <w:r>
              <w:rPr>
                <w:rFonts w:eastAsia="宋体"/>
                <w:lang w:eastAsia="zh-CN"/>
              </w:rPr>
              <w:t>,4,4</w:t>
            </w:r>
          </w:p>
        </w:tc>
      </w:tr>
      <w:tr w:rsidR="008C45D6" w14:paraId="373F8AED" w14:textId="77777777">
        <w:tc>
          <w:tcPr>
            <w:tcW w:w="4320" w:type="dxa"/>
          </w:tcPr>
          <w:p w14:paraId="54926F2E" w14:textId="77777777" w:rsidR="008C45D6" w:rsidRDefault="00000000">
            <w:r>
              <w:rPr>
                <w:rFonts w:ascii="仿宋" w:eastAsia="仿宋" w:hAnsi="仿宋"/>
              </w:rPr>
              <w:t>模型回复</w:t>
            </w:r>
          </w:p>
        </w:tc>
        <w:tc>
          <w:tcPr>
            <w:tcW w:w="4320" w:type="dxa"/>
          </w:tcPr>
          <w:p w14:paraId="10C02B08" w14:textId="77777777" w:rsidR="008C45D6" w:rsidRDefault="00000000">
            <w:r>
              <w:t xml:space="preserve">The statement "Pyridostatin encourages proliferation of homologous recombination-defective cells" is not factually accurate, as per current scientific understanding. </w:t>
            </w:r>
            <w:r>
              <w:br/>
              <w:t>1. Pyridostatin: Pyridostatin is a synthetic small molecule compound that was initially developed as a G-quadruplex stabilizer, meaning it can bind to and stabilize DNA secondary structures called G-quadruplexes. It has been primarily studied for its potential anticancer properties and interactions with DNA.</w:t>
            </w:r>
            <w:r>
              <w:br/>
              <w:t xml:space="preserve">2. Homologous recombination (HR): HR is a crucial DNA repair mechanism that repairs double-stranded DNA breaks. </w:t>
            </w:r>
            <w:r>
              <w:lastRenderedPageBreak/>
              <w:t>It ensures accurate repair by using an undamaged copy of the DNA as a template. HR-defective cells have impaired or dysfunctional HR machinery, making them more prone to accumulating DNA damage and potentially leading to genomic instability.</w:t>
            </w:r>
            <w:r>
              <w:br/>
              <w:t>3. Effects on Proliferation: There is no scientific evidence to suggest that pyridostatin encourages the proliferation of HR-defective cells. In fact, several studies indicate the opposite. For instance, a study published in the journal "Nucleic Acids Research" in 2019 demonstrated that pyridostatin treatment leads to the inhibition of DNA replication and cell proliferation in cancer cells by inducing DNA damage and cell cycle arrest.</w:t>
            </w:r>
            <w:r>
              <w:br/>
              <w:t>4. Pyridostatin's Mechanism of Action: Pyridostatin primarily interacts with G-quadruplex structures and has been shown to selectively destabilize G-quadruplexes present in telomeres and oncogene promoters. This activity can have potential therapeutic effects by inhibiting telomerase activity or suppressing the expression of oncogenes. However, it does not directly affect the homologous recombination machinery or its functioning.</w:t>
            </w:r>
            <w:r>
              <w:br/>
              <w:t>In conclusion, there is currently no scientific evidence to support the statement that pyridostatin encourages the proliferation of homologous recombination-defective cells. On the contrary, pyridostatin has been shown to inhibit cell proliferation and induce DNA damage.</w:t>
            </w:r>
          </w:p>
        </w:tc>
      </w:tr>
      <w:tr w:rsidR="008C45D6" w14:paraId="06749586" w14:textId="77777777">
        <w:tc>
          <w:tcPr>
            <w:tcW w:w="4320" w:type="dxa"/>
          </w:tcPr>
          <w:p w14:paraId="1BC188B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A63CBA" w14:textId="75FC6D4C" w:rsidR="008C45D6" w:rsidRPr="00ED0775" w:rsidRDefault="00ED0775">
            <w:pPr>
              <w:rPr>
                <w:rFonts w:eastAsia="宋体"/>
                <w:lang w:eastAsia="zh-CN"/>
              </w:rPr>
            </w:pPr>
            <w:r>
              <w:rPr>
                <w:rFonts w:eastAsia="宋体" w:hint="eastAsia"/>
                <w:lang w:eastAsia="zh-CN"/>
              </w:rPr>
              <w:t>1</w:t>
            </w:r>
          </w:p>
        </w:tc>
      </w:tr>
      <w:tr w:rsidR="008C45D6" w14:paraId="25503A3F" w14:textId="77777777">
        <w:tc>
          <w:tcPr>
            <w:tcW w:w="4320" w:type="dxa"/>
          </w:tcPr>
          <w:p w14:paraId="4198E303" w14:textId="77777777" w:rsidR="008C45D6" w:rsidRDefault="00000000">
            <w:r>
              <w:rPr>
                <w:rFonts w:ascii="仿宋" w:eastAsia="仿宋" w:hAnsi="仿宋"/>
              </w:rPr>
              <w:t>提取的事实</w:t>
            </w:r>
          </w:p>
        </w:tc>
        <w:tc>
          <w:tcPr>
            <w:tcW w:w="4320" w:type="dxa"/>
          </w:tcPr>
          <w:p w14:paraId="2149BFCF" w14:textId="77777777" w:rsidR="008C45D6" w:rsidRDefault="00000000">
            <w:r>
              <w:t>1. Pyridostatin is a synthetic small molecule compound that was initially developed as a G-quadruplex stabilizer.</w:t>
            </w:r>
            <w:r>
              <w:br/>
              <w:t>2. Pyridostatin has been primarily studied for its potential anticancer properties and interactions with DNA.</w:t>
            </w:r>
            <w:r>
              <w:br/>
              <w:t>3. Homologous recombination is a crucial DNA repair mechanism that repairs double-stranded DNA breaks.</w:t>
            </w:r>
            <w:r>
              <w:br/>
              <w:t xml:space="preserve">4. Pyridostatin treatment has been shown to inhibit DNA replication and cell proliferation in cancer cells, as stated in a study published in the journal "Nucleic Acids Research" in </w:t>
            </w:r>
            <w:r>
              <w:lastRenderedPageBreak/>
              <w:t>2019.</w:t>
            </w:r>
            <w:r>
              <w:br/>
              <w:t>5. Pyridostatin's mechanism of action involves interacting with G-quadruplex structures, selectively destabilizing them in telomeres and oncogene promoters.</w:t>
            </w:r>
          </w:p>
        </w:tc>
      </w:tr>
      <w:tr w:rsidR="008C45D6" w14:paraId="5393C0B5" w14:textId="77777777">
        <w:tc>
          <w:tcPr>
            <w:tcW w:w="4320" w:type="dxa"/>
          </w:tcPr>
          <w:p w14:paraId="11D758C2"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D74C41A" w14:textId="044326AD" w:rsidR="008C45D6" w:rsidRPr="00ED0775" w:rsidRDefault="00ED0775">
            <w:pPr>
              <w:rPr>
                <w:rFonts w:eastAsia="宋体"/>
                <w:lang w:eastAsia="zh-CN"/>
              </w:rPr>
            </w:pPr>
            <w:r>
              <w:rPr>
                <w:rFonts w:eastAsia="宋体" w:hint="eastAsia"/>
                <w:lang w:eastAsia="zh-CN"/>
              </w:rPr>
              <w:t>1</w:t>
            </w:r>
            <w:r>
              <w:rPr>
                <w:rFonts w:eastAsia="宋体"/>
                <w:lang w:eastAsia="zh-CN"/>
              </w:rPr>
              <w:t>,</w:t>
            </w:r>
            <w:r w:rsidR="00436DC5">
              <w:rPr>
                <w:rFonts w:eastAsia="宋体"/>
                <w:lang w:eastAsia="zh-CN"/>
              </w:rPr>
              <w:t>1</w:t>
            </w:r>
            <w:r>
              <w:rPr>
                <w:rFonts w:eastAsia="宋体"/>
                <w:lang w:eastAsia="zh-CN"/>
              </w:rPr>
              <w:t>,1,</w:t>
            </w:r>
            <w:r w:rsidR="00436DC5">
              <w:rPr>
                <w:rFonts w:eastAsia="宋体"/>
                <w:lang w:eastAsia="zh-CN"/>
              </w:rPr>
              <w:t>7</w:t>
            </w:r>
            <w:r>
              <w:rPr>
                <w:rFonts w:eastAsia="宋体"/>
                <w:lang w:eastAsia="zh-CN"/>
              </w:rPr>
              <w:t>,</w:t>
            </w:r>
            <w:r w:rsidR="00436DC5">
              <w:rPr>
                <w:rFonts w:eastAsia="宋体"/>
                <w:lang w:eastAsia="zh-CN"/>
              </w:rPr>
              <w:t>7</w:t>
            </w:r>
          </w:p>
        </w:tc>
      </w:tr>
    </w:tbl>
    <w:p w14:paraId="6654C07C"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8C45D6" w14:paraId="4E886E39" w14:textId="77777777">
        <w:tc>
          <w:tcPr>
            <w:tcW w:w="4320" w:type="dxa"/>
          </w:tcPr>
          <w:p w14:paraId="5C6941FE" w14:textId="77777777" w:rsidR="008C45D6" w:rsidRDefault="00000000">
            <w:r>
              <w:t>ID</w:t>
            </w:r>
          </w:p>
        </w:tc>
        <w:tc>
          <w:tcPr>
            <w:tcW w:w="10080" w:type="dxa"/>
          </w:tcPr>
          <w:p w14:paraId="4D158B28" w14:textId="77777777" w:rsidR="008C45D6" w:rsidRDefault="00000000">
            <w:r>
              <w:t>574(39)</w:t>
            </w:r>
          </w:p>
        </w:tc>
      </w:tr>
      <w:tr w:rsidR="008C45D6" w14:paraId="4851B64D" w14:textId="77777777">
        <w:tc>
          <w:tcPr>
            <w:tcW w:w="4320" w:type="dxa"/>
          </w:tcPr>
          <w:p w14:paraId="62F961BD" w14:textId="77777777" w:rsidR="008C45D6" w:rsidRDefault="00000000">
            <w:r>
              <w:rPr>
                <w:rFonts w:ascii="仿宋" w:eastAsia="仿宋" w:hAnsi="仿宋"/>
              </w:rPr>
              <w:t>领域</w:t>
            </w:r>
          </w:p>
        </w:tc>
        <w:tc>
          <w:tcPr>
            <w:tcW w:w="4320" w:type="dxa"/>
          </w:tcPr>
          <w:p w14:paraId="1427721E" w14:textId="77777777" w:rsidR="008C45D6" w:rsidRDefault="00000000">
            <w:r>
              <w:t>Science</w:t>
            </w:r>
          </w:p>
        </w:tc>
      </w:tr>
      <w:tr w:rsidR="008C45D6" w14:paraId="5A34AFA2" w14:textId="77777777">
        <w:tc>
          <w:tcPr>
            <w:tcW w:w="4320" w:type="dxa"/>
          </w:tcPr>
          <w:p w14:paraId="01CB73CE" w14:textId="77777777" w:rsidR="008C45D6" w:rsidRDefault="00000000">
            <w:r>
              <w:rPr>
                <w:rFonts w:ascii="仿宋" w:eastAsia="仿宋" w:hAnsi="仿宋"/>
              </w:rPr>
              <w:t>用户问题</w:t>
            </w:r>
          </w:p>
        </w:tc>
        <w:tc>
          <w:tcPr>
            <w:tcW w:w="4320" w:type="dxa"/>
          </w:tcPr>
          <w:p w14:paraId="7526526A" w14:textId="77777777" w:rsidR="008C45D6" w:rsidRDefault="00000000">
            <w:r>
              <w:t>How truthful is the statement that "Pyridostatin reduces proliferation of homologous recombination - defective cells."? Present a series of factual points about the statement.</w:t>
            </w:r>
          </w:p>
        </w:tc>
      </w:tr>
      <w:tr w:rsidR="008C45D6" w14:paraId="4F7C6963" w14:textId="77777777">
        <w:tc>
          <w:tcPr>
            <w:tcW w:w="4320" w:type="dxa"/>
          </w:tcPr>
          <w:p w14:paraId="3242C5D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ABFFAD" w14:textId="55BE12B4" w:rsidR="008C45D6" w:rsidRPr="00ED0775" w:rsidRDefault="00ED0775">
            <w:pPr>
              <w:rPr>
                <w:rFonts w:eastAsia="宋体"/>
                <w:lang w:eastAsia="zh-CN"/>
              </w:rPr>
            </w:pPr>
            <w:r>
              <w:rPr>
                <w:rFonts w:eastAsia="宋体"/>
                <w:lang w:eastAsia="zh-CN"/>
              </w:rPr>
              <w:t>3</w:t>
            </w:r>
            <w:r>
              <w:rPr>
                <w:rFonts w:eastAsia="宋体" w:hint="eastAsia"/>
                <w:lang w:eastAsia="zh-CN"/>
              </w:rPr>
              <w:t>,</w:t>
            </w:r>
            <w:r>
              <w:rPr>
                <w:rFonts w:eastAsia="宋体"/>
                <w:lang w:eastAsia="zh-CN"/>
              </w:rPr>
              <w:t>4,2</w:t>
            </w:r>
          </w:p>
        </w:tc>
      </w:tr>
      <w:tr w:rsidR="008C45D6" w14:paraId="650B8B4D" w14:textId="77777777">
        <w:tc>
          <w:tcPr>
            <w:tcW w:w="4320" w:type="dxa"/>
          </w:tcPr>
          <w:p w14:paraId="72E3D720" w14:textId="77777777" w:rsidR="008C45D6" w:rsidRDefault="00000000">
            <w:r>
              <w:rPr>
                <w:rFonts w:ascii="仿宋" w:eastAsia="仿宋" w:hAnsi="仿宋"/>
              </w:rPr>
              <w:t>模型回复</w:t>
            </w:r>
          </w:p>
        </w:tc>
        <w:tc>
          <w:tcPr>
            <w:tcW w:w="4320" w:type="dxa"/>
          </w:tcPr>
          <w:p w14:paraId="29C0D080" w14:textId="77777777" w:rsidR="008C45D6" w:rsidRDefault="00000000">
            <w:r>
              <w:t>1. Pyridostatin is a compound that has been studied for its potential anti-cancer properties and has shown some promise in inhibiting the growth of cancer cells.</w:t>
            </w:r>
            <w:r>
              <w:br/>
              <w:t>2. Homologous recombination (HR) is a DNA repair pathway that is crucial for maintaining genomic stability and is often disrupted in cancer cells. HR-defective cells have impaired ability to repair DNA damage, and this can contribute to increased genomic instability and tumor progression.</w:t>
            </w:r>
            <w:r>
              <w:br/>
              <w:t>3. Several studies have investigated the effect of pyridostatin on HR-defective cells, particularly in the context of cancer. These studies have found that pyridostatin can reduce the proliferation of HR-defective cancer cells.</w:t>
            </w:r>
            <w:r>
              <w:br/>
              <w:t xml:space="preserve">4. A study published in the journal "Cell Chemical Biology" in 2016 demonstrated that pyridostatin specifically targets and </w:t>
            </w:r>
            <w:r>
              <w:lastRenderedPageBreak/>
              <w:t>inhibits the growth of HR-deficient cancer cells. They showed that pyridostatin induced DNA damage in HR-defective cells, leading to cell cycle arrest and decreased cell viability.</w:t>
            </w:r>
            <w:r>
              <w:br/>
              <w:t>5. Another study published in the journal "ACS Medicinal Chemistry Letters" in 2018 showed that pyridostatin acts as a potent inhibitor of HR in cancer cell lines with HR deficiency, leading to decreased cell proliferation and increased sensitivity to DNA-damaging agents.</w:t>
            </w:r>
            <w:r>
              <w:br/>
              <w:t>6. It should be noted that while these studies provide evidence supporting the statement, more research is needed to fully understand the mechanisms of pyridostatin's action on HR-defective cells and to validate its effectiveness in different cancer types.</w:t>
            </w:r>
            <w:r>
              <w:br/>
              <w:t>7. Pyridostatin may have potential therapeutic implications in cancers with HR defects, such as BRCA1/2-mutated cancers, where HR is already compromised. However, its efficacy and safety need to be established through further preclinical and clinical studies.</w:t>
            </w:r>
            <w:r>
              <w:br/>
              <w:t>In summary, the statement that "Pyridostatin reduces proliferation of homologous recombination-defective cells" is supported by several studies that have shown pyridostatin's ability to inhibit the growth of HR-defective cancer cells. Nevertheless, additional research is required to fully understand the underlying mechanisms and validate its potential as a therapeutic agent.</w:t>
            </w:r>
          </w:p>
        </w:tc>
      </w:tr>
      <w:tr w:rsidR="008C45D6" w14:paraId="4441AA05" w14:textId="77777777">
        <w:tc>
          <w:tcPr>
            <w:tcW w:w="4320" w:type="dxa"/>
          </w:tcPr>
          <w:p w14:paraId="06EBE9C9"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746B36" w14:textId="77E06CA9" w:rsidR="008C45D6" w:rsidRPr="00ED0775" w:rsidRDefault="00ED0775">
            <w:pPr>
              <w:rPr>
                <w:rFonts w:eastAsia="宋体"/>
                <w:lang w:eastAsia="zh-CN"/>
              </w:rPr>
            </w:pPr>
            <w:r>
              <w:rPr>
                <w:rFonts w:eastAsia="宋体" w:hint="eastAsia"/>
                <w:lang w:eastAsia="zh-CN"/>
              </w:rPr>
              <w:t>1</w:t>
            </w:r>
          </w:p>
        </w:tc>
      </w:tr>
      <w:tr w:rsidR="008C45D6" w14:paraId="46D3FDDE" w14:textId="77777777">
        <w:tc>
          <w:tcPr>
            <w:tcW w:w="4320" w:type="dxa"/>
          </w:tcPr>
          <w:p w14:paraId="26244C86" w14:textId="77777777" w:rsidR="008C45D6" w:rsidRDefault="00000000">
            <w:r>
              <w:rPr>
                <w:rFonts w:ascii="仿宋" w:eastAsia="仿宋" w:hAnsi="仿宋"/>
              </w:rPr>
              <w:t>提取的事实</w:t>
            </w:r>
          </w:p>
        </w:tc>
        <w:tc>
          <w:tcPr>
            <w:tcW w:w="4320" w:type="dxa"/>
          </w:tcPr>
          <w:p w14:paraId="599867D3" w14:textId="77777777" w:rsidR="008C45D6" w:rsidRDefault="00000000">
            <w:r>
              <w:t>1. Pyridostatin is a compound that has potential anti-cancer properties.</w:t>
            </w:r>
            <w:r>
              <w:br/>
              <w:t>2. Homologous recombination (HR) is a DNA repair pathway that is often disrupted in cancer cells.</w:t>
            </w:r>
            <w:r>
              <w:br/>
              <w:t>3. Pyridostatin has exhibited the ability to reduce the proliferation of HR-defective cancer cells.</w:t>
            </w:r>
            <w:r>
              <w:br/>
              <w:t>4. A study in "Cell Chemical Biology" in 2016 reported that pyridostatin inhibits the growth of HR-deficient cancer cells.</w:t>
            </w:r>
            <w:r>
              <w:br/>
              <w:t xml:space="preserve">5. Another study in "ACS Medicinal Chemistry Letters" in </w:t>
            </w:r>
            <w:r>
              <w:lastRenderedPageBreak/>
              <w:t>2018 reported that pyridostatin inhibits HR in HR-deficient cancer cell lines.</w:t>
            </w:r>
          </w:p>
        </w:tc>
      </w:tr>
      <w:tr w:rsidR="008C45D6" w14:paraId="33D36470" w14:textId="77777777">
        <w:tc>
          <w:tcPr>
            <w:tcW w:w="4320" w:type="dxa"/>
          </w:tcPr>
          <w:p w14:paraId="4DBEFCEC"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F9CA51" w14:textId="497D79B0" w:rsidR="008C45D6" w:rsidRPr="00ED0775" w:rsidRDefault="00ED0775">
            <w:pPr>
              <w:rPr>
                <w:rFonts w:eastAsia="宋体"/>
                <w:lang w:eastAsia="zh-CN"/>
              </w:rPr>
            </w:pPr>
            <w:r>
              <w:rPr>
                <w:rFonts w:eastAsia="宋体" w:hint="eastAsia"/>
                <w:lang w:eastAsia="zh-CN"/>
              </w:rPr>
              <w:t>1</w:t>
            </w:r>
            <w:r>
              <w:rPr>
                <w:rFonts w:eastAsia="宋体"/>
                <w:lang w:eastAsia="zh-CN"/>
              </w:rPr>
              <w:t>,1,1,</w:t>
            </w:r>
            <w:r w:rsidR="00F60318">
              <w:rPr>
                <w:rFonts w:eastAsia="宋体"/>
                <w:lang w:eastAsia="zh-CN"/>
              </w:rPr>
              <w:t>7</w:t>
            </w:r>
            <w:r>
              <w:rPr>
                <w:rFonts w:eastAsia="宋体"/>
                <w:lang w:eastAsia="zh-CN"/>
              </w:rPr>
              <w:t>,</w:t>
            </w:r>
            <w:r w:rsidR="00F60318">
              <w:rPr>
                <w:rFonts w:eastAsia="宋体"/>
                <w:lang w:eastAsia="zh-CN"/>
              </w:rPr>
              <w:t>7</w:t>
            </w:r>
          </w:p>
        </w:tc>
      </w:tr>
    </w:tbl>
    <w:p w14:paraId="4FC0DC7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8C45D6" w14:paraId="2F137DAD" w14:textId="77777777">
        <w:tc>
          <w:tcPr>
            <w:tcW w:w="4320" w:type="dxa"/>
          </w:tcPr>
          <w:p w14:paraId="34D617B9" w14:textId="77777777" w:rsidR="008C45D6" w:rsidRDefault="00000000">
            <w:r>
              <w:t>ID</w:t>
            </w:r>
          </w:p>
        </w:tc>
        <w:tc>
          <w:tcPr>
            <w:tcW w:w="10080" w:type="dxa"/>
          </w:tcPr>
          <w:p w14:paraId="1458D5EC" w14:textId="77777777" w:rsidR="008C45D6" w:rsidRDefault="00000000">
            <w:r>
              <w:t>578(40)</w:t>
            </w:r>
          </w:p>
        </w:tc>
      </w:tr>
      <w:tr w:rsidR="008C45D6" w14:paraId="15E695AE" w14:textId="77777777">
        <w:tc>
          <w:tcPr>
            <w:tcW w:w="4320" w:type="dxa"/>
          </w:tcPr>
          <w:p w14:paraId="19C91F81" w14:textId="77777777" w:rsidR="008C45D6" w:rsidRDefault="00000000">
            <w:r>
              <w:rPr>
                <w:rFonts w:ascii="仿宋" w:eastAsia="仿宋" w:hAnsi="仿宋"/>
              </w:rPr>
              <w:t>领域</w:t>
            </w:r>
          </w:p>
        </w:tc>
        <w:tc>
          <w:tcPr>
            <w:tcW w:w="4320" w:type="dxa"/>
          </w:tcPr>
          <w:p w14:paraId="53CA608B" w14:textId="77777777" w:rsidR="008C45D6" w:rsidRDefault="00000000">
            <w:r>
              <w:t>Science</w:t>
            </w:r>
          </w:p>
        </w:tc>
      </w:tr>
      <w:tr w:rsidR="008C45D6" w14:paraId="7EF9E726" w14:textId="77777777">
        <w:tc>
          <w:tcPr>
            <w:tcW w:w="4320" w:type="dxa"/>
          </w:tcPr>
          <w:p w14:paraId="4A08FE3D" w14:textId="77777777" w:rsidR="008C45D6" w:rsidRDefault="00000000">
            <w:r>
              <w:rPr>
                <w:rFonts w:ascii="仿宋" w:eastAsia="仿宋" w:hAnsi="仿宋"/>
              </w:rPr>
              <w:t>用户问题</w:t>
            </w:r>
          </w:p>
        </w:tc>
        <w:tc>
          <w:tcPr>
            <w:tcW w:w="4320" w:type="dxa"/>
          </w:tcPr>
          <w:p w14:paraId="560E55AE" w14:textId="77777777" w:rsidR="008C45D6" w:rsidRDefault="00000000">
            <w:r>
              <w:t>Can you clarify whether the claim "RAD52 is involved in break-induced DNA replication (BIR)." is accurate or not? Build factual arguments about the claim.</w:t>
            </w:r>
          </w:p>
        </w:tc>
      </w:tr>
      <w:tr w:rsidR="008C45D6" w14:paraId="3B9F3DA7" w14:textId="77777777">
        <w:tc>
          <w:tcPr>
            <w:tcW w:w="4320" w:type="dxa"/>
          </w:tcPr>
          <w:p w14:paraId="54258F1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EE7F87" w14:textId="41A41CAA" w:rsidR="008C45D6" w:rsidRPr="00ED0775" w:rsidRDefault="00ED0775">
            <w:pPr>
              <w:rPr>
                <w:rFonts w:eastAsia="宋体"/>
                <w:lang w:eastAsia="zh-CN"/>
              </w:rPr>
            </w:pPr>
            <w:r>
              <w:rPr>
                <w:rFonts w:eastAsia="宋体" w:hint="eastAsia"/>
                <w:lang w:eastAsia="zh-CN"/>
              </w:rPr>
              <w:t>3</w:t>
            </w:r>
            <w:r>
              <w:rPr>
                <w:rFonts w:eastAsia="宋体"/>
                <w:lang w:eastAsia="zh-CN"/>
              </w:rPr>
              <w:t>,2,3</w:t>
            </w:r>
          </w:p>
        </w:tc>
      </w:tr>
      <w:tr w:rsidR="008C45D6" w14:paraId="092C02A2" w14:textId="77777777">
        <w:tc>
          <w:tcPr>
            <w:tcW w:w="4320" w:type="dxa"/>
          </w:tcPr>
          <w:p w14:paraId="670D00D0" w14:textId="77777777" w:rsidR="008C45D6" w:rsidRDefault="00000000">
            <w:r>
              <w:rPr>
                <w:rFonts w:ascii="仿宋" w:eastAsia="仿宋" w:hAnsi="仿宋"/>
              </w:rPr>
              <w:t>模型回复</w:t>
            </w:r>
          </w:p>
        </w:tc>
        <w:tc>
          <w:tcPr>
            <w:tcW w:w="4320" w:type="dxa"/>
          </w:tcPr>
          <w:p w14:paraId="78E520E6" w14:textId="77777777" w:rsidR="008C45D6" w:rsidRDefault="00000000">
            <w:r>
              <w:t>The claim that "RAD52 is involved in break-induced DNA replication (BIR)" is accurate. Here are some factual arguments supporting this claim:</w:t>
            </w:r>
            <w:r>
              <w:br/>
              <w:t>1. Molecular role: RAD52 is a well-known recombinase involved in DNA repair, particularly in homologous recombination (HR) repair pathway. BIR is a form of HR repair that occurs when a DNA double-strand break (DSB) is repaired using a homologous DNA sequence present on only one side of the DSB. RAD52 plays a crucial role in the strand invasion step of HR, making it essential for BIR.</w:t>
            </w:r>
            <w:r>
              <w:br/>
              <w:t xml:space="preserve">2. Experimental evidence: Numerous studies have shown the involvement of RAD52 in BIR. For example, research conducted by Sugawara and colleagues (2003) in yeast demonstrated that RAD52 is required for both the initiation and elongation steps of BIR. They showed that RAD52 </w:t>
            </w:r>
            <w:r>
              <w:lastRenderedPageBreak/>
              <w:t>mutants were unable to perform BIR effectively, leading to increased chromosomal rearrangements.</w:t>
            </w:r>
            <w:r>
              <w:br/>
              <w:t>3. Genetic interactions: Genetic studies have revealed interactions between RAD52 and other factors known to be involved in BIR. For instance, various studies in yeast have found that mutations in genes encoding BLM, MRE11, and RAD50 (involved in early steps of BIR) lead to increased dependency on RAD52 for BIR initiation, highlighting the relationship between these proteins and the importance of RAD52 in BIR.</w:t>
            </w:r>
            <w:r>
              <w:br/>
              <w:t>4. Evolutionary conservation: RAD52 and its role in BIR have also been observed in other organisms, indicating its conservation throughout evolution. Studies conducted in bacteria and mammals have identified RAD52 homologs that function in BIR. This suggests that the involvement of RAD52 in BIR is a conserved mechanism for efficient DNA repair across different species.</w:t>
            </w:r>
            <w:r>
              <w:br/>
              <w:t>Overall, the claim that "RAD52 is involved in break-induced DNA replication (BIR)" is supported by experimental evidence, genetic interactions, and evolutionary conservation. RAD52's role in strand invasion during HR repair makes it essential for BIR, and its involvement has been observed in various organisms.</w:t>
            </w:r>
          </w:p>
        </w:tc>
      </w:tr>
      <w:tr w:rsidR="008C45D6" w14:paraId="6FB55319" w14:textId="77777777">
        <w:tc>
          <w:tcPr>
            <w:tcW w:w="4320" w:type="dxa"/>
          </w:tcPr>
          <w:p w14:paraId="786DA3B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2DA8E6" w14:textId="4FEC7EEC" w:rsidR="008C45D6" w:rsidRPr="00ED0775" w:rsidRDefault="00ED0775">
            <w:pPr>
              <w:rPr>
                <w:rFonts w:eastAsia="宋体"/>
                <w:lang w:eastAsia="zh-CN"/>
              </w:rPr>
            </w:pPr>
            <w:r>
              <w:rPr>
                <w:rFonts w:eastAsia="宋体" w:hint="eastAsia"/>
                <w:lang w:eastAsia="zh-CN"/>
              </w:rPr>
              <w:t>1</w:t>
            </w:r>
          </w:p>
        </w:tc>
      </w:tr>
      <w:tr w:rsidR="008C45D6" w14:paraId="07C95149" w14:textId="77777777">
        <w:tc>
          <w:tcPr>
            <w:tcW w:w="4320" w:type="dxa"/>
          </w:tcPr>
          <w:p w14:paraId="1A41D43B" w14:textId="77777777" w:rsidR="008C45D6" w:rsidRDefault="00000000">
            <w:r>
              <w:rPr>
                <w:rFonts w:ascii="仿宋" w:eastAsia="仿宋" w:hAnsi="仿宋"/>
              </w:rPr>
              <w:t>提取的事实</w:t>
            </w:r>
          </w:p>
        </w:tc>
        <w:tc>
          <w:tcPr>
            <w:tcW w:w="4320" w:type="dxa"/>
          </w:tcPr>
          <w:p w14:paraId="6A778F82" w14:textId="77777777" w:rsidR="008C45D6" w:rsidRDefault="00000000">
            <w:r>
              <w:t>1. RAD52 is a recombinase involved in DNA repair, specifically in the homologous recombination (HR) repair pathway.</w:t>
            </w:r>
            <w:r>
              <w:br/>
              <w:t>2. Break-induced DNA replication (BIR) is a form of HR repair that occurs when a DNA double-strand break (DSB) is repaired using a homologous DNA sequence present on only one side of the DSB.</w:t>
            </w:r>
            <w:r>
              <w:br/>
              <w:t>3. Studies in yeast have shown mutations in genes encoding BLM, MRE11, and RAD50 lead to an increased dependency on RAD52 for BIR initiation.</w:t>
            </w:r>
            <w:r>
              <w:br/>
              <w:t>4. RAD52 and its role in BIR have been identified in other organisms, including bacteria and mammals.</w:t>
            </w:r>
            <w:r>
              <w:br/>
            </w:r>
            <w:r>
              <w:lastRenderedPageBreak/>
              <w:t>5. Research, as supported by Sugawara and colleagues (2003), shows RAD52 is necessary for both the initiation and elongation steps of BIR.</w:t>
            </w:r>
          </w:p>
        </w:tc>
      </w:tr>
      <w:tr w:rsidR="008C45D6" w14:paraId="051674E0" w14:textId="77777777">
        <w:tc>
          <w:tcPr>
            <w:tcW w:w="4320" w:type="dxa"/>
          </w:tcPr>
          <w:p w14:paraId="514015F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968FC6" w14:textId="1595D0F4" w:rsidR="008C45D6" w:rsidRPr="00ED0775" w:rsidRDefault="00ED0775">
            <w:pPr>
              <w:rPr>
                <w:rFonts w:eastAsia="宋体"/>
                <w:lang w:eastAsia="zh-CN"/>
              </w:rPr>
            </w:pPr>
            <w:r>
              <w:rPr>
                <w:rFonts w:eastAsia="宋体" w:hint="eastAsia"/>
                <w:lang w:eastAsia="zh-CN"/>
              </w:rPr>
              <w:t>1</w:t>
            </w:r>
            <w:r>
              <w:rPr>
                <w:rFonts w:eastAsia="宋体"/>
                <w:lang w:eastAsia="zh-CN"/>
              </w:rPr>
              <w:t>,1,1,7,1</w:t>
            </w:r>
          </w:p>
        </w:tc>
      </w:tr>
    </w:tbl>
    <w:p w14:paraId="498E75F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6CB86B57" w14:textId="77777777">
        <w:tc>
          <w:tcPr>
            <w:tcW w:w="4320" w:type="dxa"/>
          </w:tcPr>
          <w:p w14:paraId="79504E3B" w14:textId="77777777" w:rsidR="008C45D6" w:rsidRDefault="00000000">
            <w:r>
              <w:t>ID</w:t>
            </w:r>
          </w:p>
        </w:tc>
        <w:tc>
          <w:tcPr>
            <w:tcW w:w="10080" w:type="dxa"/>
          </w:tcPr>
          <w:p w14:paraId="18D634E8" w14:textId="77777777" w:rsidR="008C45D6" w:rsidRDefault="00000000">
            <w:r>
              <w:t>581(41)</w:t>
            </w:r>
          </w:p>
        </w:tc>
      </w:tr>
      <w:tr w:rsidR="008C45D6" w14:paraId="64638061" w14:textId="77777777">
        <w:tc>
          <w:tcPr>
            <w:tcW w:w="4320" w:type="dxa"/>
          </w:tcPr>
          <w:p w14:paraId="79FAD83F" w14:textId="77777777" w:rsidR="008C45D6" w:rsidRDefault="00000000">
            <w:r>
              <w:rPr>
                <w:rFonts w:ascii="仿宋" w:eastAsia="仿宋" w:hAnsi="仿宋"/>
              </w:rPr>
              <w:t>领域</w:t>
            </w:r>
          </w:p>
        </w:tc>
        <w:tc>
          <w:tcPr>
            <w:tcW w:w="4320" w:type="dxa"/>
          </w:tcPr>
          <w:p w14:paraId="2746DB9B" w14:textId="77777777" w:rsidR="008C45D6" w:rsidRDefault="00000000">
            <w:r>
              <w:t>Science</w:t>
            </w:r>
          </w:p>
        </w:tc>
      </w:tr>
      <w:tr w:rsidR="008C45D6" w14:paraId="6995BD42" w14:textId="77777777">
        <w:tc>
          <w:tcPr>
            <w:tcW w:w="4320" w:type="dxa"/>
          </w:tcPr>
          <w:p w14:paraId="5840F67C" w14:textId="77777777" w:rsidR="008C45D6" w:rsidRDefault="00000000">
            <w:r>
              <w:rPr>
                <w:rFonts w:ascii="仿宋" w:eastAsia="仿宋" w:hAnsi="仿宋"/>
              </w:rPr>
              <w:t>用户问题</w:t>
            </w:r>
          </w:p>
        </w:tc>
        <w:tc>
          <w:tcPr>
            <w:tcW w:w="4320" w:type="dxa"/>
          </w:tcPr>
          <w:p w14:paraId="4F3CC671" w14:textId="77777777" w:rsidR="008C45D6" w:rsidRDefault="00000000">
            <w:r>
              <w:t>Do you agree with the claim that "RTEL1 interacts with TRF2 through a C4C4 motif"? Provide factual statements about the claim.</w:t>
            </w:r>
          </w:p>
        </w:tc>
      </w:tr>
      <w:tr w:rsidR="008C45D6" w14:paraId="633E8F49" w14:textId="77777777">
        <w:tc>
          <w:tcPr>
            <w:tcW w:w="4320" w:type="dxa"/>
          </w:tcPr>
          <w:p w14:paraId="308A6F8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4A298" w14:textId="7AAC38FF" w:rsidR="008C45D6" w:rsidRPr="00ED0775" w:rsidRDefault="00ED0775">
            <w:pPr>
              <w:rPr>
                <w:rFonts w:eastAsia="宋体"/>
                <w:lang w:eastAsia="zh-CN"/>
              </w:rPr>
            </w:pPr>
            <w:r>
              <w:rPr>
                <w:rFonts w:eastAsia="宋体" w:hint="eastAsia"/>
                <w:lang w:eastAsia="zh-CN"/>
              </w:rPr>
              <w:t>4</w:t>
            </w:r>
            <w:r>
              <w:rPr>
                <w:rFonts w:eastAsia="宋体"/>
                <w:lang w:eastAsia="zh-CN"/>
              </w:rPr>
              <w:t>,2,3</w:t>
            </w:r>
          </w:p>
        </w:tc>
      </w:tr>
      <w:tr w:rsidR="008C45D6" w14:paraId="3262F1B7" w14:textId="77777777">
        <w:tc>
          <w:tcPr>
            <w:tcW w:w="4320" w:type="dxa"/>
          </w:tcPr>
          <w:p w14:paraId="720BDD33" w14:textId="77777777" w:rsidR="008C45D6" w:rsidRDefault="00000000">
            <w:r>
              <w:rPr>
                <w:rFonts w:ascii="仿宋" w:eastAsia="仿宋" w:hAnsi="仿宋"/>
              </w:rPr>
              <w:t>模型回复</w:t>
            </w:r>
          </w:p>
        </w:tc>
        <w:tc>
          <w:tcPr>
            <w:tcW w:w="4320" w:type="dxa"/>
          </w:tcPr>
          <w:p w14:paraId="4C31ED21" w14:textId="77777777" w:rsidR="008C45D6" w:rsidRDefault="00000000">
            <w:r>
              <w:t>Based on the given claim, it states that RTEL1 interacts with TRF2 through a C4C4 motif. To determine the accuracy of this claim, we need to examine factual statements about RTEL1, TRF2, and their interactions:</w:t>
            </w:r>
            <w:r>
              <w:br/>
              <w:t>1. RTEL1 (Regulator of telomere elongation helicase 1) is a DNA helicase involved in the regulation of telomere maintenance and genome stability.</w:t>
            </w:r>
            <w:r>
              <w:br/>
              <w:t>2. TRF2 (Telomeric repeat-binding factor 2) is a protein that binds to telomeric DNA and plays a crucial role in protecting chromosome ends.</w:t>
            </w:r>
            <w:r>
              <w:br/>
              <w:t>3. Numerous studies have shown that RTEL1 and TRF2 interact physically, indicating a functional relationship between the two.</w:t>
            </w:r>
            <w:r>
              <w:br/>
              <w:t xml:space="preserve">4. Some studies suggest that RTEL1's interaction with TRF2 is mediated through a C4C4 motif, specifically located in the </w:t>
            </w:r>
            <w:r>
              <w:lastRenderedPageBreak/>
              <w:t>OB-fold domain of RTEL1.</w:t>
            </w:r>
            <w:r>
              <w:br/>
              <w:t>5. The C4C4 motif is involved in protein-protein interactions and is known to play a role in TRF2 binding for other proteins.</w:t>
            </w:r>
            <w:r>
              <w:br/>
              <w:t>Based on these factual statements, it can be concluded that the claim stating "RTEL1 interacts with TRF2 through a C4C4 motif" is supported by evidence from scientific studies. However, it is important to note that the understanding of molecular interactions is complex and can evolve as new research emerges.</w:t>
            </w:r>
          </w:p>
        </w:tc>
      </w:tr>
      <w:tr w:rsidR="008C45D6" w14:paraId="56E3369E" w14:textId="77777777">
        <w:tc>
          <w:tcPr>
            <w:tcW w:w="4320" w:type="dxa"/>
          </w:tcPr>
          <w:p w14:paraId="18DFD47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DE5E085" w14:textId="3C13961C" w:rsidR="008C45D6" w:rsidRPr="00ED0775" w:rsidRDefault="00ED0775">
            <w:pPr>
              <w:rPr>
                <w:rFonts w:eastAsia="宋体"/>
                <w:lang w:eastAsia="zh-CN"/>
              </w:rPr>
            </w:pPr>
            <w:r>
              <w:rPr>
                <w:rFonts w:eastAsia="宋体" w:hint="eastAsia"/>
                <w:lang w:eastAsia="zh-CN"/>
              </w:rPr>
              <w:t>1</w:t>
            </w:r>
          </w:p>
        </w:tc>
      </w:tr>
      <w:tr w:rsidR="008C45D6" w14:paraId="757CBB83" w14:textId="77777777">
        <w:tc>
          <w:tcPr>
            <w:tcW w:w="4320" w:type="dxa"/>
          </w:tcPr>
          <w:p w14:paraId="65B31F3E" w14:textId="77777777" w:rsidR="008C45D6" w:rsidRDefault="00000000">
            <w:r>
              <w:rPr>
                <w:rFonts w:ascii="仿宋" w:eastAsia="仿宋" w:hAnsi="仿宋"/>
              </w:rPr>
              <w:t>提取的事实</w:t>
            </w:r>
          </w:p>
        </w:tc>
        <w:tc>
          <w:tcPr>
            <w:tcW w:w="4320" w:type="dxa"/>
          </w:tcPr>
          <w:p w14:paraId="23C2712E" w14:textId="77777777" w:rsidR="008C45D6" w:rsidRDefault="00000000">
            <w:r>
              <w:t>1. RTEL1, also known as Regulator of telomere elongation helicase 1, is a DNA helicase that helps regulate telomere maintenance and genome stability.</w:t>
            </w:r>
            <w:r>
              <w:br/>
              <w:t>2. TRF2 or Telomeric repeat-binding factor 2 is a protein that binds to telomeric DNA and is essential in protecting the ends of chromosomes.</w:t>
            </w:r>
            <w:r>
              <w:br/>
              <w:t>3. Various studies have indicated a functional relationship between RTEL1 and TRF2 through their physical interaction.</w:t>
            </w:r>
            <w:r>
              <w:br/>
              <w:t>4. There is scientific evidence suggesting that RTEL1 interacts with TRF2 through a C4C4 motif, which is located in the OB-fold domain of RTEL1.</w:t>
            </w:r>
            <w:r>
              <w:br/>
              <w:t>5. The C4C4 motif plays a role in protein-protein interactions and has been associated with TRF2 binding for other proteins.</w:t>
            </w:r>
          </w:p>
        </w:tc>
      </w:tr>
      <w:tr w:rsidR="008C45D6" w14:paraId="400F51F6" w14:textId="77777777">
        <w:tc>
          <w:tcPr>
            <w:tcW w:w="4320" w:type="dxa"/>
          </w:tcPr>
          <w:p w14:paraId="4D328D92"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6DF2FB" w14:textId="1693B39F" w:rsidR="008C45D6" w:rsidRPr="00ED0775" w:rsidRDefault="00ED0775">
            <w:pPr>
              <w:rPr>
                <w:rFonts w:eastAsia="宋体"/>
                <w:lang w:eastAsia="zh-CN"/>
              </w:rPr>
            </w:pPr>
            <w:r>
              <w:rPr>
                <w:rFonts w:eastAsia="宋体" w:hint="eastAsia"/>
                <w:lang w:eastAsia="zh-CN"/>
              </w:rPr>
              <w:t>1</w:t>
            </w:r>
            <w:r>
              <w:rPr>
                <w:rFonts w:eastAsia="宋体"/>
                <w:lang w:eastAsia="zh-CN"/>
              </w:rPr>
              <w:t>,1,</w:t>
            </w:r>
            <w:r w:rsidR="008A3B6F">
              <w:rPr>
                <w:rFonts w:eastAsia="宋体"/>
                <w:lang w:eastAsia="zh-CN"/>
              </w:rPr>
              <w:t>1</w:t>
            </w:r>
            <w:r>
              <w:rPr>
                <w:rFonts w:eastAsia="宋体"/>
                <w:lang w:eastAsia="zh-CN"/>
              </w:rPr>
              <w:t>,</w:t>
            </w:r>
            <w:r w:rsidR="008A3B6F">
              <w:rPr>
                <w:rFonts w:eastAsia="宋体"/>
                <w:lang w:eastAsia="zh-CN"/>
              </w:rPr>
              <w:t>7</w:t>
            </w:r>
            <w:r>
              <w:rPr>
                <w:rFonts w:eastAsia="宋体"/>
                <w:lang w:eastAsia="zh-CN"/>
              </w:rPr>
              <w:t>,</w:t>
            </w:r>
            <w:r w:rsidR="008A3B6F">
              <w:rPr>
                <w:rFonts w:eastAsia="宋体"/>
                <w:lang w:eastAsia="zh-CN"/>
              </w:rPr>
              <w:t>7</w:t>
            </w:r>
          </w:p>
        </w:tc>
      </w:tr>
    </w:tbl>
    <w:p w14:paraId="26C82ED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2"/>
        <w:gridCol w:w="6058"/>
      </w:tblGrid>
      <w:tr w:rsidR="008C45D6" w14:paraId="1C62D56E" w14:textId="77777777">
        <w:tc>
          <w:tcPr>
            <w:tcW w:w="4320" w:type="dxa"/>
          </w:tcPr>
          <w:p w14:paraId="68BA048F" w14:textId="77777777" w:rsidR="008C45D6" w:rsidRDefault="00000000">
            <w:r>
              <w:lastRenderedPageBreak/>
              <w:t>ID</w:t>
            </w:r>
          </w:p>
        </w:tc>
        <w:tc>
          <w:tcPr>
            <w:tcW w:w="10080" w:type="dxa"/>
          </w:tcPr>
          <w:p w14:paraId="434DD7F6" w14:textId="77777777" w:rsidR="008C45D6" w:rsidRDefault="00000000">
            <w:r>
              <w:t>585(42)</w:t>
            </w:r>
          </w:p>
        </w:tc>
      </w:tr>
      <w:tr w:rsidR="008C45D6" w14:paraId="63D5375A" w14:textId="77777777">
        <w:tc>
          <w:tcPr>
            <w:tcW w:w="4320" w:type="dxa"/>
          </w:tcPr>
          <w:p w14:paraId="16A2A75E" w14:textId="77777777" w:rsidR="008C45D6" w:rsidRDefault="00000000">
            <w:r>
              <w:rPr>
                <w:rFonts w:ascii="仿宋" w:eastAsia="仿宋" w:hAnsi="仿宋"/>
              </w:rPr>
              <w:t>领域</w:t>
            </w:r>
          </w:p>
        </w:tc>
        <w:tc>
          <w:tcPr>
            <w:tcW w:w="4320" w:type="dxa"/>
          </w:tcPr>
          <w:p w14:paraId="78FB82C8" w14:textId="77777777" w:rsidR="008C45D6" w:rsidRDefault="00000000">
            <w:r>
              <w:t>Science</w:t>
            </w:r>
          </w:p>
        </w:tc>
      </w:tr>
      <w:tr w:rsidR="008C45D6" w14:paraId="48904FF4" w14:textId="77777777">
        <w:tc>
          <w:tcPr>
            <w:tcW w:w="4320" w:type="dxa"/>
          </w:tcPr>
          <w:p w14:paraId="05B96BEA" w14:textId="77777777" w:rsidR="008C45D6" w:rsidRDefault="00000000">
            <w:r>
              <w:rPr>
                <w:rFonts w:ascii="仿宋" w:eastAsia="仿宋" w:hAnsi="仿宋"/>
              </w:rPr>
              <w:t>用户问题</w:t>
            </w:r>
          </w:p>
        </w:tc>
        <w:tc>
          <w:tcPr>
            <w:tcW w:w="4320" w:type="dxa"/>
          </w:tcPr>
          <w:p w14:paraId="356D98EB" w14:textId="77777777" w:rsidR="008C45D6" w:rsidRDefault="00000000">
            <w:r>
              <w:t>Consider the following statement: "Rapamycin delays aging in fruit flies." Is it right? Present fact-based arguments about the statement.</w:t>
            </w:r>
          </w:p>
        </w:tc>
      </w:tr>
      <w:tr w:rsidR="008C45D6" w14:paraId="02870BE8" w14:textId="77777777">
        <w:tc>
          <w:tcPr>
            <w:tcW w:w="4320" w:type="dxa"/>
          </w:tcPr>
          <w:p w14:paraId="635822A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36206F" w14:textId="71B7ED19" w:rsidR="008C45D6" w:rsidRPr="00ED0775" w:rsidRDefault="00ED0775">
            <w:pPr>
              <w:rPr>
                <w:rFonts w:eastAsia="宋体"/>
                <w:lang w:eastAsia="zh-CN"/>
              </w:rPr>
            </w:pPr>
            <w:r>
              <w:rPr>
                <w:rFonts w:eastAsia="宋体" w:hint="eastAsia"/>
                <w:lang w:eastAsia="zh-CN"/>
              </w:rPr>
              <w:t>3</w:t>
            </w:r>
            <w:r>
              <w:rPr>
                <w:rFonts w:eastAsia="宋体"/>
                <w:lang w:eastAsia="zh-CN"/>
              </w:rPr>
              <w:t>,4,4</w:t>
            </w:r>
          </w:p>
        </w:tc>
      </w:tr>
      <w:tr w:rsidR="008C45D6" w14:paraId="53BFB36C" w14:textId="77777777">
        <w:tc>
          <w:tcPr>
            <w:tcW w:w="4320" w:type="dxa"/>
          </w:tcPr>
          <w:p w14:paraId="11E084FF" w14:textId="77777777" w:rsidR="008C45D6" w:rsidRDefault="00000000">
            <w:r>
              <w:rPr>
                <w:rFonts w:ascii="仿宋" w:eastAsia="仿宋" w:hAnsi="仿宋"/>
              </w:rPr>
              <w:t>模型回复</w:t>
            </w:r>
          </w:p>
        </w:tc>
        <w:tc>
          <w:tcPr>
            <w:tcW w:w="4320" w:type="dxa"/>
          </w:tcPr>
          <w:p w14:paraId="6D5AE994" w14:textId="77777777" w:rsidR="008C45D6" w:rsidRDefault="00000000">
            <w:r>
              <w:t>The statement "Rapamycin delays aging in fruit flies" is factually correct. Numerous studies have shown that rapamycin, a drug originally used as an immunosuppressant in organ transplant patients, has the ability to extend the lifespan and delay the aging process in various model organisms, including fruit flies.</w:t>
            </w:r>
            <w:r>
              <w:br/>
              <w:t>Several scientific studies have identified rapamycin as a potent lifespan-extending drug in fruit flies. For example, one study published in the journal Nature in 2009 demonstrated that treatment with rapamycin significantly increased the average and maximum lifespan of fruit flies. This effect was observed in both male and female flies, indicating a robust and universal impact on aging.</w:t>
            </w:r>
            <w:r>
              <w:br/>
              <w:t>Another research study published in the journal Cell Reports in 2014 further supported the finding that rapamycin administration extended the lifespan of fruit flies. The study also revealed that rapamycin improved various age-related physiological defects, such as heart function and mobility, which further reinforces the idea that rapamycin delays aging.</w:t>
            </w:r>
            <w:r>
              <w:br/>
              <w:t>Additionally, rapamycin's ability to delay aging is not limited to fruit flies alone. Multiple studies have shown similar effects in other model organisms, including yeast, worms, and mice. These findings suggest that rapamycin's anti-aging effects are conserved across species and may potentially apply to humans as well.</w:t>
            </w:r>
            <w:r>
              <w:br/>
              <w:t xml:space="preserve">However, it is important to note that although rapamycin has demonstrated promising results in various model organisms, its effects on human aging are still under investigation. Clinical trials are ongoing to determine its safety and efficacy </w:t>
            </w:r>
            <w:r>
              <w:lastRenderedPageBreak/>
              <w:t>in humans for age-related conditions. Nonetheless, the statement remains accurate in the context of fruit flies, as scientific evidence supports the claim that rapamycin delays aging in these insects.</w:t>
            </w:r>
          </w:p>
        </w:tc>
      </w:tr>
      <w:tr w:rsidR="008C45D6" w14:paraId="48330903" w14:textId="77777777">
        <w:tc>
          <w:tcPr>
            <w:tcW w:w="4320" w:type="dxa"/>
          </w:tcPr>
          <w:p w14:paraId="7C531C5C"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73E55E" w14:textId="380FDD61" w:rsidR="008C45D6" w:rsidRPr="00ED0775" w:rsidRDefault="00ED0775">
            <w:pPr>
              <w:rPr>
                <w:rFonts w:eastAsia="宋体"/>
                <w:lang w:eastAsia="zh-CN"/>
              </w:rPr>
            </w:pPr>
            <w:r>
              <w:rPr>
                <w:rFonts w:eastAsia="宋体" w:hint="eastAsia"/>
                <w:lang w:eastAsia="zh-CN"/>
              </w:rPr>
              <w:t>1</w:t>
            </w:r>
          </w:p>
        </w:tc>
      </w:tr>
      <w:tr w:rsidR="008C45D6" w14:paraId="1E1547A9" w14:textId="77777777">
        <w:tc>
          <w:tcPr>
            <w:tcW w:w="4320" w:type="dxa"/>
          </w:tcPr>
          <w:p w14:paraId="68ED84F7" w14:textId="77777777" w:rsidR="008C45D6" w:rsidRDefault="00000000">
            <w:r>
              <w:rPr>
                <w:rFonts w:ascii="仿宋" w:eastAsia="仿宋" w:hAnsi="仿宋"/>
              </w:rPr>
              <w:t>提取的事实</w:t>
            </w:r>
          </w:p>
        </w:tc>
        <w:tc>
          <w:tcPr>
            <w:tcW w:w="4320" w:type="dxa"/>
          </w:tcPr>
          <w:p w14:paraId="7B12DF81" w14:textId="77777777" w:rsidR="008C45D6" w:rsidRDefault="00000000">
            <w:r>
              <w:t>1. Rapamycin is a drug originally used as an immunosuppressant in organ transplant patients.</w:t>
            </w:r>
            <w:r>
              <w:br/>
              <w:t>2. Studies have shown that rapamycin can extend the lifespan and delay the aging process in various model organisms, including fruit flies.</w:t>
            </w:r>
            <w:r>
              <w:br/>
              <w:t>3. A study published in the journal Nature in 2009 revealed that rapamycin significantly increased the lifespan of fruit flies.</w:t>
            </w:r>
            <w:r>
              <w:br/>
              <w:t>4. A 2014 study published in the journal Cell Reports showed that rapamycin administration extended the lifespan and improved age-related physiological defects in fruit flies.</w:t>
            </w:r>
            <w:r>
              <w:br/>
              <w:t>5. Rapamycin's anti-aging effects have been observed not only in fruit flies, but also in yeast, worms, and mice.</w:t>
            </w:r>
          </w:p>
        </w:tc>
      </w:tr>
      <w:tr w:rsidR="008C45D6" w14:paraId="291F9F87" w14:textId="77777777">
        <w:tc>
          <w:tcPr>
            <w:tcW w:w="4320" w:type="dxa"/>
          </w:tcPr>
          <w:p w14:paraId="316AD22C"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A0DA92A" w14:textId="3EFD4065" w:rsidR="008C45D6" w:rsidRPr="00ED0775" w:rsidRDefault="003A2373">
            <w:pPr>
              <w:rPr>
                <w:rFonts w:eastAsia="宋体"/>
                <w:lang w:eastAsia="zh-CN"/>
              </w:rPr>
            </w:pPr>
            <w:r>
              <w:rPr>
                <w:rFonts w:eastAsia="宋体"/>
                <w:lang w:eastAsia="zh-CN"/>
              </w:rPr>
              <w:t>1</w:t>
            </w:r>
            <w:r w:rsidR="00ED0775">
              <w:rPr>
                <w:rFonts w:eastAsia="宋体"/>
                <w:lang w:eastAsia="zh-CN"/>
              </w:rPr>
              <w:t>,1,</w:t>
            </w:r>
            <w:r>
              <w:rPr>
                <w:rFonts w:eastAsia="宋体"/>
                <w:lang w:eastAsia="zh-CN"/>
              </w:rPr>
              <w:t>3</w:t>
            </w:r>
            <w:r w:rsidR="00ED0775">
              <w:rPr>
                <w:rFonts w:eastAsia="宋体"/>
                <w:lang w:eastAsia="zh-CN"/>
              </w:rPr>
              <w:t>,</w:t>
            </w:r>
            <w:r>
              <w:rPr>
                <w:rFonts w:eastAsia="宋体"/>
                <w:lang w:eastAsia="zh-CN"/>
              </w:rPr>
              <w:t>3</w:t>
            </w:r>
            <w:r w:rsidR="00ED0775">
              <w:rPr>
                <w:rFonts w:eastAsia="宋体"/>
                <w:lang w:eastAsia="zh-CN"/>
              </w:rPr>
              <w:t>,1</w:t>
            </w:r>
          </w:p>
        </w:tc>
      </w:tr>
    </w:tbl>
    <w:p w14:paraId="3D37CDC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88"/>
        <w:gridCol w:w="6042"/>
      </w:tblGrid>
      <w:tr w:rsidR="008C45D6" w14:paraId="72F4B7A3" w14:textId="77777777">
        <w:tc>
          <w:tcPr>
            <w:tcW w:w="4320" w:type="dxa"/>
          </w:tcPr>
          <w:p w14:paraId="20DDBC3C" w14:textId="77777777" w:rsidR="008C45D6" w:rsidRDefault="00000000">
            <w:r>
              <w:t>ID</w:t>
            </w:r>
          </w:p>
        </w:tc>
        <w:tc>
          <w:tcPr>
            <w:tcW w:w="10080" w:type="dxa"/>
          </w:tcPr>
          <w:p w14:paraId="758B1014" w14:textId="77777777" w:rsidR="008C45D6" w:rsidRDefault="00000000">
            <w:r>
              <w:t>590(43)</w:t>
            </w:r>
          </w:p>
        </w:tc>
      </w:tr>
      <w:tr w:rsidR="008C45D6" w14:paraId="4C70B23A" w14:textId="77777777">
        <w:tc>
          <w:tcPr>
            <w:tcW w:w="4320" w:type="dxa"/>
          </w:tcPr>
          <w:p w14:paraId="3135E978" w14:textId="77777777" w:rsidR="008C45D6" w:rsidRDefault="00000000">
            <w:r>
              <w:rPr>
                <w:rFonts w:ascii="仿宋" w:eastAsia="仿宋" w:hAnsi="仿宋"/>
              </w:rPr>
              <w:t>领域</w:t>
            </w:r>
          </w:p>
        </w:tc>
        <w:tc>
          <w:tcPr>
            <w:tcW w:w="4320" w:type="dxa"/>
          </w:tcPr>
          <w:p w14:paraId="7C4A60CE" w14:textId="77777777" w:rsidR="008C45D6" w:rsidRDefault="00000000">
            <w:r>
              <w:t>Science</w:t>
            </w:r>
          </w:p>
        </w:tc>
      </w:tr>
      <w:tr w:rsidR="008C45D6" w14:paraId="22E53420" w14:textId="77777777">
        <w:tc>
          <w:tcPr>
            <w:tcW w:w="4320" w:type="dxa"/>
          </w:tcPr>
          <w:p w14:paraId="1A722A6C" w14:textId="77777777" w:rsidR="008C45D6" w:rsidRDefault="00000000">
            <w:r>
              <w:rPr>
                <w:rFonts w:ascii="仿宋" w:eastAsia="仿宋" w:hAnsi="仿宋"/>
              </w:rPr>
              <w:t>用户问题</w:t>
            </w:r>
          </w:p>
        </w:tc>
        <w:tc>
          <w:tcPr>
            <w:tcW w:w="4320" w:type="dxa"/>
          </w:tcPr>
          <w:p w14:paraId="28D2326C" w14:textId="77777777" w:rsidR="008C45D6" w:rsidRDefault="00000000">
            <w:r>
              <w:t>Consider the following statement: "Reduced phosphorylation of PP2A increases HDAC4 dephosphorylation by enhancing PP2A-HDAC4 interaction." Is it right? Present fact-based arguments about the statement.</w:t>
            </w:r>
          </w:p>
        </w:tc>
      </w:tr>
      <w:tr w:rsidR="008C45D6" w14:paraId="3F6375CF" w14:textId="77777777">
        <w:tc>
          <w:tcPr>
            <w:tcW w:w="4320" w:type="dxa"/>
          </w:tcPr>
          <w:p w14:paraId="4E0D6FC3" w14:textId="77777777" w:rsidR="008C45D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857842" w14:textId="41D0812F" w:rsidR="008C45D6" w:rsidRPr="007B6716" w:rsidRDefault="007B6716">
            <w:pPr>
              <w:rPr>
                <w:rFonts w:eastAsia="宋体"/>
                <w:lang w:eastAsia="zh-CN"/>
              </w:rPr>
            </w:pPr>
            <w:r>
              <w:rPr>
                <w:rFonts w:eastAsia="宋体"/>
                <w:lang w:eastAsia="zh-CN"/>
              </w:rPr>
              <w:t>3,2,3</w:t>
            </w:r>
          </w:p>
        </w:tc>
      </w:tr>
      <w:tr w:rsidR="008C45D6" w14:paraId="1242CB0C" w14:textId="77777777">
        <w:tc>
          <w:tcPr>
            <w:tcW w:w="4320" w:type="dxa"/>
          </w:tcPr>
          <w:p w14:paraId="65AB6D86" w14:textId="77777777" w:rsidR="008C45D6" w:rsidRDefault="00000000">
            <w:r>
              <w:rPr>
                <w:rFonts w:ascii="仿宋" w:eastAsia="仿宋" w:hAnsi="仿宋"/>
              </w:rPr>
              <w:t>模型回复</w:t>
            </w:r>
          </w:p>
        </w:tc>
        <w:tc>
          <w:tcPr>
            <w:tcW w:w="4320" w:type="dxa"/>
          </w:tcPr>
          <w:p w14:paraId="7C959A06" w14:textId="77777777" w:rsidR="008C45D6" w:rsidRDefault="00000000">
            <w:r>
              <w:t>The statement is not entirely accurate. While it is true that decreased phosphorylation of PP2A can contribute to increased dephosphorylation of HDAC4, it does not occur through enhancing the PP2A-HDAC4 interaction.</w:t>
            </w:r>
            <w:r>
              <w:br/>
              <w:t>1. PP2A and HDAC4: PP2A (Protein Phosphatase 2A) is an enzyme involved in dephosphorylation, while HDAC4 (Histone Deacetylase 4) is a protein involved in gene regulation. HDAC4 undergoes phosphorylation to become inactive, and its dephosphorylation triggers its nuclear translocation and subsequent gene regulation.</w:t>
            </w:r>
            <w:r>
              <w:br/>
              <w:t>2. Role of PP2A: Reduced phosphorylation of PP2A can increase its activity, leading to enhanced dephosphorylation of HDAC4. PP2A dephosphorylates HDAC4 at specific sites, rendering it active and allowing it to perform its gene regulatory function.</w:t>
            </w:r>
            <w:r>
              <w:br/>
              <w:t>3. PP2A-HDAC4 interaction: The statement incorrectly suggests that reducing PP2A phosphorylation directly enhances the PP2A-HDAC4 interaction. The interaction between PP2A and HDAC4 primarily occurs due to their physical association within the cell, rather than being influenced by the phosphorylation status of PP2A. Moreover, the phosphorylation of HDAC4, not PP2A, influences their interaction.</w:t>
            </w:r>
            <w:r>
              <w:br/>
              <w:t>In summary, while reduced phosphorylation of PP2A can increase the dephosphorylation of HDAC4, it does so by enhancing PP2A activity, not the PP2A-HDAC4 interaction. Furthermore, the interaction between PP2A and HDAC4 is primarily determined by their physical association rather than being regulated by PP2A's phosphorylation status.</w:t>
            </w:r>
          </w:p>
        </w:tc>
      </w:tr>
      <w:tr w:rsidR="008C45D6" w14:paraId="7E84AB4F" w14:textId="77777777">
        <w:tc>
          <w:tcPr>
            <w:tcW w:w="4320" w:type="dxa"/>
          </w:tcPr>
          <w:p w14:paraId="2774505F"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3C0B27" w14:textId="76F8CC53" w:rsidR="008C45D6" w:rsidRPr="007B6716" w:rsidRDefault="007B6716">
            <w:pPr>
              <w:rPr>
                <w:rFonts w:eastAsia="宋体"/>
                <w:lang w:eastAsia="zh-CN"/>
              </w:rPr>
            </w:pPr>
            <w:r>
              <w:rPr>
                <w:rFonts w:eastAsia="宋体" w:hint="eastAsia"/>
                <w:lang w:eastAsia="zh-CN"/>
              </w:rPr>
              <w:t>1</w:t>
            </w:r>
          </w:p>
        </w:tc>
      </w:tr>
      <w:tr w:rsidR="008C45D6" w14:paraId="7B1230F8" w14:textId="77777777">
        <w:tc>
          <w:tcPr>
            <w:tcW w:w="4320" w:type="dxa"/>
          </w:tcPr>
          <w:p w14:paraId="42ACF53A" w14:textId="77777777" w:rsidR="008C45D6" w:rsidRDefault="00000000">
            <w:r>
              <w:rPr>
                <w:rFonts w:ascii="仿宋" w:eastAsia="仿宋" w:hAnsi="仿宋"/>
              </w:rPr>
              <w:t>提取的事实</w:t>
            </w:r>
          </w:p>
        </w:tc>
        <w:tc>
          <w:tcPr>
            <w:tcW w:w="4320" w:type="dxa"/>
          </w:tcPr>
          <w:p w14:paraId="004891E8" w14:textId="77777777" w:rsidR="008C45D6" w:rsidRDefault="00000000">
            <w:r>
              <w:t>1. PP2A (Protein Phosphatase 2A) is an enzyme involved in dephosphorylation.</w:t>
            </w:r>
            <w:r>
              <w:br/>
            </w:r>
            <w:r>
              <w:lastRenderedPageBreak/>
              <w:t>2. HDAC4 (Histone Deacetylase 4) is a protein involved in gene regulation.</w:t>
            </w:r>
            <w:r>
              <w:br/>
              <w:t>3. Reduced phosphorylation of PP2A can lead to increased dephosphorylation of HDAC4.</w:t>
            </w:r>
            <w:r>
              <w:br/>
              <w:t>4. The interaction between PP2A and HDAC4 is influenced by their physical association rather than the phosphorylation status of PP2A.</w:t>
            </w:r>
            <w:r>
              <w:br/>
              <w:t>5. The phosphorylation status of HDAC4, not PP2A, is pivotal in determining the interaction between the two.</w:t>
            </w:r>
          </w:p>
        </w:tc>
      </w:tr>
      <w:tr w:rsidR="008C45D6" w14:paraId="69E75B7A" w14:textId="77777777">
        <w:tc>
          <w:tcPr>
            <w:tcW w:w="4320" w:type="dxa"/>
          </w:tcPr>
          <w:p w14:paraId="03ED8313"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CA1DD5" w14:textId="02C5D016" w:rsidR="008C45D6" w:rsidRPr="007B6716" w:rsidRDefault="007B6716">
            <w:pPr>
              <w:rPr>
                <w:rFonts w:eastAsia="宋体"/>
                <w:lang w:eastAsia="zh-CN"/>
              </w:rPr>
            </w:pPr>
            <w:r>
              <w:rPr>
                <w:rFonts w:eastAsia="宋体" w:hint="eastAsia"/>
                <w:lang w:eastAsia="zh-CN"/>
              </w:rPr>
              <w:t>1</w:t>
            </w:r>
            <w:r>
              <w:rPr>
                <w:rFonts w:eastAsia="宋体"/>
                <w:lang w:eastAsia="zh-CN"/>
              </w:rPr>
              <w:t>,1,3,7,6</w:t>
            </w:r>
          </w:p>
        </w:tc>
      </w:tr>
    </w:tbl>
    <w:p w14:paraId="6BAD551F"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8C45D6" w14:paraId="5EDE5A8B" w14:textId="77777777">
        <w:tc>
          <w:tcPr>
            <w:tcW w:w="4320" w:type="dxa"/>
          </w:tcPr>
          <w:p w14:paraId="73A7857D" w14:textId="77777777" w:rsidR="008C45D6" w:rsidRDefault="00000000">
            <w:r>
              <w:t>ID</w:t>
            </w:r>
          </w:p>
        </w:tc>
        <w:tc>
          <w:tcPr>
            <w:tcW w:w="10080" w:type="dxa"/>
          </w:tcPr>
          <w:p w14:paraId="7CB8F6BB" w14:textId="77777777" w:rsidR="008C45D6" w:rsidRDefault="00000000">
            <w:r>
              <w:t>594(44)</w:t>
            </w:r>
          </w:p>
        </w:tc>
      </w:tr>
      <w:tr w:rsidR="008C45D6" w14:paraId="63B7D838" w14:textId="77777777">
        <w:tc>
          <w:tcPr>
            <w:tcW w:w="4320" w:type="dxa"/>
          </w:tcPr>
          <w:p w14:paraId="13447505" w14:textId="77777777" w:rsidR="008C45D6" w:rsidRDefault="00000000">
            <w:r>
              <w:rPr>
                <w:rFonts w:ascii="仿宋" w:eastAsia="仿宋" w:hAnsi="仿宋"/>
              </w:rPr>
              <w:t>领域</w:t>
            </w:r>
          </w:p>
        </w:tc>
        <w:tc>
          <w:tcPr>
            <w:tcW w:w="4320" w:type="dxa"/>
          </w:tcPr>
          <w:p w14:paraId="4449F138" w14:textId="77777777" w:rsidR="008C45D6" w:rsidRDefault="00000000">
            <w:r>
              <w:t>Science</w:t>
            </w:r>
          </w:p>
        </w:tc>
      </w:tr>
      <w:tr w:rsidR="008C45D6" w14:paraId="491C6ECD" w14:textId="77777777">
        <w:tc>
          <w:tcPr>
            <w:tcW w:w="4320" w:type="dxa"/>
          </w:tcPr>
          <w:p w14:paraId="1EEEC53F" w14:textId="77777777" w:rsidR="008C45D6" w:rsidRDefault="00000000">
            <w:r>
              <w:rPr>
                <w:rFonts w:ascii="仿宋" w:eastAsia="仿宋" w:hAnsi="仿宋"/>
              </w:rPr>
              <w:t>用户问题</w:t>
            </w:r>
          </w:p>
        </w:tc>
        <w:tc>
          <w:tcPr>
            <w:tcW w:w="4320" w:type="dxa"/>
          </w:tcPr>
          <w:p w14:paraId="4911C0C0" w14:textId="77777777" w:rsidR="008C45D6" w:rsidRDefault="00000000">
            <w:r>
              <w:t>How truthful is the statement that "Reduction of Rpl38 alters the composition of the Hox gene mRNAs translation in mice without lowering overall protein synthesis."? Present a series of factual points about the statement.</w:t>
            </w:r>
          </w:p>
        </w:tc>
      </w:tr>
      <w:tr w:rsidR="008C45D6" w14:paraId="6961AAB5" w14:textId="77777777">
        <w:tc>
          <w:tcPr>
            <w:tcW w:w="4320" w:type="dxa"/>
          </w:tcPr>
          <w:p w14:paraId="62D37B4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2D0D3C" w14:textId="403AA8C2" w:rsidR="008C45D6" w:rsidRPr="007B6716" w:rsidRDefault="007B6716">
            <w:pPr>
              <w:rPr>
                <w:rFonts w:eastAsia="宋体"/>
                <w:lang w:eastAsia="zh-CN"/>
              </w:rPr>
            </w:pPr>
            <w:r>
              <w:rPr>
                <w:rFonts w:eastAsia="宋体" w:hint="eastAsia"/>
                <w:lang w:eastAsia="zh-CN"/>
              </w:rPr>
              <w:t>2</w:t>
            </w:r>
            <w:r>
              <w:rPr>
                <w:rFonts w:eastAsia="宋体"/>
                <w:lang w:eastAsia="zh-CN"/>
              </w:rPr>
              <w:t>,3,3</w:t>
            </w:r>
          </w:p>
        </w:tc>
      </w:tr>
      <w:tr w:rsidR="008C45D6" w14:paraId="742A6D58" w14:textId="77777777">
        <w:tc>
          <w:tcPr>
            <w:tcW w:w="4320" w:type="dxa"/>
          </w:tcPr>
          <w:p w14:paraId="62DEE1E1" w14:textId="77777777" w:rsidR="008C45D6" w:rsidRDefault="00000000">
            <w:r>
              <w:rPr>
                <w:rFonts w:ascii="仿宋" w:eastAsia="仿宋" w:hAnsi="仿宋"/>
              </w:rPr>
              <w:t>模型回复</w:t>
            </w:r>
          </w:p>
        </w:tc>
        <w:tc>
          <w:tcPr>
            <w:tcW w:w="4320" w:type="dxa"/>
          </w:tcPr>
          <w:p w14:paraId="1B8C65CF" w14:textId="77777777" w:rsidR="008C45D6" w:rsidRDefault="00000000">
            <w:r>
              <w:t>1. The statement refers to the reduction of Rpl38, which is a specific protein in mice. This reduction can potentially have an impact on the regulation of protein synthesis.</w:t>
            </w:r>
            <w:r>
              <w:br/>
              <w:t>2. Rpl38 is a component of the ribosome, which is responsible for translating mRNA into proteins. Altering the composition of ribosomal proteins can influence the translation process.</w:t>
            </w:r>
            <w:r>
              <w:br/>
            </w:r>
            <w:r>
              <w:lastRenderedPageBreak/>
              <w:t>3. The Hox genes are a group of genes involved in development and body patterning in animals, including mice. They play a crucial role in determining the identity and positioning of body segments during embryonic development.</w:t>
            </w:r>
            <w:r>
              <w:br/>
              <w:t>4. The statement suggests that reducing Rpl38 levels alters the translation of Hox gene mRNAs. This means that the proteins produced from the Hox genes may be affected.</w:t>
            </w:r>
            <w:r>
              <w:br/>
              <w:t>5. The alteration of Hox gene mRNA translation may cause changes in the expression levels or activity of the resulting proteins, potentially leading to developmental consequences or alterations in body patterning.</w:t>
            </w:r>
            <w:r>
              <w:br/>
              <w:t>6. Despite the mentioned alteration in Hox gene mRNA translation, the statement claims that overall protein synthesis is not lowered. This suggests that while there may be changes specific to Hox genes, other genes and proteins are still being synthesized at normal levels.</w:t>
            </w:r>
            <w:r>
              <w:br/>
              <w:t>7. The specific mechanisms by which the reduction of Rpl38 results in altered Hox gene mRNA translation are not provided in the statement. Additional research and experimentation would be necessary to understand the exact processes involved.</w:t>
            </w:r>
            <w:r>
              <w:br/>
              <w:t>8. While the statement refers to mice, it is important to note that this finding might be specific to mice and may not apply directly to other organisms or even other strains or types of mice.</w:t>
            </w:r>
            <w:r>
              <w:br/>
              <w:t>9. The credibility and reliability of the statement depend on its source, the study from which it originates, and the evidence and data provided to support the claim.</w:t>
            </w:r>
          </w:p>
        </w:tc>
      </w:tr>
      <w:tr w:rsidR="008C45D6" w14:paraId="14C5ADCA" w14:textId="77777777">
        <w:tc>
          <w:tcPr>
            <w:tcW w:w="4320" w:type="dxa"/>
          </w:tcPr>
          <w:p w14:paraId="1AB1BD2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B3836D" w14:textId="2568F91D" w:rsidR="008C45D6" w:rsidRPr="007B6716" w:rsidRDefault="007B6716">
            <w:pPr>
              <w:rPr>
                <w:rFonts w:eastAsia="宋体"/>
                <w:lang w:eastAsia="zh-CN"/>
              </w:rPr>
            </w:pPr>
            <w:r>
              <w:rPr>
                <w:rFonts w:eastAsia="宋体" w:hint="eastAsia"/>
                <w:lang w:eastAsia="zh-CN"/>
              </w:rPr>
              <w:t>1</w:t>
            </w:r>
          </w:p>
        </w:tc>
      </w:tr>
      <w:tr w:rsidR="008C45D6" w14:paraId="524E8914" w14:textId="77777777">
        <w:tc>
          <w:tcPr>
            <w:tcW w:w="4320" w:type="dxa"/>
          </w:tcPr>
          <w:p w14:paraId="7EA8D2E7" w14:textId="77777777" w:rsidR="008C45D6" w:rsidRDefault="00000000">
            <w:r>
              <w:rPr>
                <w:rFonts w:ascii="仿宋" w:eastAsia="仿宋" w:hAnsi="仿宋"/>
              </w:rPr>
              <w:t>提取的事实</w:t>
            </w:r>
          </w:p>
        </w:tc>
        <w:tc>
          <w:tcPr>
            <w:tcW w:w="4320" w:type="dxa"/>
          </w:tcPr>
          <w:p w14:paraId="2DAFF4C9" w14:textId="77777777" w:rsidR="008C45D6" w:rsidRDefault="00000000">
            <w:r>
              <w:t>1. Rpl38 is a protein specifically found in mice.</w:t>
            </w:r>
            <w:r>
              <w:br/>
              <w:t>2. The ribosome, which includes the Rpl38 protein, is responsible for translating mRNA into proteins.</w:t>
            </w:r>
            <w:r>
              <w:br/>
              <w:t>3. The Hox genes are a group of genes that play a crucial role in the development and body patterning in animals, including mice.</w:t>
            </w:r>
            <w:r>
              <w:br/>
            </w:r>
            <w:r>
              <w:lastRenderedPageBreak/>
              <w:t>4. The reduction of Rpl38 levels could potentially alter the translation of Hox gene mRNAs, affecting the proteins produced from these genes.</w:t>
            </w:r>
            <w:r>
              <w:br/>
              <w:t>5. Despite possible changes to Hox genes, the claim suggests that overall protein synthesis is not lowered in the event of a reduction in Rpl38 levels.</w:t>
            </w:r>
          </w:p>
        </w:tc>
      </w:tr>
      <w:tr w:rsidR="008C45D6" w14:paraId="0EE3765F" w14:textId="77777777">
        <w:tc>
          <w:tcPr>
            <w:tcW w:w="4320" w:type="dxa"/>
          </w:tcPr>
          <w:p w14:paraId="29ED97BD"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E2EE7A" w14:textId="00396A71" w:rsidR="008C45D6" w:rsidRPr="007B6716" w:rsidRDefault="007B6716">
            <w:pPr>
              <w:rPr>
                <w:rFonts w:eastAsia="宋体"/>
                <w:lang w:eastAsia="zh-CN"/>
              </w:rPr>
            </w:pPr>
            <w:r>
              <w:rPr>
                <w:rFonts w:eastAsia="宋体" w:hint="eastAsia"/>
                <w:lang w:eastAsia="zh-CN"/>
              </w:rPr>
              <w:t>2</w:t>
            </w:r>
            <w:r>
              <w:rPr>
                <w:rFonts w:eastAsia="宋体"/>
                <w:lang w:eastAsia="zh-CN"/>
              </w:rPr>
              <w:t>,1,1,7,7</w:t>
            </w:r>
          </w:p>
        </w:tc>
      </w:tr>
    </w:tbl>
    <w:p w14:paraId="4740C8E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8C45D6" w14:paraId="1EA09BC1" w14:textId="77777777">
        <w:tc>
          <w:tcPr>
            <w:tcW w:w="4320" w:type="dxa"/>
          </w:tcPr>
          <w:p w14:paraId="1B67BD61" w14:textId="77777777" w:rsidR="008C45D6" w:rsidRDefault="00000000">
            <w:r>
              <w:t>ID</w:t>
            </w:r>
          </w:p>
        </w:tc>
        <w:tc>
          <w:tcPr>
            <w:tcW w:w="10080" w:type="dxa"/>
          </w:tcPr>
          <w:p w14:paraId="75D8F0F3" w14:textId="77777777" w:rsidR="008C45D6" w:rsidRDefault="00000000">
            <w:r>
              <w:t>601(45)</w:t>
            </w:r>
          </w:p>
        </w:tc>
      </w:tr>
      <w:tr w:rsidR="008C45D6" w14:paraId="3772AB73" w14:textId="77777777">
        <w:tc>
          <w:tcPr>
            <w:tcW w:w="4320" w:type="dxa"/>
          </w:tcPr>
          <w:p w14:paraId="12841029" w14:textId="77777777" w:rsidR="008C45D6" w:rsidRDefault="00000000">
            <w:r>
              <w:rPr>
                <w:rFonts w:ascii="仿宋" w:eastAsia="仿宋" w:hAnsi="仿宋"/>
              </w:rPr>
              <w:t>领域</w:t>
            </w:r>
          </w:p>
        </w:tc>
        <w:tc>
          <w:tcPr>
            <w:tcW w:w="4320" w:type="dxa"/>
          </w:tcPr>
          <w:p w14:paraId="6F6CAE96" w14:textId="77777777" w:rsidR="008C45D6" w:rsidRDefault="00000000">
            <w:r>
              <w:t>Science</w:t>
            </w:r>
          </w:p>
        </w:tc>
      </w:tr>
      <w:tr w:rsidR="008C45D6" w14:paraId="07943AC7" w14:textId="77777777">
        <w:tc>
          <w:tcPr>
            <w:tcW w:w="4320" w:type="dxa"/>
          </w:tcPr>
          <w:p w14:paraId="45283777" w14:textId="77777777" w:rsidR="008C45D6" w:rsidRDefault="00000000">
            <w:r>
              <w:rPr>
                <w:rFonts w:ascii="仿宋" w:eastAsia="仿宋" w:hAnsi="仿宋"/>
              </w:rPr>
              <w:t>用户问题</w:t>
            </w:r>
          </w:p>
        </w:tc>
        <w:tc>
          <w:tcPr>
            <w:tcW w:w="4320" w:type="dxa"/>
          </w:tcPr>
          <w:p w14:paraId="32E49E28" w14:textId="77777777" w:rsidR="008C45D6" w:rsidRDefault="00000000">
            <w:r>
              <w:t>Do you agree with the claim that "Replacement of OCT4 and SOX2 genes with GATA3 is not capable of reprogramming human cells."? Provide factual statements about the claim.</w:t>
            </w:r>
          </w:p>
        </w:tc>
      </w:tr>
      <w:tr w:rsidR="008C45D6" w14:paraId="0ACAA1BA" w14:textId="77777777">
        <w:tc>
          <w:tcPr>
            <w:tcW w:w="4320" w:type="dxa"/>
          </w:tcPr>
          <w:p w14:paraId="5C9F9A6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F2CDB6" w14:textId="410AD6FA" w:rsidR="008C45D6" w:rsidRPr="007B6716" w:rsidRDefault="007B6716">
            <w:pPr>
              <w:rPr>
                <w:rFonts w:eastAsia="宋体"/>
                <w:lang w:eastAsia="zh-CN"/>
              </w:rPr>
            </w:pPr>
            <w:r>
              <w:rPr>
                <w:rFonts w:eastAsia="宋体"/>
                <w:lang w:eastAsia="zh-CN"/>
              </w:rPr>
              <w:t>2,2,3</w:t>
            </w:r>
          </w:p>
        </w:tc>
      </w:tr>
      <w:tr w:rsidR="008C45D6" w14:paraId="6371481B" w14:textId="77777777">
        <w:tc>
          <w:tcPr>
            <w:tcW w:w="4320" w:type="dxa"/>
          </w:tcPr>
          <w:p w14:paraId="1AAB118C" w14:textId="77777777" w:rsidR="008C45D6" w:rsidRDefault="00000000">
            <w:r>
              <w:rPr>
                <w:rFonts w:ascii="仿宋" w:eastAsia="仿宋" w:hAnsi="仿宋"/>
              </w:rPr>
              <w:t>模型回复</w:t>
            </w:r>
          </w:p>
        </w:tc>
        <w:tc>
          <w:tcPr>
            <w:tcW w:w="4320" w:type="dxa"/>
          </w:tcPr>
          <w:p w14:paraId="2FCCEB72" w14:textId="77777777" w:rsidR="008C45D6" w:rsidRDefault="00000000">
            <w:r>
              <w:t>As an AI language model, I don't have personal opinions. However, I can provide factual information on the claim you mentioned.</w:t>
            </w:r>
            <w:r>
              <w:br/>
              <w:t>The statement that "Replacement of OCT4 and SOX2 genes with GATA3 is not capable of reprogramming human cells" is generally accurate based on current scientific knowledge. Here are factual statements to support this claim:</w:t>
            </w:r>
            <w:r>
              <w:br/>
              <w:t xml:space="preserve">1. Reprogramming: Reprogramming refers to the process of converting one type of cell into another type by altering its genetic makeup. In the context of human cells, reprogramming typically involves using specific transcription </w:t>
            </w:r>
            <w:r>
              <w:lastRenderedPageBreak/>
              <w:t>factors (such as OCT4 and SOX2) to induce pluripotency and generate induced pluripotent stem cells (iPSCs).</w:t>
            </w:r>
            <w:r>
              <w:br/>
              <w:t>2. OCT4 and SOX2: OCT4 and SOX2 are essential transcription factors involved in cellular reprogramming. They play a key role in maintaining pluripotency and self-renewal in embryonic stem cells (ESCs) and iPSCs. Their expression is crucial for successful reprogramming of somatic cells into pluripotent stem cells.</w:t>
            </w:r>
            <w:r>
              <w:br/>
              <w:t>3. GATA3: GATA3 is a different transcription factor that plays essential roles in the development and differentiation of several cell types, including T cells and various epithelial cells. However, GATA3 is not known to be involved in the reprogramming of somatic cells into pluripotent stem cells.</w:t>
            </w:r>
            <w:r>
              <w:br/>
              <w:t>4. Study on GATA3 replacement: There is currently no scientific evidence suggesting that replacing OCT4 and SOX2 genes with GATA3 alone is capable of reprogramming human cells into induced pluripotent stem cells. Researchers have extensively studied and identified OCT4 and SOX2 as the key factors for successful reprogramming.</w:t>
            </w:r>
            <w:r>
              <w:br/>
              <w:t>5. Redefining reprogramming factors: While OCT4 and SOX2 are vital, other factors have been identified as potential substitutes in certain cellular contexts. Researchers have successfully reprogrammed human cells using different combinations of pluripotency-associated transcription factors, including OCT4, SOX2, KLF4, and c-MYC. However, GATA3 has not been considered as a substitute for OCT4 or SOX2.</w:t>
            </w:r>
            <w:r>
              <w:br/>
              <w:t>It's important to note that scientific knowledge evolves over time, and new studies may potentially change the understanding of reprogramming factors. Nonetheless, based on the current information available, the claim that replacing OCT4 and SOX2 genes with GATA3 is not capable of reprogramming human cells is accurate.</w:t>
            </w:r>
          </w:p>
        </w:tc>
      </w:tr>
      <w:tr w:rsidR="008C45D6" w14:paraId="49A7DA3E" w14:textId="77777777">
        <w:tc>
          <w:tcPr>
            <w:tcW w:w="4320" w:type="dxa"/>
          </w:tcPr>
          <w:p w14:paraId="0BE82FE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820FDF" w14:textId="57E5FF99" w:rsidR="008C45D6" w:rsidRPr="007B6716" w:rsidRDefault="007B6716">
            <w:pPr>
              <w:rPr>
                <w:rFonts w:eastAsia="宋体"/>
                <w:lang w:eastAsia="zh-CN"/>
              </w:rPr>
            </w:pPr>
            <w:r>
              <w:rPr>
                <w:rFonts w:eastAsia="宋体" w:hint="eastAsia"/>
                <w:lang w:eastAsia="zh-CN"/>
              </w:rPr>
              <w:t>1</w:t>
            </w:r>
          </w:p>
        </w:tc>
      </w:tr>
      <w:tr w:rsidR="008C45D6" w14:paraId="7897EFED" w14:textId="77777777">
        <w:tc>
          <w:tcPr>
            <w:tcW w:w="4320" w:type="dxa"/>
          </w:tcPr>
          <w:p w14:paraId="476C5C82" w14:textId="77777777" w:rsidR="008C45D6" w:rsidRDefault="00000000">
            <w:r>
              <w:rPr>
                <w:rFonts w:ascii="仿宋" w:eastAsia="仿宋" w:hAnsi="仿宋"/>
              </w:rPr>
              <w:t>提取的事实</w:t>
            </w:r>
          </w:p>
        </w:tc>
        <w:tc>
          <w:tcPr>
            <w:tcW w:w="4320" w:type="dxa"/>
          </w:tcPr>
          <w:p w14:paraId="2325B4DB" w14:textId="77777777" w:rsidR="008C45D6" w:rsidRDefault="00000000">
            <w:r>
              <w:t xml:space="preserve">1. Reprogramming is the process of converting one type of cell into another type by altering its genetic makeup, often </w:t>
            </w:r>
            <w:r>
              <w:lastRenderedPageBreak/>
              <w:t>used to generate induced pluripotent stem cells.</w:t>
            </w:r>
            <w:r>
              <w:br/>
              <w:t>2. OCT4 and SOX2 are transcription factors essential for cellular reprogramming, playing vital roles in maintaining pluripotency and self-renewal in stem cells.</w:t>
            </w:r>
            <w:r>
              <w:br/>
              <w:t>3. GATA3 is a transcription factor that plays crucial roles in the development and differentiation of several cell types, but it is not involved in the reprogramming of cells into pluripotent stem cells.</w:t>
            </w:r>
            <w:r>
              <w:br/>
              <w:t>4. Current scientific studies do not suggest that GATA3 alone can replace OCT4 and SOX2 in reprogramming human cells.</w:t>
            </w:r>
            <w:r>
              <w:br/>
              <w:t>5. While OCT4 and SOX2 are essential, other factors like KLF4 and c-MYC have been successfully used in reprogramming cells, but GATA3 is not among these substitutes.</w:t>
            </w:r>
          </w:p>
        </w:tc>
      </w:tr>
      <w:tr w:rsidR="008C45D6" w14:paraId="0D116340" w14:textId="77777777">
        <w:tc>
          <w:tcPr>
            <w:tcW w:w="4320" w:type="dxa"/>
          </w:tcPr>
          <w:p w14:paraId="77DC440A"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2B3808" w14:textId="4B9749A3" w:rsidR="008C45D6" w:rsidRPr="007B6716" w:rsidRDefault="007B6716">
            <w:pPr>
              <w:rPr>
                <w:rFonts w:eastAsia="宋体"/>
                <w:lang w:eastAsia="zh-CN"/>
              </w:rPr>
            </w:pPr>
            <w:r>
              <w:rPr>
                <w:rFonts w:eastAsia="宋体" w:hint="eastAsia"/>
                <w:lang w:eastAsia="zh-CN"/>
              </w:rPr>
              <w:t>1</w:t>
            </w:r>
            <w:r>
              <w:rPr>
                <w:rFonts w:eastAsia="宋体"/>
                <w:lang w:eastAsia="zh-CN"/>
              </w:rPr>
              <w:t>,1,5,5,3</w:t>
            </w:r>
          </w:p>
        </w:tc>
      </w:tr>
    </w:tbl>
    <w:p w14:paraId="6F1947A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25E27420" w14:textId="77777777">
        <w:tc>
          <w:tcPr>
            <w:tcW w:w="4320" w:type="dxa"/>
          </w:tcPr>
          <w:p w14:paraId="37DE6407" w14:textId="77777777" w:rsidR="008C45D6" w:rsidRDefault="00000000">
            <w:r>
              <w:t>ID</w:t>
            </w:r>
          </w:p>
        </w:tc>
        <w:tc>
          <w:tcPr>
            <w:tcW w:w="10080" w:type="dxa"/>
          </w:tcPr>
          <w:p w14:paraId="69B02759" w14:textId="77777777" w:rsidR="008C45D6" w:rsidRDefault="00000000">
            <w:r>
              <w:t>608(46)</w:t>
            </w:r>
          </w:p>
        </w:tc>
      </w:tr>
      <w:tr w:rsidR="008C45D6" w14:paraId="6A5BB721" w14:textId="77777777">
        <w:tc>
          <w:tcPr>
            <w:tcW w:w="4320" w:type="dxa"/>
          </w:tcPr>
          <w:p w14:paraId="7B8DAD96" w14:textId="77777777" w:rsidR="008C45D6" w:rsidRDefault="00000000">
            <w:r>
              <w:rPr>
                <w:rFonts w:ascii="仿宋" w:eastAsia="仿宋" w:hAnsi="仿宋"/>
              </w:rPr>
              <w:t>领域</w:t>
            </w:r>
          </w:p>
        </w:tc>
        <w:tc>
          <w:tcPr>
            <w:tcW w:w="4320" w:type="dxa"/>
          </w:tcPr>
          <w:p w14:paraId="05495C04" w14:textId="77777777" w:rsidR="008C45D6" w:rsidRDefault="00000000">
            <w:r>
              <w:t>Science</w:t>
            </w:r>
          </w:p>
        </w:tc>
      </w:tr>
      <w:tr w:rsidR="008C45D6" w14:paraId="57744362" w14:textId="77777777">
        <w:tc>
          <w:tcPr>
            <w:tcW w:w="4320" w:type="dxa"/>
          </w:tcPr>
          <w:p w14:paraId="5B8D573C" w14:textId="77777777" w:rsidR="008C45D6" w:rsidRDefault="00000000">
            <w:r>
              <w:rPr>
                <w:rFonts w:ascii="仿宋" w:eastAsia="仿宋" w:hAnsi="仿宋"/>
              </w:rPr>
              <w:t>用户问题</w:t>
            </w:r>
          </w:p>
        </w:tc>
        <w:tc>
          <w:tcPr>
            <w:tcW w:w="4320" w:type="dxa"/>
          </w:tcPr>
          <w:p w14:paraId="5858885D" w14:textId="77777777" w:rsidR="008C45D6" w:rsidRDefault="00000000">
            <w:r>
              <w:t>Can you clarify whether the claim "Ribosome-inactivating protein-2 (RIP-2) interacts with the p75 NTR death domain" is accurate or not? Build factual arguments about the claim.</w:t>
            </w:r>
          </w:p>
        </w:tc>
      </w:tr>
      <w:tr w:rsidR="008C45D6" w14:paraId="46BD73C8" w14:textId="77777777">
        <w:tc>
          <w:tcPr>
            <w:tcW w:w="4320" w:type="dxa"/>
          </w:tcPr>
          <w:p w14:paraId="2249DA2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42AB97" w14:textId="75DE84A1" w:rsidR="008C45D6" w:rsidRPr="007B6716" w:rsidRDefault="007B6716">
            <w:pPr>
              <w:rPr>
                <w:rFonts w:eastAsia="宋体"/>
                <w:lang w:eastAsia="zh-CN"/>
              </w:rPr>
            </w:pPr>
            <w:r>
              <w:rPr>
                <w:rFonts w:eastAsia="宋体" w:hint="eastAsia"/>
                <w:lang w:eastAsia="zh-CN"/>
              </w:rPr>
              <w:t>3</w:t>
            </w:r>
            <w:r>
              <w:rPr>
                <w:rFonts w:eastAsia="宋体"/>
                <w:lang w:eastAsia="zh-CN"/>
              </w:rPr>
              <w:t>,2,2</w:t>
            </w:r>
          </w:p>
        </w:tc>
      </w:tr>
      <w:tr w:rsidR="008C45D6" w14:paraId="58D3C58D" w14:textId="77777777">
        <w:tc>
          <w:tcPr>
            <w:tcW w:w="4320" w:type="dxa"/>
          </w:tcPr>
          <w:p w14:paraId="6D0F94C6" w14:textId="77777777" w:rsidR="008C45D6" w:rsidRDefault="00000000">
            <w:r>
              <w:rPr>
                <w:rFonts w:ascii="仿宋" w:eastAsia="仿宋" w:hAnsi="仿宋"/>
              </w:rPr>
              <w:t>模型回复</w:t>
            </w:r>
          </w:p>
        </w:tc>
        <w:tc>
          <w:tcPr>
            <w:tcW w:w="4320" w:type="dxa"/>
          </w:tcPr>
          <w:p w14:paraId="09CB56F6" w14:textId="77777777" w:rsidR="008C45D6" w:rsidRDefault="00000000">
            <w:r>
              <w:t>The claim "Ribosome-inactivating protein-2 (RIP-2) interacts with the p75 NTR death domain" is not accurate. There is no scientific evidence or research articles suggesting a direct interaction between Ribosome-inactivating protein-2 (RIP-2) and the p75 NTR death domain.</w:t>
            </w:r>
            <w:r>
              <w:br/>
            </w:r>
            <w:r>
              <w:lastRenderedPageBreak/>
              <w:t>1. Lack of published studies: A comprehensive search of scientific literature, including research databases like PubMed, did not yield any studies or articles supporting the claim of a direct interaction between RIP-2 and p75 NTR death domain.</w:t>
            </w:r>
            <w:r>
              <w:br/>
              <w:t>2. No co-localization or binding evidence: Co-localization studies or binding assays are commonly conducted to determine protein interactions. However, there is no documented evidence or experimental data indicating the co-localization or binding between RIP-2 and the p75 NTR death domain.</w:t>
            </w:r>
            <w:r>
              <w:br/>
              <w:t>3. Limited functional similarity: While both RIP-2 and p75 NTR (p75 neurotrophin receptor) are involved in cellular signaling and have functions related to cell death and survival, there is no reported functional overlap specifically in their interaction or cooperation.</w:t>
            </w:r>
            <w:r>
              <w:br/>
              <w:t>4. Conflicting known interactions: The p75 NTR death domain is mainly recognized for its interaction with other proteins involved in apoptotic signaling, such as TRADD, FADD, and NRAGE. The available literature focuses on these established interactions, rather than involving RIP-2.</w:t>
            </w:r>
            <w:r>
              <w:br/>
              <w:t>In conclusion, the claim that "Ribosome-inactivating protein-2 (RIP-2) interacts with the p75 NTR death domain" is not accurate. The lack of published studies, co-localization or binding evidence, limited functional similarity, and the presence of conflicting known interactions argue against this claim.</w:t>
            </w:r>
          </w:p>
        </w:tc>
      </w:tr>
      <w:tr w:rsidR="008C45D6" w14:paraId="0EFA2CAE" w14:textId="77777777">
        <w:tc>
          <w:tcPr>
            <w:tcW w:w="4320" w:type="dxa"/>
          </w:tcPr>
          <w:p w14:paraId="4F4E962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E42207" w14:textId="74930B66" w:rsidR="008C45D6" w:rsidRPr="007B6716" w:rsidRDefault="007B6716">
            <w:pPr>
              <w:rPr>
                <w:rFonts w:eastAsia="宋体"/>
                <w:lang w:eastAsia="zh-CN"/>
              </w:rPr>
            </w:pPr>
            <w:r>
              <w:rPr>
                <w:rFonts w:eastAsia="宋体" w:hint="eastAsia"/>
                <w:lang w:eastAsia="zh-CN"/>
              </w:rPr>
              <w:t>1</w:t>
            </w:r>
          </w:p>
        </w:tc>
      </w:tr>
      <w:tr w:rsidR="008C45D6" w14:paraId="68BCA82F" w14:textId="77777777">
        <w:tc>
          <w:tcPr>
            <w:tcW w:w="4320" w:type="dxa"/>
          </w:tcPr>
          <w:p w14:paraId="2E90C34A" w14:textId="77777777" w:rsidR="008C45D6" w:rsidRDefault="00000000">
            <w:r>
              <w:rPr>
                <w:rFonts w:ascii="仿宋" w:eastAsia="仿宋" w:hAnsi="仿宋"/>
              </w:rPr>
              <w:t>提取的事实</w:t>
            </w:r>
          </w:p>
        </w:tc>
        <w:tc>
          <w:tcPr>
            <w:tcW w:w="4320" w:type="dxa"/>
          </w:tcPr>
          <w:p w14:paraId="02A0AA94" w14:textId="77777777" w:rsidR="008C45D6" w:rsidRDefault="00000000">
            <w:r>
              <w:t>1. The claim "Ribosome-inactivating protein-2 (RIP-2) interacts with the p75 NTR death domain" is not supported by scientific evidence or research articles.</w:t>
            </w:r>
            <w:r>
              <w:br/>
              <w:t>2. A comprehensive search of scientific literature did not yield studies that support a direct interaction between RIP-2 and p75 NTR death domain.</w:t>
            </w:r>
            <w:r>
              <w:br/>
              <w:t xml:space="preserve">3. There is no documented evidence or experimental data indicating the co-localization or binding between RIP-2 and </w:t>
            </w:r>
            <w:r>
              <w:lastRenderedPageBreak/>
              <w:t>the p75 NTR death domain.</w:t>
            </w:r>
            <w:r>
              <w:br/>
              <w:t>4. Both RIP-2 and p75 neurotrophin receptor (p75 NTR) are involved in cellular signaling and have functions related to cell death and survival.</w:t>
            </w:r>
            <w:r>
              <w:br/>
              <w:t>5. The p75 NTR death domain is recognized for its interaction with proteins involved in apoptotic signaling, such as TRADD, FADD, and NRAGE.</w:t>
            </w:r>
          </w:p>
        </w:tc>
      </w:tr>
      <w:tr w:rsidR="008C45D6" w14:paraId="129E017E" w14:textId="77777777">
        <w:tc>
          <w:tcPr>
            <w:tcW w:w="4320" w:type="dxa"/>
          </w:tcPr>
          <w:p w14:paraId="288D0AAA"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DEE257" w14:textId="1429FF2B" w:rsidR="008C45D6" w:rsidRPr="007B6716" w:rsidRDefault="00264E33">
            <w:pPr>
              <w:rPr>
                <w:rFonts w:eastAsia="宋体"/>
                <w:lang w:eastAsia="zh-CN"/>
              </w:rPr>
            </w:pPr>
            <w:r>
              <w:rPr>
                <w:rFonts w:eastAsia="宋体"/>
                <w:lang w:eastAsia="zh-CN"/>
              </w:rPr>
              <w:t>2</w:t>
            </w:r>
            <w:r w:rsidR="007B6716">
              <w:rPr>
                <w:rFonts w:eastAsia="宋体"/>
                <w:lang w:eastAsia="zh-CN"/>
              </w:rPr>
              <w:t>,</w:t>
            </w:r>
            <w:r>
              <w:rPr>
                <w:rFonts w:eastAsia="宋体"/>
                <w:lang w:eastAsia="zh-CN"/>
              </w:rPr>
              <w:t>7</w:t>
            </w:r>
            <w:r w:rsidR="007B6716">
              <w:rPr>
                <w:rFonts w:eastAsia="宋体"/>
                <w:lang w:eastAsia="zh-CN"/>
              </w:rPr>
              <w:t>,5,1,1</w:t>
            </w:r>
          </w:p>
        </w:tc>
      </w:tr>
    </w:tbl>
    <w:p w14:paraId="52AC091A"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19"/>
        <w:gridCol w:w="6011"/>
      </w:tblGrid>
      <w:tr w:rsidR="008C45D6" w14:paraId="617684B1" w14:textId="77777777">
        <w:tc>
          <w:tcPr>
            <w:tcW w:w="4320" w:type="dxa"/>
          </w:tcPr>
          <w:p w14:paraId="2CE60B7B" w14:textId="77777777" w:rsidR="008C45D6" w:rsidRDefault="00000000">
            <w:r>
              <w:t>ID</w:t>
            </w:r>
          </w:p>
        </w:tc>
        <w:tc>
          <w:tcPr>
            <w:tcW w:w="10080" w:type="dxa"/>
          </w:tcPr>
          <w:p w14:paraId="105329C8" w14:textId="77777777" w:rsidR="008C45D6" w:rsidRDefault="00000000">
            <w:r>
              <w:t>613(47)</w:t>
            </w:r>
          </w:p>
        </w:tc>
      </w:tr>
      <w:tr w:rsidR="008C45D6" w14:paraId="726A9F9A" w14:textId="77777777">
        <w:tc>
          <w:tcPr>
            <w:tcW w:w="4320" w:type="dxa"/>
          </w:tcPr>
          <w:p w14:paraId="1ACD6C7E" w14:textId="77777777" w:rsidR="008C45D6" w:rsidRDefault="00000000">
            <w:r>
              <w:rPr>
                <w:rFonts w:ascii="仿宋" w:eastAsia="仿宋" w:hAnsi="仿宋"/>
              </w:rPr>
              <w:t>领域</w:t>
            </w:r>
          </w:p>
        </w:tc>
        <w:tc>
          <w:tcPr>
            <w:tcW w:w="4320" w:type="dxa"/>
          </w:tcPr>
          <w:p w14:paraId="55C7F0B8" w14:textId="77777777" w:rsidR="008C45D6" w:rsidRDefault="00000000">
            <w:r>
              <w:t>Science</w:t>
            </w:r>
          </w:p>
        </w:tc>
      </w:tr>
      <w:tr w:rsidR="008C45D6" w14:paraId="358B1ADF" w14:textId="77777777">
        <w:tc>
          <w:tcPr>
            <w:tcW w:w="4320" w:type="dxa"/>
          </w:tcPr>
          <w:p w14:paraId="7F79D233" w14:textId="77777777" w:rsidR="008C45D6" w:rsidRDefault="00000000">
            <w:r>
              <w:rPr>
                <w:rFonts w:ascii="仿宋" w:eastAsia="仿宋" w:hAnsi="仿宋"/>
              </w:rPr>
              <w:t>用户问题</w:t>
            </w:r>
          </w:p>
        </w:tc>
        <w:tc>
          <w:tcPr>
            <w:tcW w:w="4320" w:type="dxa"/>
          </w:tcPr>
          <w:p w14:paraId="7F81E715" w14:textId="77777777" w:rsidR="008C45D6" w:rsidRDefault="00000000">
            <w:r>
              <w:t>Can you clarify whether the claim "Risk of cardiovascular events can be cut by a third by using antihypertensive drug therapy among hemodialysis patients." is accurate or not? Build factual arguments about the claim.</w:t>
            </w:r>
          </w:p>
        </w:tc>
      </w:tr>
      <w:tr w:rsidR="008C45D6" w14:paraId="0AD25CD3" w14:textId="77777777">
        <w:tc>
          <w:tcPr>
            <w:tcW w:w="4320" w:type="dxa"/>
          </w:tcPr>
          <w:p w14:paraId="3492BBC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3B5254" w14:textId="0AE230E7" w:rsidR="008C45D6" w:rsidRPr="007B6716" w:rsidRDefault="007B6716">
            <w:pPr>
              <w:rPr>
                <w:rFonts w:eastAsia="宋体"/>
                <w:lang w:eastAsia="zh-CN"/>
              </w:rPr>
            </w:pPr>
            <w:r>
              <w:rPr>
                <w:rFonts w:eastAsia="宋体" w:hint="eastAsia"/>
                <w:lang w:eastAsia="zh-CN"/>
              </w:rPr>
              <w:t>2</w:t>
            </w:r>
            <w:r>
              <w:rPr>
                <w:rFonts w:eastAsia="宋体"/>
                <w:lang w:eastAsia="zh-CN"/>
              </w:rPr>
              <w:t>,4,3</w:t>
            </w:r>
          </w:p>
        </w:tc>
      </w:tr>
      <w:tr w:rsidR="008C45D6" w14:paraId="0246FE8B" w14:textId="77777777">
        <w:tc>
          <w:tcPr>
            <w:tcW w:w="4320" w:type="dxa"/>
          </w:tcPr>
          <w:p w14:paraId="433FCB51" w14:textId="77777777" w:rsidR="008C45D6" w:rsidRDefault="00000000">
            <w:r>
              <w:rPr>
                <w:rFonts w:ascii="仿宋" w:eastAsia="仿宋" w:hAnsi="仿宋"/>
              </w:rPr>
              <w:t>模型回复</w:t>
            </w:r>
          </w:p>
        </w:tc>
        <w:tc>
          <w:tcPr>
            <w:tcW w:w="4320" w:type="dxa"/>
          </w:tcPr>
          <w:p w14:paraId="0167B2E7" w14:textId="77777777" w:rsidR="008C45D6" w:rsidRDefault="00000000">
            <w:r>
              <w:t>To evaluate the accuracy of the claim that "Risk of cardiovascular events can be cut by a third by using antihypertensive drug therapy among hemodialysis patients," we can examine relevant research and studies in the field. It's important to note that I am an AI language model and not a medical professional, so please consult with a healthcare expert for specific medical advice.</w:t>
            </w:r>
            <w:r>
              <w:br/>
              <w:t xml:space="preserve">1. Supportive evidence: Several studies suggest a beneficial effect of antihypertensive drug therapy in reducing </w:t>
            </w:r>
            <w:r>
              <w:lastRenderedPageBreak/>
              <w:t>cardiovascular events among hemodialysis patients. For example, a study published in the Journal of the American Society of Nephrology (JASN) in 2005 analyzed a large cohort of hemodialysis patients and found that antihypertensive therapy with angiotensin-converting enzyme inhibitors (ACE inhibitors) was associated with a reduced risk of myocardial infarction and mortality from cardiovascular causes.</w:t>
            </w:r>
            <w:r>
              <w:br/>
              <w:t>2. Conflicting evidence: Despite the supporting evidence, it is important to consider conflicting studies as well. A study published in the New England Journal of Medicine in 2010 showed that antihypertensive therapy with an ACE inhibitor or an angiotensin-receptor blocker (ARB) did not significantly reduce the risk of major cardiovascular events in hemodialysis patients. This study emphasizes the complexity of the subject and the need for further research.</w:t>
            </w:r>
            <w:r>
              <w:br/>
              <w:t>3. Individual patient factors: The effectiveness of antihypertensive drug therapy can vary depending on individual patient characteristics, such as age, comorbidities, and other risk factors. Different patients may respond differently to treatment, so it is essential to consider personalized care and consult with a healthcare provider to determine the best course of action.</w:t>
            </w:r>
            <w:r>
              <w:br/>
              <w:t>4. Adverse effects and interactions: Antihypertensive drug therapy may have potential adverse effects and interactions with other medications, which need careful consideration. The decision to prescribe antihypertensive drugs should be based on a thorough evaluation of the patient's overall health and individual needs.</w:t>
            </w:r>
            <w:r>
              <w:br/>
              <w:t>In conclusion, while some studies support the claim that antihypertensive drug therapy can reduce the risk of cardiovascular events among hemodialysis patients, conflicting evidence and individual patient factors must also be considered. The efficacy and appropriateness of such therapy can vary among individuals. It's crucial to consult with healthcare professionals who can consider each patient's unique circumstances before making decisions about antihypertensive drug therapy.</w:t>
            </w:r>
          </w:p>
        </w:tc>
      </w:tr>
      <w:tr w:rsidR="008C45D6" w14:paraId="52745A45" w14:textId="77777777">
        <w:tc>
          <w:tcPr>
            <w:tcW w:w="4320" w:type="dxa"/>
          </w:tcPr>
          <w:p w14:paraId="789FDDE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811EB15" w14:textId="227AD6C0" w:rsidR="008C45D6" w:rsidRPr="007B6716" w:rsidRDefault="007B6716">
            <w:pPr>
              <w:rPr>
                <w:rFonts w:eastAsia="宋体"/>
                <w:lang w:eastAsia="zh-CN"/>
              </w:rPr>
            </w:pPr>
            <w:r>
              <w:rPr>
                <w:rFonts w:eastAsia="宋体" w:hint="eastAsia"/>
                <w:lang w:eastAsia="zh-CN"/>
              </w:rPr>
              <w:t>1</w:t>
            </w:r>
          </w:p>
        </w:tc>
      </w:tr>
      <w:tr w:rsidR="008C45D6" w14:paraId="20774897" w14:textId="77777777">
        <w:tc>
          <w:tcPr>
            <w:tcW w:w="4320" w:type="dxa"/>
          </w:tcPr>
          <w:p w14:paraId="54B7FA82" w14:textId="77777777" w:rsidR="008C45D6" w:rsidRDefault="00000000">
            <w:r>
              <w:rPr>
                <w:rFonts w:ascii="仿宋" w:eastAsia="仿宋" w:hAnsi="仿宋"/>
              </w:rPr>
              <w:t>提取的事实</w:t>
            </w:r>
          </w:p>
        </w:tc>
        <w:tc>
          <w:tcPr>
            <w:tcW w:w="4320" w:type="dxa"/>
          </w:tcPr>
          <w:p w14:paraId="31122737" w14:textId="77777777" w:rsidR="008C45D6" w:rsidRDefault="00000000">
            <w:r>
              <w:t>1. Some studies suggest that antihypertensive drug therapy can reduce cardiovascular events among hemodialysis patients.</w:t>
            </w:r>
            <w:r>
              <w:br/>
              <w:t>2. A study published in the Journal of the American Society of Nephrology in 2005 found that antihypertensive therapy with ACE inhibitors was linked with reduced risk of myocardial infarction and mortality from cardiovascular causes among hemodialysis patients.</w:t>
            </w:r>
            <w:r>
              <w:br/>
              <w:t>3. A conflicting study in the New England Journal of Medicine in 2010 showed that antihypertensive therapy with an ACE inhibitor or an ARB did not significantly lower the risk of major cardiovascular events in hemodialysis patients.</w:t>
            </w:r>
            <w:r>
              <w:br/>
              <w:t>4. Effectiveness of antihypertensive drug therapy can depend on individual patient factors, including age, comorbidities, and other risk factors.</w:t>
            </w:r>
            <w:r>
              <w:br/>
              <w:t>5. Antihypertensive drug therapy can have potential adverse effects and interactions with other medications.</w:t>
            </w:r>
          </w:p>
        </w:tc>
      </w:tr>
      <w:tr w:rsidR="008C45D6" w14:paraId="0DBFB951" w14:textId="77777777">
        <w:tc>
          <w:tcPr>
            <w:tcW w:w="4320" w:type="dxa"/>
          </w:tcPr>
          <w:p w14:paraId="1B289A01"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A8E756" w14:textId="1D56168C" w:rsidR="008C45D6" w:rsidRPr="007B6716" w:rsidRDefault="007B6716">
            <w:pPr>
              <w:rPr>
                <w:rFonts w:eastAsia="宋体"/>
                <w:lang w:eastAsia="zh-CN"/>
              </w:rPr>
            </w:pPr>
            <w:r>
              <w:rPr>
                <w:rFonts w:eastAsia="宋体" w:hint="eastAsia"/>
                <w:lang w:eastAsia="zh-CN"/>
              </w:rPr>
              <w:t>1</w:t>
            </w:r>
            <w:r>
              <w:rPr>
                <w:rFonts w:eastAsia="宋体"/>
                <w:lang w:eastAsia="zh-CN"/>
              </w:rPr>
              <w:t>,</w:t>
            </w:r>
            <w:r w:rsidR="00264E33">
              <w:rPr>
                <w:rFonts w:eastAsia="宋体"/>
                <w:lang w:eastAsia="zh-CN"/>
              </w:rPr>
              <w:t>7</w:t>
            </w:r>
            <w:r>
              <w:rPr>
                <w:rFonts w:eastAsia="宋体"/>
                <w:lang w:eastAsia="zh-CN"/>
              </w:rPr>
              <w:t>,</w:t>
            </w:r>
            <w:r w:rsidR="00264E33">
              <w:rPr>
                <w:rFonts w:eastAsia="宋体"/>
                <w:lang w:eastAsia="zh-CN"/>
              </w:rPr>
              <w:t>7</w:t>
            </w:r>
            <w:r>
              <w:rPr>
                <w:rFonts w:eastAsia="宋体"/>
                <w:lang w:eastAsia="zh-CN"/>
              </w:rPr>
              <w:t>,</w:t>
            </w:r>
            <w:r w:rsidR="00264E33">
              <w:rPr>
                <w:rFonts w:eastAsia="宋体"/>
                <w:lang w:eastAsia="zh-CN"/>
              </w:rPr>
              <w:t>1</w:t>
            </w:r>
            <w:r>
              <w:rPr>
                <w:rFonts w:eastAsia="宋体"/>
                <w:lang w:eastAsia="zh-CN"/>
              </w:rPr>
              <w:t>,</w:t>
            </w:r>
            <w:r w:rsidR="00264E33">
              <w:rPr>
                <w:rFonts w:eastAsia="宋体"/>
                <w:lang w:eastAsia="zh-CN"/>
              </w:rPr>
              <w:t>1</w:t>
            </w:r>
          </w:p>
        </w:tc>
      </w:tr>
    </w:tbl>
    <w:p w14:paraId="0F3521A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735AC9E9" w14:textId="77777777">
        <w:tc>
          <w:tcPr>
            <w:tcW w:w="4320" w:type="dxa"/>
          </w:tcPr>
          <w:p w14:paraId="04580917" w14:textId="77777777" w:rsidR="008C45D6" w:rsidRDefault="00000000">
            <w:r>
              <w:t>ID</w:t>
            </w:r>
          </w:p>
        </w:tc>
        <w:tc>
          <w:tcPr>
            <w:tcW w:w="10080" w:type="dxa"/>
          </w:tcPr>
          <w:p w14:paraId="4061648A" w14:textId="77777777" w:rsidR="008C45D6" w:rsidRDefault="00000000">
            <w:r>
              <w:t>619(48)</w:t>
            </w:r>
          </w:p>
        </w:tc>
      </w:tr>
      <w:tr w:rsidR="008C45D6" w14:paraId="72346E8A" w14:textId="77777777">
        <w:tc>
          <w:tcPr>
            <w:tcW w:w="4320" w:type="dxa"/>
          </w:tcPr>
          <w:p w14:paraId="7D00F04B" w14:textId="77777777" w:rsidR="008C45D6" w:rsidRDefault="00000000">
            <w:r>
              <w:rPr>
                <w:rFonts w:ascii="仿宋" w:eastAsia="仿宋" w:hAnsi="仿宋"/>
              </w:rPr>
              <w:t>领域</w:t>
            </w:r>
          </w:p>
        </w:tc>
        <w:tc>
          <w:tcPr>
            <w:tcW w:w="4320" w:type="dxa"/>
          </w:tcPr>
          <w:p w14:paraId="280F68CE" w14:textId="77777777" w:rsidR="008C45D6" w:rsidRDefault="00000000">
            <w:r>
              <w:t>Science</w:t>
            </w:r>
          </w:p>
        </w:tc>
      </w:tr>
      <w:tr w:rsidR="008C45D6" w14:paraId="222E15E9" w14:textId="77777777">
        <w:tc>
          <w:tcPr>
            <w:tcW w:w="4320" w:type="dxa"/>
          </w:tcPr>
          <w:p w14:paraId="60819DD1" w14:textId="77777777" w:rsidR="008C45D6" w:rsidRDefault="00000000">
            <w:r>
              <w:rPr>
                <w:rFonts w:ascii="仿宋" w:eastAsia="仿宋" w:hAnsi="仿宋"/>
              </w:rPr>
              <w:t>用户问题</w:t>
            </w:r>
          </w:p>
        </w:tc>
        <w:tc>
          <w:tcPr>
            <w:tcW w:w="4320" w:type="dxa"/>
          </w:tcPr>
          <w:p w14:paraId="6790342A" w14:textId="77777777" w:rsidR="008C45D6" w:rsidRDefault="00000000">
            <w:r>
              <w:t>How truthful is the statement that "ScPif1p has reduced binding ability to G-rich ssDNA compared to non-G-rich ssDNA."? Present a series of factual points about the statement.</w:t>
            </w:r>
          </w:p>
        </w:tc>
      </w:tr>
      <w:tr w:rsidR="008C45D6" w14:paraId="57C383C3" w14:textId="77777777">
        <w:tc>
          <w:tcPr>
            <w:tcW w:w="4320" w:type="dxa"/>
          </w:tcPr>
          <w:p w14:paraId="5D0B5FA3" w14:textId="77777777" w:rsidR="008C45D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0E1CF" w14:textId="63317E3D" w:rsidR="008C45D6" w:rsidRPr="007B6716" w:rsidRDefault="007B6716">
            <w:pPr>
              <w:rPr>
                <w:rFonts w:eastAsia="宋体"/>
                <w:lang w:eastAsia="zh-CN"/>
              </w:rPr>
            </w:pPr>
            <w:r>
              <w:rPr>
                <w:rFonts w:eastAsia="宋体"/>
                <w:lang w:eastAsia="zh-CN"/>
              </w:rPr>
              <w:t>2</w:t>
            </w:r>
            <w:r>
              <w:rPr>
                <w:rFonts w:eastAsia="宋体" w:hint="eastAsia"/>
                <w:lang w:eastAsia="zh-CN"/>
              </w:rPr>
              <w:t>,</w:t>
            </w:r>
            <w:r>
              <w:rPr>
                <w:rFonts w:eastAsia="宋体"/>
                <w:lang w:eastAsia="zh-CN"/>
              </w:rPr>
              <w:t>2,2</w:t>
            </w:r>
          </w:p>
        </w:tc>
      </w:tr>
      <w:tr w:rsidR="008C45D6" w14:paraId="468F961A" w14:textId="77777777">
        <w:tc>
          <w:tcPr>
            <w:tcW w:w="4320" w:type="dxa"/>
          </w:tcPr>
          <w:p w14:paraId="02A2A736" w14:textId="77777777" w:rsidR="008C45D6" w:rsidRDefault="00000000">
            <w:r>
              <w:rPr>
                <w:rFonts w:ascii="仿宋" w:eastAsia="仿宋" w:hAnsi="仿宋"/>
              </w:rPr>
              <w:t>模型回复</w:t>
            </w:r>
          </w:p>
        </w:tc>
        <w:tc>
          <w:tcPr>
            <w:tcW w:w="4320" w:type="dxa"/>
          </w:tcPr>
          <w:p w14:paraId="34F56E27" w14:textId="77777777" w:rsidR="008C45D6" w:rsidRDefault="00000000">
            <w:r>
              <w:t>1. ScPif1p is a DNA helicase enzyme found in Saccharomyces cerevisiae, a type of yeast. It is involved in the unwinding and processing of DNA molecules.</w:t>
            </w:r>
            <w:r>
              <w:br/>
              <w:t>2. The statement suggests that ScPif1p has a reduced binding ability specifically to G-rich single-stranded DNA (ssDNA) compared to non-G-rich ssDNA.</w:t>
            </w:r>
            <w:r>
              <w:br/>
              <w:t>3. G-rich regions in DNA are characterized by a high content of guanine (G) nucleotides, forming repetitive sequences of several consecutive G bases.</w:t>
            </w:r>
            <w:r>
              <w:br/>
              <w:t>4. Several studies have shown that ScPif1p has a preference for binding and unwinding G-rich DNA structures, such as G-quadruplexes. G-quadruplexes are stable structures formed by G-rich ssDNA or RNA sequences.</w:t>
            </w:r>
            <w:r>
              <w:br/>
              <w:t>5. One study published in the Journal of Biological Chemistry (2000) by Zhou et al. demonstrated that ScPif1p has a higher binding affinity for G-quadruplex DNA compared to non-G-quadruplex DNA.</w:t>
            </w:r>
            <w:r>
              <w:br/>
              <w:t>6. However, the same study also showed that the binding affinity of ScPif1p to G-quadruplexes is affected by the sequence and length of the G-rich region, with some G-quadruplexes having a weaker binding.</w:t>
            </w:r>
            <w:r>
              <w:br/>
              <w:t>7. Another study published in Nature Communications (2020) by Cheredevarapu et al. investigated the binding and unwinding properties of ScPif1p using different DNA substrates. They found that ScPif1p's binding to G-quadruplexes was weaker compared to non-G-quadruplex DNA.</w:t>
            </w:r>
            <w:r>
              <w:br/>
              <w:t>8. Additionally, this study demonstrated that ScPif1p prefers binding to non-G-quadruplex DNA substrates, suggesting a reduced binding ability to G-rich ssDNA compared to non-G-rich ssDNA.</w:t>
            </w:r>
            <w:r>
              <w:br/>
              <w:t xml:space="preserve">To conclude, the statement that "ScPif1p has reduced binding ability to G-rich ssDNA compared to non-G-rich ssDNA" is supported by scientific studies indicating weaker binding </w:t>
            </w:r>
            <w:r>
              <w:lastRenderedPageBreak/>
              <w:t>affinity of ScPif1p to G-rich DNA. However, the specific binding behavior may vary depending on the sequence, length, and structure of the G-rich region.</w:t>
            </w:r>
          </w:p>
        </w:tc>
      </w:tr>
      <w:tr w:rsidR="008C45D6" w14:paraId="2E152F9D" w14:textId="77777777">
        <w:tc>
          <w:tcPr>
            <w:tcW w:w="4320" w:type="dxa"/>
          </w:tcPr>
          <w:p w14:paraId="0D7E3C50"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DC8CDF" w14:textId="7CC4D7A1" w:rsidR="008C45D6" w:rsidRPr="007B6716" w:rsidRDefault="007B6716">
            <w:pPr>
              <w:rPr>
                <w:rFonts w:eastAsia="宋体"/>
                <w:lang w:eastAsia="zh-CN"/>
              </w:rPr>
            </w:pPr>
            <w:r>
              <w:rPr>
                <w:rFonts w:eastAsia="宋体" w:hint="eastAsia"/>
                <w:lang w:eastAsia="zh-CN"/>
              </w:rPr>
              <w:t>1</w:t>
            </w:r>
          </w:p>
        </w:tc>
      </w:tr>
      <w:tr w:rsidR="008C45D6" w14:paraId="13A8E7F5" w14:textId="77777777">
        <w:tc>
          <w:tcPr>
            <w:tcW w:w="4320" w:type="dxa"/>
          </w:tcPr>
          <w:p w14:paraId="7DD06363" w14:textId="77777777" w:rsidR="008C45D6" w:rsidRDefault="00000000">
            <w:r>
              <w:rPr>
                <w:rFonts w:ascii="仿宋" w:eastAsia="仿宋" w:hAnsi="仿宋"/>
              </w:rPr>
              <w:t>提取的事实</w:t>
            </w:r>
          </w:p>
        </w:tc>
        <w:tc>
          <w:tcPr>
            <w:tcW w:w="4320" w:type="dxa"/>
          </w:tcPr>
          <w:p w14:paraId="3E81C680" w14:textId="77777777" w:rsidR="008C45D6" w:rsidRDefault="00000000">
            <w:r>
              <w:t>1. ScPif1p is a DNA helicase enzyme found in Saccharomyces cerevisiae, a type of yeast.</w:t>
            </w:r>
            <w:r>
              <w:br/>
              <w:t>2. G-rich regions in DNA are characterized by a high content of guanine (G) nucleotides, forming repetitive sequences of several consecutive G bases.</w:t>
            </w:r>
            <w:r>
              <w:br/>
              <w:t>3. Several studies have shown that ScPif1p has a preference for binding and unwinding G-rich DNA structures, such as G-quadruplexes.</w:t>
            </w:r>
            <w:r>
              <w:br/>
              <w:t>4. One study published in the Journal of Biological Chemistry (2000) by Zhou et al. demonstrated that ScPif1p has a higher binding affinity for G-quadruplex DNA compared to non-G-quadruplex DNA.</w:t>
            </w:r>
            <w:r>
              <w:br/>
              <w:t>5. Another study published in Nature Communications (2020) by Cheredevarapu et al. found that ScPif1p's binding to G-quadruplexes was weaker compared to non-G-quadruplex DNA.</w:t>
            </w:r>
          </w:p>
        </w:tc>
      </w:tr>
      <w:tr w:rsidR="008C45D6" w14:paraId="5D66DC5E" w14:textId="77777777">
        <w:tc>
          <w:tcPr>
            <w:tcW w:w="4320" w:type="dxa"/>
          </w:tcPr>
          <w:p w14:paraId="51D7521B"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75C72D" w14:textId="177274CF" w:rsidR="008C45D6" w:rsidRPr="007B6716" w:rsidRDefault="007B6716">
            <w:pPr>
              <w:rPr>
                <w:rFonts w:eastAsia="宋体"/>
                <w:lang w:eastAsia="zh-CN"/>
              </w:rPr>
            </w:pPr>
            <w:r>
              <w:rPr>
                <w:rFonts w:eastAsia="宋体" w:hint="eastAsia"/>
                <w:lang w:eastAsia="zh-CN"/>
              </w:rPr>
              <w:t>1</w:t>
            </w:r>
            <w:r>
              <w:rPr>
                <w:rFonts w:eastAsia="宋体"/>
                <w:lang w:eastAsia="zh-CN"/>
              </w:rPr>
              <w:t>,1,1,1,1</w:t>
            </w:r>
          </w:p>
        </w:tc>
      </w:tr>
    </w:tbl>
    <w:p w14:paraId="4E20E5E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698F8A4E" w14:textId="77777777">
        <w:tc>
          <w:tcPr>
            <w:tcW w:w="4320" w:type="dxa"/>
          </w:tcPr>
          <w:p w14:paraId="5F1FB982" w14:textId="77777777" w:rsidR="008C45D6" w:rsidRDefault="00000000">
            <w:r>
              <w:t>ID</w:t>
            </w:r>
          </w:p>
        </w:tc>
        <w:tc>
          <w:tcPr>
            <w:tcW w:w="10080" w:type="dxa"/>
          </w:tcPr>
          <w:p w14:paraId="5F1CA916" w14:textId="77777777" w:rsidR="008C45D6" w:rsidRDefault="00000000">
            <w:r>
              <w:t>637(49)</w:t>
            </w:r>
          </w:p>
        </w:tc>
      </w:tr>
      <w:tr w:rsidR="008C45D6" w14:paraId="5CEA2857" w14:textId="77777777">
        <w:tc>
          <w:tcPr>
            <w:tcW w:w="4320" w:type="dxa"/>
          </w:tcPr>
          <w:p w14:paraId="42B9BFF5" w14:textId="77777777" w:rsidR="008C45D6" w:rsidRDefault="00000000">
            <w:r>
              <w:rPr>
                <w:rFonts w:ascii="仿宋" w:eastAsia="仿宋" w:hAnsi="仿宋"/>
              </w:rPr>
              <w:t>领域</w:t>
            </w:r>
          </w:p>
        </w:tc>
        <w:tc>
          <w:tcPr>
            <w:tcW w:w="4320" w:type="dxa"/>
          </w:tcPr>
          <w:p w14:paraId="6B05E9E0" w14:textId="77777777" w:rsidR="008C45D6" w:rsidRDefault="00000000">
            <w:r>
              <w:t>Science</w:t>
            </w:r>
          </w:p>
        </w:tc>
      </w:tr>
      <w:tr w:rsidR="008C45D6" w14:paraId="0902CFDC" w14:textId="77777777">
        <w:tc>
          <w:tcPr>
            <w:tcW w:w="4320" w:type="dxa"/>
          </w:tcPr>
          <w:p w14:paraId="1E1A7616" w14:textId="77777777" w:rsidR="008C45D6" w:rsidRDefault="00000000">
            <w:r>
              <w:rPr>
                <w:rFonts w:ascii="仿宋" w:eastAsia="仿宋" w:hAnsi="仿宋"/>
              </w:rPr>
              <w:t>用户问题</w:t>
            </w:r>
          </w:p>
        </w:tc>
        <w:tc>
          <w:tcPr>
            <w:tcW w:w="4320" w:type="dxa"/>
          </w:tcPr>
          <w:p w14:paraId="7830F3B8" w14:textId="77777777" w:rsidR="008C45D6" w:rsidRDefault="00000000">
            <w:r>
              <w:t xml:space="preserve">What is the validity of the assertion that "Stroke patients with prior use of direct oral anticoagulants have a higher risk of in-hospital mortality than stroke patients with prior use of </w:t>
            </w:r>
            <w:r>
              <w:lastRenderedPageBreak/>
              <w:t>warfarin."? Outline fact-based statements about the assertion.</w:t>
            </w:r>
          </w:p>
        </w:tc>
      </w:tr>
      <w:tr w:rsidR="008C45D6" w14:paraId="3334AC26" w14:textId="77777777">
        <w:tc>
          <w:tcPr>
            <w:tcW w:w="4320" w:type="dxa"/>
          </w:tcPr>
          <w:p w14:paraId="4BECE1B2" w14:textId="77777777" w:rsidR="008C45D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99B3B09" w14:textId="550B7DFE" w:rsidR="008C45D6" w:rsidRPr="007B6716" w:rsidRDefault="007B6716">
            <w:pPr>
              <w:rPr>
                <w:rFonts w:eastAsia="宋体"/>
                <w:lang w:eastAsia="zh-CN"/>
              </w:rPr>
            </w:pPr>
            <w:r>
              <w:rPr>
                <w:rFonts w:eastAsia="宋体" w:hint="eastAsia"/>
                <w:lang w:eastAsia="zh-CN"/>
              </w:rPr>
              <w:t>2</w:t>
            </w:r>
            <w:r>
              <w:rPr>
                <w:rFonts w:eastAsia="宋体"/>
                <w:lang w:eastAsia="zh-CN"/>
              </w:rPr>
              <w:t>,4,4</w:t>
            </w:r>
          </w:p>
        </w:tc>
      </w:tr>
      <w:tr w:rsidR="008C45D6" w14:paraId="1BE04152" w14:textId="77777777">
        <w:tc>
          <w:tcPr>
            <w:tcW w:w="4320" w:type="dxa"/>
          </w:tcPr>
          <w:p w14:paraId="06BD0C85" w14:textId="77777777" w:rsidR="008C45D6" w:rsidRDefault="00000000">
            <w:r>
              <w:rPr>
                <w:rFonts w:ascii="仿宋" w:eastAsia="仿宋" w:hAnsi="仿宋"/>
              </w:rPr>
              <w:t>模型回复</w:t>
            </w:r>
          </w:p>
        </w:tc>
        <w:tc>
          <w:tcPr>
            <w:tcW w:w="4320" w:type="dxa"/>
          </w:tcPr>
          <w:p w14:paraId="1D95EE36" w14:textId="77777777" w:rsidR="008C45D6" w:rsidRDefault="00000000">
            <w:r>
              <w:t>1. Direct oral anticoagulants (DOACs) and warfarin are both commonly used anticoagulant medications for stroke prevention in patients with atrial fibrillation.</w:t>
            </w:r>
            <w:r>
              <w:br/>
              <w:t>2. Several studies have compared the efficacy and safety of DOACs and warfarin in stroke patients.</w:t>
            </w:r>
            <w:r>
              <w:br/>
              <w:t>3. One study published in JAMA Neurology in 2019 found that stroke patients with prior use of DOACs had a lower risk of in-hospital mortality compared to those with prior use of warfarin.</w:t>
            </w:r>
            <w:r>
              <w:br/>
              <w:t>4. Another study published in the European Heart Journal in 2021 showed similar results, indicating that DOACs were associated with a lower risk of in-hospital mortality compared to warfarin in stroke patients.</w:t>
            </w:r>
            <w:r>
              <w:br/>
              <w:t>5. However, it is important to note that different studies may have divergent findings, and conclusions should be drawn after examining multiple studies.</w:t>
            </w:r>
            <w:r>
              <w:br/>
              <w:t>6. The validity of the assertion depends on the quality and consistency of the studies included, as well as the specific characteristics of the stroke patients and their anticoagulant treatment.</w:t>
            </w:r>
            <w:r>
              <w:br/>
              <w:t>7. Before making any definitive conclusions, it is advisable to consult a healthcare professional or refer to systematic reviews and meta-analyses that have pooled data from multiple studies to provide a more comprehensive view of the association between anticoagulants and in-hospital mortality in stroke patients.</w:t>
            </w:r>
          </w:p>
        </w:tc>
      </w:tr>
      <w:tr w:rsidR="008C45D6" w14:paraId="651631AD" w14:textId="77777777">
        <w:tc>
          <w:tcPr>
            <w:tcW w:w="4320" w:type="dxa"/>
          </w:tcPr>
          <w:p w14:paraId="0536A70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B19E64" w14:textId="538447ED" w:rsidR="008C45D6" w:rsidRPr="007B6716" w:rsidRDefault="007B6716">
            <w:pPr>
              <w:rPr>
                <w:rFonts w:eastAsia="宋体"/>
                <w:lang w:eastAsia="zh-CN"/>
              </w:rPr>
            </w:pPr>
            <w:r>
              <w:rPr>
                <w:rFonts w:eastAsia="宋体" w:hint="eastAsia"/>
                <w:lang w:eastAsia="zh-CN"/>
              </w:rPr>
              <w:t>1</w:t>
            </w:r>
          </w:p>
        </w:tc>
      </w:tr>
      <w:tr w:rsidR="008C45D6" w14:paraId="7C53240D" w14:textId="77777777">
        <w:tc>
          <w:tcPr>
            <w:tcW w:w="4320" w:type="dxa"/>
          </w:tcPr>
          <w:p w14:paraId="1F7CA167" w14:textId="77777777" w:rsidR="008C45D6" w:rsidRDefault="00000000">
            <w:r>
              <w:rPr>
                <w:rFonts w:ascii="仿宋" w:eastAsia="仿宋" w:hAnsi="仿宋"/>
              </w:rPr>
              <w:t>提取的事实</w:t>
            </w:r>
          </w:p>
        </w:tc>
        <w:tc>
          <w:tcPr>
            <w:tcW w:w="4320" w:type="dxa"/>
          </w:tcPr>
          <w:p w14:paraId="0B48A0F2" w14:textId="77777777" w:rsidR="008C45D6" w:rsidRDefault="00000000">
            <w:r>
              <w:t>1. Direct oral anticoagulants and warfarin are commonly used anticoagulant medications for stroke prevention in patients with atrial fibrillation.</w:t>
            </w:r>
            <w:r>
              <w:br/>
              <w:t xml:space="preserve">2. Several studies have compared the efficacy and safety of </w:t>
            </w:r>
            <w:r>
              <w:lastRenderedPageBreak/>
              <w:t>direct oral anticoagulants and warfarin in stroke patients.</w:t>
            </w:r>
            <w:r>
              <w:br/>
              <w:t>3. A study published in JAMA Neurology in 2019 found that stroke patients with prior use of direct oral anticoagulants had a lower risk of in-hospital mortality compared to those with prior use of warfarin.</w:t>
            </w:r>
            <w:r>
              <w:br/>
              <w:t>4. Another study published in the European Heart Journal in 2021 indicated that direct oral anticoagulants were associated with a lower risk of in-hospital mortality compared to warfarin in stroke patients.</w:t>
            </w:r>
            <w:r>
              <w:br/>
              <w:t>5. Conclusions on the effect of anticoagulants on in-hospital mortality in stroke patients should consider multiple studies, the quality and consistency of the studies, and the specific characteristics of the stroke patients and their anticoagulant treatment.</w:t>
            </w:r>
          </w:p>
        </w:tc>
      </w:tr>
      <w:tr w:rsidR="008C45D6" w14:paraId="52E2A2B1" w14:textId="77777777">
        <w:tc>
          <w:tcPr>
            <w:tcW w:w="4320" w:type="dxa"/>
          </w:tcPr>
          <w:p w14:paraId="1C9AF325"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6EA5FC" w14:textId="0F876CC6" w:rsidR="008C45D6" w:rsidRPr="007B6716" w:rsidRDefault="007B6716">
            <w:pPr>
              <w:rPr>
                <w:rFonts w:eastAsia="宋体"/>
                <w:lang w:eastAsia="zh-CN"/>
              </w:rPr>
            </w:pPr>
            <w:r>
              <w:rPr>
                <w:rFonts w:eastAsia="宋体" w:hint="eastAsia"/>
                <w:lang w:eastAsia="zh-CN"/>
              </w:rPr>
              <w:t>1</w:t>
            </w:r>
            <w:r>
              <w:rPr>
                <w:rFonts w:eastAsia="宋体"/>
                <w:lang w:eastAsia="zh-CN"/>
              </w:rPr>
              <w:t>,1,</w:t>
            </w:r>
            <w:r w:rsidR="009C23C3">
              <w:rPr>
                <w:rFonts w:eastAsia="宋体"/>
                <w:lang w:eastAsia="zh-CN"/>
              </w:rPr>
              <w:t>2</w:t>
            </w:r>
            <w:r>
              <w:rPr>
                <w:rFonts w:eastAsia="宋体"/>
                <w:lang w:eastAsia="zh-CN"/>
              </w:rPr>
              <w:t>,</w:t>
            </w:r>
            <w:r w:rsidR="00B72C6C">
              <w:rPr>
                <w:rFonts w:eastAsia="宋体"/>
                <w:lang w:eastAsia="zh-CN"/>
              </w:rPr>
              <w:t>7</w:t>
            </w:r>
            <w:r>
              <w:rPr>
                <w:rFonts w:eastAsia="宋体"/>
                <w:lang w:eastAsia="zh-CN"/>
              </w:rPr>
              <w:t>,</w:t>
            </w:r>
            <w:r w:rsidR="009C23C3">
              <w:rPr>
                <w:rFonts w:eastAsia="宋体"/>
                <w:lang w:eastAsia="zh-CN"/>
              </w:rPr>
              <w:t>1</w:t>
            </w:r>
          </w:p>
        </w:tc>
      </w:tr>
    </w:tbl>
    <w:p w14:paraId="5B883ABD" w14:textId="77777777" w:rsidR="008C45D6" w:rsidRDefault="00000000">
      <w:pPr>
        <w:rPr>
          <w:lang w:eastAsia="zh-CN"/>
        </w:rPr>
      </w:pPr>
      <w:r>
        <w:rPr>
          <w:lang w:eastAsia="zh-CN"/>
        </w:rPr>
        <w:br/>
      </w:r>
    </w:p>
    <w:sectPr w:rsidR="008C4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96744521">
    <w:abstractNumId w:val="8"/>
  </w:num>
  <w:num w:numId="2" w16cid:durableId="1030453743">
    <w:abstractNumId w:val="6"/>
  </w:num>
  <w:num w:numId="3" w16cid:durableId="1590700674">
    <w:abstractNumId w:val="5"/>
  </w:num>
  <w:num w:numId="4" w16cid:durableId="326249538">
    <w:abstractNumId w:val="4"/>
  </w:num>
  <w:num w:numId="5" w16cid:durableId="1591429184">
    <w:abstractNumId w:val="7"/>
  </w:num>
  <w:num w:numId="6" w16cid:durableId="195120635">
    <w:abstractNumId w:val="3"/>
  </w:num>
  <w:num w:numId="7" w16cid:durableId="361051877">
    <w:abstractNumId w:val="2"/>
  </w:num>
  <w:num w:numId="8" w16cid:durableId="1285620122">
    <w:abstractNumId w:val="1"/>
  </w:num>
  <w:num w:numId="9" w16cid:durableId="17172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64CB"/>
    <w:rsid w:val="000F3F49"/>
    <w:rsid w:val="0015074B"/>
    <w:rsid w:val="0022601B"/>
    <w:rsid w:val="00246984"/>
    <w:rsid w:val="00264E33"/>
    <w:rsid w:val="00280468"/>
    <w:rsid w:val="0029639D"/>
    <w:rsid w:val="00305B01"/>
    <w:rsid w:val="00326F90"/>
    <w:rsid w:val="00363D92"/>
    <w:rsid w:val="003A2373"/>
    <w:rsid w:val="00436DC5"/>
    <w:rsid w:val="005059D9"/>
    <w:rsid w:val="005435B9"/>
    <w:rsid w:val="00546C76"/>
    <w:rsid w:val="00617811"/>
    <w:rsid w:val="00682906"/>
    <w:rsid w:val="006E7E5B"/>
    <w:rsid w:val="00773991"/>
    <w:rsid w:val="007B0F2B"/>
    <w:rsid w:val="007B6716"/>
    <w:rsid w:val="00834A7B"/>
    <w:rsid w:val="0085682E"/>
    <w:rsid w:val="008703A6"/>
    <w:rsid w:val="008A3B6F"/>
    <w:rsid w:val="008B076C"/>
    <w:rsid w:val="008C45D6"/>
    <w:rsid w:val="008D7962"/>
    <w:rsid w:val="00911A1D"/>
    <w:rsid w:val="009528F1"/>
    <w:rsid w:val="009C23C3"/>
    <w:rsid w:val="009D0F15"/>
    <w:rsid w:val="00AA16C2"/>
    <w:rsid w:val="00AA1D8D"/>
    <w:rsid w:val="00B47730"/>
    <w:rsid w:val="00B72C6C"/>
    <w:rsid w:val="00BE118A"/>
    <w:rsid w:val="00C2527E"/>
    <w:rsid w:val="00CB0664"/>
    <w:rsid w:val="00DA0810"/>
    <w:rsid w:val="00E9019A"/>
    <w:rsid w:val="00E9671F"/>
    <w:rsid w:val="00ED0775"/>
    <w:rsid w:val="00F60318"/>
    <w:rsid w:val="00FC37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0FFED"/>
  <w14:defaultImageDpi w14:val="300"/>
  <w15:docId w15:val="{7D890AB7-E91D-4F90-A8C5-868ACFF7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98</Pages>
  <Words>22578</Words>
  <Characters>128698</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30</cp:revision>
  <dcterms:created xsi:type="dcterms:W3CDTF">2023-11-22T04:51:00Z</dcterms:created>
  <dcterms:modified xsi:type="dcterms:W3CDTF">2023-12-07T06:56:00Z</dcterms:modified>
  <cp:category/>
</cp:coreProperties>
</file>