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56"/>
        </w:rPr>
        <w:t>S3 Terraform Module</w:t>
      </w:r>
    </w:p>
    <w:p>
      <w:pPr>
        <w:jc w:val="center"/>
      </w:pPr>
      <w:r>
        <w:rPr>
          <w:b/>
          <w:sz w:val="42"/>
        </w:rPr>
        <w:t>User Work Instructions</w:t>
      </w:r>
    </w:p>
    <w:p>
      <w:pPr>
        <w:jc w:val="center"/>
      </w:pPr>
      <w:r>
        <w:rPr>
          <w:i/>
          <w:sz w:val="22"/>
        </w:rPr>
        <w:t>Reusable Amazon S3 bucket provisioning through Terraform Enterprise</w:t>
      </w:r>
    </w:p>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2F5597"/>
          </w:tcPr>
          <w:p>
            <w:pPr>
              <w:spacing w:after="0"/>
            </w:pPr>
            <w:r/>
            <w:r>
              <w:rPr>
                <w:rFonts w:ascii="Aptos" w:hAnsi="Aptos"/>
                <w:b/>
                <w:color w:val="FFFFFF"/>
                <w:sz w:val="17"/>
              </w:rPr>
              <w:t>Document item</w:t>
            </w:r>
          </w:p>
        </w:tc>
        <w:tc>
          <w:tcPr>
            <w:tcW w:type="dxa" w:w="8280"/>
            <w:vAlign w:val="center"/>
            <w:shd w:fill="2F5597"/>
          </w:tcPr>
          <w:p>
            <w:pPr>
              <w:spacing w:after="0"/>
            </w:pPr>
            <w:r/>
            <w:r>
              <w:rPr>
                <w:rFonts w:ascii="Aptos" w:hAnsi="Aptos"/>
                <w:b/>
                <w:color w:val="FFFFFF"/>
                <w:sz w:val="17"/>
              </w:rPr>
              <w:t>Details</w:t>
            </w:r>
          </w:p>
        </w:tc>
      </w:tr>
      <w:tr>
        <w:tc>
          <w:tcPr>
            <w:tcW w:type="dxa" w:w="2232"/>
            <w:vAlign w:val="center"/>
          </w:tcPr>
          <w:p>
            <w:pPr>
              <w:spacing w:after="0"/>
            </w:pPr>
            <w:r/>
            <w:r>
              <w:rPr>
                <w:rFonts w:ascii="Aptos" w:hAnsi="Aptos"/>
                <w:b w:val="0"/>
                <w:sz w:val="17"/>
              </w:rPr>
              <w:t>Document purpose</w:t>
            </w:r>
          </w:p>
        </w:tc>
        <w:tc>
          <w:tcPr>
            <w:tcW w:type="dxa" w:w="8280"/>
            <w:vAlign w:val="center"/>
          </w:tcPr>
          <w:p>
            <w:pPr>
              <w:spacing w:after="0"/>
            </w:pPr>
            <w:r/>
            <w:r>
              <w:rPr>
                <w:rFonts w:ascii="Aptos" w:hAnsi="Aptos"/>
                <w:b w:val="0"/>
                <w:sz w:val="17"/>
              </w:rPr>
              <w:t>Provide a standard, reusable method for consuming the published S3 Terraform module from the Terraform Enterprise private module registry.</w:t>
            </w:r>
          </w:p>
        </w:tc>
      </w:tr>
      <w:tr>
        <w:tc>
          <w:tcPr>
            <w:tcW w:type="dxa" w:w="2232"/>
            <w:vAlign w:val="center"/>
          </w:tcPr>
          <w:p>
            <w:pPr>
              <w:spacing w:after="0"/>
            </w:pPr>
            <w:r/>
            <w:r>
              <w:rPr>
                <w:rFonts w:ascii="Aptos" w:hAnsi="Aptos"/>
                <w:b w:val="0"/>
                <w:sz w:val="17"/>
              </w:rPr>
              <w:t>Audience</w:t>
            </w:r>
          </w:p>
        </w:tc>
        <w:tc>
          <w:tcPr>
            <w:tcW w:type="dxa" w:w="8280"/>
            <w:vAlign w:val="center"/>
          </w:tcPr>
          <w:p>
            <w:pPr>
              <w:spacing w:after="0"/>
            </w:pPr>
            <w:r/>
            <w:r>
              <w:rPr>
                <w:rFonts w:ascii="Aptos" w:hAnsi="Aptos"/>
                <w:b w:val="0"/>
                <w:sz w:val="17"/>
              </w:rPr>
              <w:t>Application teams, infrastructure teams, Terraform users and other approved consumers.</w:t>
            </w:r>
          </w:p>
        </w:tc>
      </w:tr>
      <w:tr>
        <w:tc>
          <w:tcPr>
            <w:tcW w:type="dxa" w:w="2232"/>
            <w:vAlign w:val="center"/>
          </w:tcPr>
          <w:p>
            <w:pPr>
              <w:spacing w:after="0"/>
            </w:pPr>
            <w:r/>
            <w:r>
              <w:rPr>
                <w:rFonts w:ascii="Aptos" w:hAnsi="Aptos"/>
                <w:b w:val="0"/>
                <w:sz w:val="17"/>
              </w:rPr>
              <w:t>Module</w:t>
            </w:r>
          </w:p>
        </w:tc>
        <w:tc>
          <w:tcPr>
            <w:tcW w:type="dxa" w:w="8280"/>
            <w:vAlign w:val="center"/>
          </w:tcPr>
          <w:p>
            <w:pPr>
              <w:spacing w:after="0"/>
            </w:pPr>
            <w:r/>
            <w:r>
              <w:rPr>
                <w:rFonts w:ascii="Aptos" w:hAnsi="Aptos"/>
                <w:b w:val="0"/>
                <w:sz w:val="17"/>
              </w:rPr>
              <w:t>Novartis/s3-poc/aws</w:t>
            </w:r>
          </w:p>
        </w:tc>
      </w:tr>
      <w:tr>
        <w:tc>
          <w:tcPr>
            <w:tcW w:type="dxa" w:w="2232"/>
            <w:vAlign w:val="center"/>
          </w:tcPr>
          <w:p>
            <w:pPr>
              <w:spacing w:after="0"/>
            </w:pPr>
            <w:r/>
            <w:r>
              <w:rPr>
                <w:rFonts w:ascii="Aptos" w:hAnsi="Aptos"/>
                <w:b w:val="0"/>
                <w:sz w:val="17"/>
              </w:rPr>
              <w:t>Example version</w:t>
            </w:r>
          </w:p>
        </w:tc>
        <w:tc>
          <w:tcPr>
            <w:tcW w:type="dxa" w:w="8280"/>
            <w:vAlign w:val="center"/>
          </w:tcPr>
          <w:p>
            <w:pPr>
              <w:spacing w:after="0"/>
            </w:pPr>
            <w:r/>
            <w:r>
              <w:rPr>
                <w:rFonts w:ascii="Aptos" w:hAnsi="Aptos"/>
                <w:b w:val="0"/>
                <w:sz w:val="17"/>
              </w:rPr>
              <w:t>1.0.1</w:t>
            </w:r>
          </w:p>
        </w:tc>
      </w:tr>
      <w:tr>
        <w:tc>
          <w:tcPr>
            <w:tcW w:type="dxa" w:w="2232"/>
            <w:vAlign w:val="center"/>
          </w:tcPr>
          <w:p>
            <w:pPr>
              <w:spacing w:after="0"/>
            </w:pPr>
            <w:r/>
            <w:r>
              <w:rPr>
                <w:rFonts w:ascii="Aptos" w:hAnsi="Aptos"/>
                <w:b w:val="0"/>
                <w:sz w:val="17"/>
              </w:rPr>
              <w:t>Provider</w:t>
            </w:r>
          </w:p>
        </w:tc>
        <w:tc>
          <w:tcPr>
            <w:tcW w:type="dxa" w:w="8280"/>
            <w:vAlign w:val="center"/>
          </w:tcPr>
          <w:p>
            <w:pPr>
              <w:spacing w:after="0"/>
            </w:pPr>
            <w:r/>
            <w:r>
              <w:rPr>
                <w:rFonts w:ascii="Aptos" w:hAnsi="Aptos"/>
                <w:b w:val="0"/>
                <w:sz w:val="17"/>
              </w:rPr>
              <w:t>AWS</w:t>
            </w:r>
          </w:p>
        </w:tc>
      </w:tr>
      <w:tr>
        <w:tc>
          <w:tcPr>
            <w:tcW w:type="dxa" w:w="2232"/>
            <w:vAlign w:val="center"/>
          </w:tcPr>
          <w:p>
            <w:pPr>
              <w:spacing w:after="0"/>
            </w:pPr>
            <w:r/>
            <w:r>
              <w:rPr>
                <w:rFonts w:ascii="Aptos" w:hAnsi="Aptos"/>
                <w:b w:val="0"/>
                <w:sz w:val="17"/>
              </w:rPr>
              <w:t>Module source</w:t>
            </w:r>
          </w:p>
        </w:tc>
        <w:tc>
          <w:tcPr>
            <w:tcW w:type="dxa" w:w="8280"/>
            <w:vAlign w:val="center"/>
          </w:tcPr>
          <w:p>
            <w:pPr>
              <w:spacing w:after="0"/>
            </w:pPr>
            <w:r/>
            <w:r>
              <w:rPr>
                <w:rFonts w:ascii="Aptos" w:hAnsi="Aptos"/>
                <w:b w:val="0"/>
                <w:sz w:val="17"/>
              </w:rPr>
              <w:t>tfe-dev.aws.novartis.net/Novartis/s3-poc/aws</w:t>
            </w:r>
          </w:p>
        </w:tc>
      </w:tr>
    </w:tbl>
    <w:p>
      <w:pPr>
        <w:spacing w:after="20"/>
      </w:pPr>
    </w:p>
    <w:p>
      <w:pPr>
        <w:jc w:val="center"/>
      </w:pPr>
      <w:r/>
    </w:p>
    <w:p>
      <w:pPr>
        <w:jc w:val="center"/>
      </w:pPr>
      <w:r>
        <w:rPr>
          <w:i/>
          <w:sz w:val="15"/>
        </w:rPr>
        <w:t>Figure 1. Terraform Enterprise private registry page showing the published S3 module, version and inputs.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Document status: User work instruction – draft for review. Validate organization-specific access, approval and execution requirements before publication.</w:t>
            </w:r>
          </w:p>
        </w:tc>
      </w:tr>
    </w:tbl>
    <w:p>
      <w:pPr>
        <w:spacing w:after="20"/>
      </w:pPr>
    </w:p>
    <w:p>
      <w:r/>
    </w:p>
    <w:p>
      <w:pPr>
        <w:pStyle w:val="Heading1"/>
      </w:pPr>
      <w:r>
        <w:t>Table of Contents</w:t>
      </w:r>
    </w:p>
    <w:p>
      <w:pPr>
        <w:pStyle w:val="TOCManual"/>
        <w:ind w:left="216" w:hanging="216"/>
      </w:pPr>
      <w:r>
        <w:rPr>
          <w:b/>
        </w:rPr>
        <w:t>1  Purpose and Scope</w:t>
      </w:r>
    </w:p>
    <w:p>
      <w:pPr>
        <w:pStyle w:val="TOCManual"/>
        <w:ind w:left="216" w:hanging="216"/>
      </w:pPr>
      <w:r>
        <w:rPr>
          <w:b/>
        </w:rPr>
        <w:t>2  Solution Overview</w:t>
      </w:r>
    </w:p>
    <w:p>
      <w:pPr>
        <w:pStyle w:val="TOCManual"/>
        <w:ind w:left="216" w:hanging="216"/>
      </w:pPr>
      <w:r>
        <w:rPr>
          <w:b/>
        </w:rPr>
        <w:t>3  Prerequisites</w:t>
      </w:r>
    </w:p>
    <w:p>
      <w:pPr>
        <w:pStyle w:val="TOCManual"/>
        <w:ind w:left="216" w:hanging="216"/>
      </w:pPr>
      <w:r>
        <w:rPr>
          <w:b/>
        </w:rPr>
        <w:t>4  Consumer Repository Setup</w:t>
      </w:r>
    </w:p>
    <w:p>
      <w:pPr>
        <w:pStyle w:val="TOCManual"/>
        <w:ind w:left="216" w:hanging="216"/>
      </w:pPr>
      <w:r>
        <w:rPr>
          <w:b/>
        </w:rPr>
        <w:t>5  Configure the AWS Provider</w:t>
      </w:r>
    </w:p>
    <w:p>
      <w:pPr>
        <w:pStyle w:val="TOCManual"/>
        <w:ind w:left="216" w:hanging="216"/>
      </w:pPr>
      <w:r>
        <w:rPr>
          <w:b/>
        </w:rPr>
        <w:t>6  Consume the Published S3 Module</w:t>
      </w:r>
    </w:p>
    <w:p>
      <w:pPr>
        <w:pStyle w:val="TOCManual"/>
        <w:ind w:left="216" w:hanging="216"/>
      </w:pPr>
      <w:r>
        <w:rPr>
          <w:b/>
        </w:rPr>
        <w:t>7  Configure Required Inputs</w:t>
      </w:r>
    </w:p>
    <w:p>
      <w:pPr>
        <w:pStyle w:val="TOCManual"/>
        <w:ind w:left="216" w:hanging="216"/>
      </w:pPr>
      <w:r>
        <w:rPr>
          <w:b/>
        </w:rPr>
        <w:t>8  Use Variables Instead of Hard-Coded Values</w:t>
      </w:r>
    </w:p>
    <w:p>
      <w:pPr>
        <w:pStyle w:val="TOCManual"/>
        <w:ind w:left="216" w:hanging="216"/>
      </w:pPr>
      <w:r>
        <w:rPr>
          <w:b/>
        </w:rPr>
        <w:t>9  Provision Multiple Buckets with for_each</w:t>
      </w:r>
    </w:p>
    <w:p>
      <w:pPr>
        <w:pStyle w:val="TOCManual"/>
        <w:ind w:left="216" w:hanging="216"/>
      </w:pPr>
      <w:r>
        <w:rPr>
          <w:b/>
        </w:rPr>
        <w:t>10  Module Input Reference</w:t>
      </w:r>
    </w:p>
    <w:p>
      <w:pPr>
        <w:pStyle w:val="TOCManual"/>
        <w:ind w:left="216" w:hanging="216"/>
      </w:pPr>
      <w:r>
        <w:rPr>
          <w:b/>
        </w:rPr>
        <w:t>11  Feature Configuration Guide</w:t>
      </w:r>
    </w:p>
    <w:p>
      <w:pPr>
        <w:pStyle w:val="TOCManual"/>
        <w:ind w:left="648" w:hanging="360"/>
      </w:pPr>
      <w:r>
        <w:rPr>
          <w:b w:val="0"/>
        </w:rPr>
        <w:t>11.1  Encryption and KMS</w:t>
      </w:r>
    </w:p>
    <w:p>
      <w:pPr>
        <w:pStyle w:val="TOCManual"/>
        <w:ind w:left="648" w:hanging="360"/>
      </w:pPr>
      <w:r>
        <w:rPr>
          <w:b w:val="0"/>
        </w:rPr>
        <w:t>11.2  Versioning, Ownership and Public Access</w:t>
      </w:r>
    </w:p>
    <w:p>
      <w:pPr>
        <w:pStyle w:val="TOCManual"/>
        <w:ind w:left="648" w:hanging="360"/>
      </w:pPr>
      <w:r>
        <w:rPr>
          <w:b w:val="0"/>
        </w:rPr>
        <w:t>11.3  Tags</w:t>
      </w:r>
    </w:p>
    <w:p>
      <w:pPr>
        <w:pStyle w:val="TOCManual"/>
        <w:ind w:left="648" w:hanging="360"/>
      </w:pPr>
      <w:r>
        <w:rPr>
          <w:b w:val="0"/>
        </w:rPr>
        <w:t>11.4  Object Lock</w:t>
      </w:r>
    </w:p>
    <w:p>
      <w:pPr>
        <w:pStyle w:val="TOCManual"/>
        <w:ind w:left="648" w:hanging="360"/>
      </w:pPr>
      <w:r>
        <w:rPr>
          <w:b w:val="0"/>
        </w:rPr>
        <w:t>11.5  S3 Event Notifications</w:t>
      </w:r>
    </w:p>
    <w:p>
      <w:pPr>
        <w:pStyle w:val="TOCManual"/>
        <w:ind w:left="648" w:hanging="360"/>
      </w:pPr>
      <w:r>
        <w:rPr>
          <w:b w:val="0"/>
        </w:rPr>
        <w:t>11.6  EventBridge Notifications</w:t>
      </w:r>
    </w:p>
    <w:p>
      <w:pPr>
        <w:pStyle w:val="TOCManual"/>
        <w:ind w:left="648" w:hanging="360"/>
      </w:pPr>
      <w:r>
        <w:rPr>
          <w:b w:val="0"/>
        </w:rPr>
        <w:t>11.7  Static Website and Redirect Hosting</w:t>
      </w:r>
    </w:p>
    <w:p>
      <w:pPr>
        <w:pStyle w:val="TOCManual"/>
        <w:ind w:left="648" w:hanging="360"/>
      </w:pPr>
      <w:r>
        <w:rPr>
          <w:b w:val="0"/>
        </w:rPr>
        <w:t>11.8  Transfer Acceleration and Requester Pays</w:t>
      </w:r>
    </w:p>
    <w:p>
      <w:pPr>
        <w:pStyle w:val="TOCManual"/>
        <w:ind w:left="216" w:hanging="216"/>
      </w:pPr>
      <w:r>
        <w:rPr>
          <w:b/>
        </w:rPr>
        <w:t>12  Terraform Execution and Validation</w:t>
      </w:r>
    </w:p>
    <w:p>
      <w:pPr>
        <w:pStyle w:val="TOCManual"/>
        <w:ind w:left="216" w:hanging="216"/>
      </w:pPr>
      <w:r>
        <w:rPr>
          <w:b/>
        </w:rPr>
        <w:t>13  End-to-End Consumer Example</w:t>
      </w:r>
    </w:p>
    <w:p>
      <w:pPr>
        <w:pStyle w:val="TOCManual"/>
        <w:ind w:left="216" w:hanging="216"/>
      </w:pPr>
      <w:r>
        <w:rPr>
          <w:b/>
        </w:rPr>
        <w:t>14  Troubleshooting and Validation</w:t>
      </w:r>
    </w:p>
    <w:p>
      <w:pPr>
        <w:pStyle w:val="TOCManual"/>
        <w:ind w:left="216" w:hanging="216"/>
      </w:pPr>
      <w:r>
        <w:rPr>
          <w:b/>
        </w:rPr>
        <w:t>15  Roles and Responsibilities</w:t>
      </w:r>
    </w:p>
    <w:p>
      <w:pPr>
        <w:pStyle w:val="TOCManual"/>
        <w:ind w:left="216" w:hanging="216"/>
      </w:pPr>
      <w:r>
        <w:rPr>
          <w:b/>
        </w:rPr>
        <w:t>16  Recommended Practices</w:t>
      </w:r>
    </w:p>
    <w:p>
      <w:pPr>
        <w:pStyle w:val="TOCManual"/>
        <w:ind w:left="216" w:hanging="216"/>
      </w:pPr>
      <w:r>
        <w:rPr>
          <w:b/>
        </w:rPr>
        <w:t>17  Quick Reference</w:t>
      </w:r>
    </w:p>
    <w:p>
      <w:pPr>
        <w:pStyle w:val="TOCManual"/>
        <w:ind w:left="216" w:hanging="216"/>
      </w:pPr>
      <w:r>
        <w:rPr>
          <w:b/>
        </w:rPr>
        <w:t>18  Source and Implementation Notes</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Navigation note: This Table of Contents is intentionally maintained as visible text so it remains available when the document is viewed outside Word or when fields are not updated.</w:t>
            </w:r>
          </w:p>
        </w:tc>
      </w:tr>
    </w:tbl>
    <w:p>
      <w:pPr>
        <w:spacing w:after="20"/>
      </w:pPr>
    </w:p>
    <w:p>
      <w:r/>
    </w:p>
    <w:p>
      <w:pPr>
        <w:pStyle w:val="Heading1"/>
      </w:pPr>
      <w:r>
        <w:t>1. Purpose and Scope</w:t>
      </w:r>
    </w:p>
    <w:p>
      <w:r>
        <w:t>This document explains how an approved consumer can create and configure Amazon S3 buckets by reusing the S3 Terraform module published in the Terraform Enterprise (TFE) private module registry. The consumer repository contains only the configuration required to call the module and provide its inputs; the consumer does not need to recreate the module implementation.</w:t>
      </w:r>
    </w:p>
    <w:p>
      <w:pPr>
        <w:pStyle w:val="Heading2"/>
      </w:pPr>
      <w:r>
        <w:t>1.1 Intended outcome</w:t>
      </w:r>
    </w:p>
    <w:p>
      <w:pPr>
        <w:pStyle w:val="ListBullet"/>
        <w:spacing w:after="50"/>
      </w:pPr>
      <w:r>
        <w:t>Create a standardized S3 bucket using the published module.</w:t>
      </w:r>
    </w:p>
    <w:p>
      <w:pPr>
        <w:pStyle w:val="ListBullet"/>
        <w:spacing w:after="50"/>
      </w:pPr>
      <w:r>
        <w:t>Reuse the same module for different applications and environments.</w:t>
      </w:r>
    </w:p>
    <w:p>
      <w:pPr>
        <w:pStyle w:val="ListBullet"/>
        <w:spacing w:after="50"/>
      </w:pPr>
      <w:r>
        <w:t>Keep environment-specific values in variables rather than hard-coding them.</w:t>
      </w:r>
    </w:p>
    <w:p>
      <w:pPr>
        <w:pStyle w:val="ListBullet"/>
        <w:spacing w:after="50"/>
      </w:pPr>
      <w:r>
        <w:t>Use for_each when multiple similar buckets are required.</w:t>
      </w:r>
    </w:p>
    <w:p>
      <w:pPr>
        <w:pStyle w:val="ListBullet"/>
        <w:spacing w:after="50"/>
      </w:pPr>
      <w:r>
        <w:t>Use optional module features only when the workload requires them.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Scope: This guide is based on the supplied TFE registry screenshot and the supplied Terraform variables.tf and main.tf files. Organization-specific access, approval and authentication procedures should be added by the owning team.</w:t>
            </w:r>
          </w:p>
        </w:tc>
      </w:tr>
    </w:tbl>
    <w:p>
      <w:pPr>
        <w:spacing w:after="20"/>
      </w:pPr>
    </w:p>
    <w:p>
      <w:pPr>
        <w:pStyle w:val="Heading1"/>
      </w:pPr>
      <w:r>
        <w:t>2. Solution Overview</w:t>
      </w:r>
    </w:p>
    <w:p>
      <w:r>
        <w:t>The intended model separates the reusable module implementation from the consumer configuration:</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7"/>
              </w:rPr>
              <w:t>Layer</w:t>
            </w:r>
          </w:p>
        </w:tc>
        <w:tc>
          <w:tcPr>
            <w:tcW w:type="dxa" w:w="7632"/>
            <w:vAlign w:val="center"/>
            <w:shd w:fill="2F5597"/>
          </w:tcPr>
          <w:p>
            <w:pPr>
              <w:spacing w:after="0"/>
            </w:pPr>
            <w:r/>
            <w:r>
              <w:rPr>
                <w:rFonts w:ascii="Aptos" w:hAnsi="Aptos"/>
                <w:b/>
                <w:color w:val="FFFFFF"/>
                <w:sz w:val="17"/>
              </w:rPr>
              <w:t>Purpose</w:t>
            </w:r>
          </w:p>
        </w:tc>
      </w:tr>
      <w:tr>
        <w:tc>
          <w:tcPr>
            <w:tcW w:type="dxa" w:w="2880"/>
            <w:vAlign w:val="center"/>
          </w:tcPr>
          <w:p>
            <w:pPr>
              <w:spacing w:after="0"/>
            </w:pPr>
            <w:r/>
            <w:r>
              <w:rPr>
                <w:rFonts w:ascii="Aptos" w:hAnsi="Aptos"/>
                <w:b w:val="0"/>
                <w:sz w:val="17"/>
              </w:rPr>
              <w:t>Module source repository</w:t>
            </w:r>
          </w:p>
        </w:tc>
        <w:tc>
          <w:tcPr>
            <w:tcW w:type="dxa" w:w="7632"/>
            <w:vAlign w:val="center"/>
          </w:tcPr>
          <w:p>
            <w:pPr>
              <w:spacing w:after="0"/>
            </w:pPr>
            <w:r/>
            <w:r>
              <w:rPr>
                <w:rFonts w:ascii="Aptos" w:hAnsi="Aptos"/>
                <w:b w:val="0"/>
                <w:sz w:val="17"/>
              </w:rPr>
              <w:t>Stores the S3 module implementation. The supplied setup uses Bitbucket as the source repository.</w:t>
            </w:r>
          </w:p>
        </w:tc>
      </w:tr>
      <w:tr>
        <w:tc>
          <w:tcPr>
            <w:tcW w:type="dxa" w:w="2880"/>
            <w:vAlign w:val="center"/>
          </w:tcPr>
          <w:p>
            <w:pPr>
              <w:spacing w:after="0"/>
            </w:pPr>
            <w:r/>
            <w:r>
              <w:rPr>
                <w:rFonts w:ascii="Aptos" w:hAnsi="Aptos"/>
                <w:b w:val="0"/>
                <w:sz w:val="17"/>
              </w:rPr>
              <w:t>Terraform Enterprise registry</w:t>
            </w:r>
          </w:p>
        </w:tc>
        <w:tc>
          <w:tcPr>
            <w:tcW w:type="dxa" w:w="7632"/>
            <w:vAlign w:val="center"/>
          </w:tcPr>
          <w:p>
            <w:pPr>
              <w:spacing w:after="0"/>
            </w:pPr>
            <w:r/>
            <w:r>
              <w:rPr>
                <w:rFonts w:ascii="Aptos" w:hAnsi="Aptos"/>
                <w:b w:val="0"/>
                <w:sz w:val="17"/>
              </w:rPr>
              <w:t>Publishes the module as a private reusable module for approved consumers.</w:t>
            </w:r>
          </w:p>
        </w:tc>
      </w:tr>
      <w:tr>
        <w:tc>
          <w:tcPr>
            <w:tcW w:type="dxa" w:w="2880"/>
            <w:vAlign w:val="center"/>
          </w:tcPr>
          <w:p>
            <w:pPr>
              <w:spacing w:after="0"/>
            </w:pPr>
            <w:r/>
            <w:r>
              <w:rPr>
                <w:rFonts w:ascii="Aptos" w:hAnsi="Aptos"/>
                <w:b w:val="0"/>
                <w:sz w:val="17"/>
              </w:rPr>
              <w:t>Consumer repository</w:t>
            </w:r>
          </w:p>
        </w:tc>
        <w:tc>
          <w:tcPr>
            <w:tcW w:type="dxa" w:w="7632"/>
            <w:vAlign w:val="center"/>
          </w:tcPr>
          <w:p>
            <w:pPr>
              <w:spacing w:after="0"/>
            </w:pPr>
            <w:r/>
            <w:r>
              <w:rPr>
                <w:rFonts w:ascii="Aptos" w:hAnsi="Aptos"/>
                <w:b w:val="0"/>
                <w:sz w:val="17"/>
              </w:rPr>
              <w:t>Contains provider.tf, main.tf, variables.tf and optional locals/tfvars files.</w:t>
            </w:r>
          </w:p>
        </w:tc>
      </w:tr>
      <w:tr>
        <w:tc>
          <w:tcPr>
            <w:tcW w:type="dxa" w:w="2880"/>
            <w:vAlign w:val="center"/>
          </w:tcPr>
          <w:p>
            <w:pPr>
              <w:spacing w:after="0"/>
            </w:pPr>
            <w:r/>
            <w:r>
              <w:rPr>
                <w:rFonts w:ascii="Aptos" w:hAnsi="Aptos"/>
                <w:b w:val="0"/>
                <w:sz w:val="17"/>
              </w:rPr>
              <w:t>AWS account/region</w:t>
            </w:r>
          </w:p>
        </w:tc>
        <w:tc>
          <w:tcPr>
            <w:tcW w:type="dxa" w:w="7632"/>
            <w:vAlign w:val="center"/>
          </w:tcPr>
          <w:p>
            <w:pPr>
              <w:spacing w:after="0"/>
            </w:pPr>
            <w:r/>
            <w:r>
              <w:rPr>
                <w:rFonts w:ascii="Aptos" w:hAnsi="Aptos"/>
                <w:b w:val="0"/>
                <w:sz w:val="17"/>
              </w:rPr>
              <w:t>Receives the S3 bucket and enabled supporting configurations when Terraform is applied.</w:t>
            </w:r>
          </w:p>
        </w:tc>
      </w:tr>
    </w:tbl>
    <w:p>
      <w:pPr>
        <w:spacing w:after="20"/>
      </w:pPr>
    </w:p>
    <w:p>
      <w:pPr>
        <w:pStyle w:val="Heading2"/>
      </w:pPr>
      <w:r>
        <w:t>2.1 Consumer workflow</w:t>
      </w:r>
    </w:p>
    <w:tbl>
      <w:tblPr>
        <w:tblStyle w:val="TableGrid"/>
        <w:tblW w:type="auto" w:w="0"/>
        <w:jc w:val="center"/>
        <w:tblLook w:firstColumn="1" w:firstRow="1" w:lastColumn="0" w:lastRow="0" w:noHBand="0" w:noVBand="1" w:val="04A0"/>
      </w:tblPr>
      <w:tblGrid>
        <w:gridCol w:w="3389"/>
        <w:gridCol w:w="3389"/>
        <w:gridCol w:w="3389"/>
      </w:tblGrid>
      <w:tr>
        <w:tc>
          <w:tcPr>
            <w:tcW w:type="dxa" w:w="648"/>
            <w:vAlign w:val="center"/>
            <w:shd w:fill="2F5597"/>
          </w:tcPr>
          <w:p>
            <w:pPr>
              <w:spacing w:after="0"/>
            </w:pPr>
            <w:r/>
            <w:r>
              <w:rPr>
                <w:rFonts w:ascii="Aptos" w:hAnsi="Aptos"/>
                <w:b/>
                <w:color w:val="FFFFFF"/>
                <w:sz w:val="17"/>
              </w:rPr>
              <w:t>Step</w:t>
            </w:r>
          </w:p>
        </w:tc>
        <w:tc>
          <w:tcPr>
            <w:tcW w:type="dxa" w:w="1944"/>
            <w:vAlign w:val="center"/>
            <w:shd w:fill="2F5597"/>
          </w:tcPr>
          <w:p>
            <w:pPr>
              <w:spacing w:after="0"/>
            </w:pPr>
            <w:r/>
            <w:r>
              <w:rPr>
                <w:rFonts w:ascii="Aptos" w:hAnsi="Aptos"/>
                <w:b/>
                <w:color w:val="FFFFFF"/>
                <w:sz w:val="17"/>
              </w:rPr>
              <w:t>Stage</w:t>
            </w:r>
          </w:p>
        </w:tc>
        <w:tc>
          <w:tcPr>
            <w:tcW w:type="dxa" w:w="7920"/>
            <w:vAlign w:val="center"/>
            <w:shd w:fill="2F5597"/>
          </w:tcPr>
          <w:p>
            <w:pPr>
              <w:spacing w:after="0"/>
            </w:pPr>
            <w:r/>
            <w:r>
              <w:rPr>
                <w:rFonts w:ascii="Aptos" w:hAnsi="Aptos"/>
                <w:b/>
                <w:color w:val="FFFFFF"/>
                <w:sz w:val="17"/>
              </w:rPr>
              <w:t>Expected action</w:t>
            </w:r>
          </w:p>
        </w:tc>
      </w:tr>
      <w:tr>
        <w:tc>
          <w:tcPr>
            <w:tcW w:type="dxa" w:w="648"/>
            <w:vAlign w:val="center"/>
          </w:tcPr>
          <w:p>
            <w:pPr>
              <w:spacing w:after="0"/>
            </w:pPr>
            <w:r/>
            <w:r>
              <w:rPr>
                <w:rFonts w:ascii="Aptos" w:hAnsi="Aptos"/>
                <w:b w:val="0"/>
                <w:sz w:val="17"/>
              </w:rPr>
              <w:t>1</w:t>
            </w:r>
          </w:p>
        </w:tc>
        <w:tc>
          <w:tcPr>
            <w:tcW w:type="dxa" w:w="1944"/>
            <w:vAlign w:val="center"/>
          </w:tcPr>
          <w:p>
            <w:pPr>
              <w:spacing w:after="0"/>
            </w:pPr>
            <w:r/>
            <w:r>
              <w:rPr>
                <w:rFonts w:ascii="Aptos" w:hAnsi="Aptos"/>
                <w:b w:val="0"/>
                <w:sz w:val="17"/>
              </w:rPr>
              <w:t>Prepare consumer repository</w:t>
            </w:r>
          </w:p>
        </w:tc>
        <w:tc>
          <w:tcPr>
            <w:tcW w:type="dxa" w:w="7920"/>
            <w:vAlign w:val="center"/>
          </w:tcPr>
          <w:p>
            <w:pPr>
              <w:spacing w:after="0"/>
            </w:pPr>
            <w:r/>
            <w:r>
              <w:rPr>
                <w:rFonts w:ascii="Aptos" w:hAnsi="Aptos"/>
                <w:b w:val="0"/>
                <w:sz w:val="17"/>
              </w:rPr>
              <w:t>Create the Terraform files required by the workload.</w:t>
            </w:r>
          </w:p>
        </w:tc>
      </w:tr>
      <w:tr>
        <w:tc>
          <w:tcPr>
            <w:tcW w:type="dxa" w:w="648"/>
            <w:vAlign w:val="center"/>
          </w:tcPr>
          <w:p>
            <w:pPr>
              <w:spacing w:after="0"/>
            </w:pPr>
            <w:r/>
            <w:r>
              <w:rPr>
                <w:rFonts w:ascii="Aptos" w:hAnsi="Aptos"/>
                <w:b w:val="0"/>
                <w:sz w:val="17"/>
              </w:rPr>
              <w:t>2</w:t>
            </w:r>
          </w:p>
        </w:tc>
        <w:tc>
          <w:tcPr>
            <w:tcW w:type="dxa" w:w="1944"/>
            <w:vAlign w:val="center"/>
          </w:tcPr>
          <w:p>
            <w:pPr>
              <w:spacing w:after="0"/>
            </w:pPr>
            <w:r/>
            <w:r>
              <w:rPr>
                <w:rFonts w:ascii="Aptos" w:hAnsi="Aptos"/>
                <w:b w:val="0"/>
                <w:sz w:val="17"/>
              </w:rPr>
              <w:t>Select module</w:t>
            </w:r>
          </w:p>
        </w:tc>
        <w:tc>
          <w:tcPr>
            <w:tcW w:type="dxa" w:w="7920"/>
            <w:vAlign w:val="center"/>
          </w:tcPr>
          <w:p>
            <w:pPr>
              <w:spacing w:after="0"/>
            </w:pPr>
            <w:r/>
            <w:r>
              <w:rPr>
                <w:rFonts w:ascii="Aptos" w:hAnsi="Aptos"/>
                <w:b w:val="0"/>
                <w:sz w:val="17"/>
              </w:rPr>
              <w:t>Reference the published TFE module and a tested version.</w:t>
            </w:r>
          </w:p>
        </w:tc>
      </w:tr>
      <w:tr>
        <w:tc>
          <w:tcPr>
            <w:tcW w:type="dxa" w:w="648"/>
            <w:vAlign w:val="center"/>
          </w:tcPr>
          <w:p>
            <w:pPr>
              <w:spacing w:after="0"/>
            </w:pPr>
            <w:r/>
            <w:r>
              <w:rPr>
                <w:rFonts w:ascii="Aptos" w:hAnsi="Aptos"/>
                <w:b w:val="0"/>
                <w:sz w:val="17"/>
              </w:rPr>
              <w:t>3</w:t>
            </w:r>
          </w:p>
        </w:tc>
        <w:tc>
          <w:tcPr>
            <w:tcW w:type="dxa" w:w="1944"/>
            <w:vAlign w:val="center"/>
          </w:tcPr>
          <w:p>
            <w:pPr>
              <w:spacing w:after="0"/>
            </w:pPr>
            <w:r/>
            <w:r>
              <w:rPr>
                <w:rFonts w:ascii="Aptos" w:hAnsi="Aptos"/>
                <w:b w:val="0"/>
                <w:sz w:val="17"/>
              </w:rPr>
              <w:t>Provide inputs</w:t>
            </w:r>
          </w:p>
        </w:tc>
        <w:tc>
          <w:tcPr>
            <w:tcW w:type="dxa" w:w="7920"/>
            <w:vAlign w:val="center"/>
          </w:tcPr>
          <w:p>
            <w:pPr>
              <w:spacing w:after="0"/>
            </w:pPr>
            <w:r/>
            <w:r>
              <w:rPr>
                <w:rFonts w:ascii="Aptos" w:hAnsi="Aptos"/>
                <w:b w:val="0"/>
                <w:sz w:val="17"/>
              </w:rPr>
              <w:t>Pass required values and optional feature settings through variables.</w:t>
            </w:r>
          </w:p>
        </w:tc>
      </w:tr>
      <w:tr>
        <w:tc>
          <w:tcPr>
            <w:tcW w:type="dxa" w:w="648"/>
            <w:vAlign w:val="center"/>
          </w:tcPr>
          <w:p>
            <w:pPr>
              <w:spacing w:after="0"/>
            </w:pPr>
            <w:r/>
            <w:r>
              <w:rPr>
                <w:rFonts w:ascii="Aptos" w:hAnsi="Aptos"/>
                <w:b w:val="0"/>
                <w:sz w:val="17"/>
              </w:rPr>
              <w:t>4</w:t>
            </w:r>
          </w:p>
        </w:tc>
        <w:tc>
          <w:tcPr>
            <w:tcW w:type="dxa" w:w="1944"/>
            <w:vAlign w:val="center"/>
          </w:tcPr>
          <w:p>
            <w:pPr>
              <w:spacing w:after="0"/>
            </w:pPr>
            <w:r/>
            <w:r>
              <w:rPr>
                <w:rFonts w:ascii="Aptos" w:hAnsi="Aptos"/>
                <w:b w:val="0"/>
                <w:sz w:val="17"/>
              </w:rPr>
              <w:t>Validate</w:t>
            </w:r>
          </w:p>
        </w:tc>
        <w:tc>
          <w:tcPr>
            <w:tcW w:type="dxa" w:w="7920"/>
            <w:vAlign w:val="center"/>
          </w:tcPr>
          <w:p>
            <w:pPr>
              <w:spacing w:after="0"/>
            </w:pPr>
            <w:r/>
            <w:r>
              <w:rPr>
                <w:rFonts w:ascii="Aptos" w:hAnsi="Aptos"/>
                <w:b w:val="0"/>
                <w:sz w:val="17"/>
              </w:rPr>
              <w:t>Run formatting, validation and plan; review proposed changes.</w:t>
            </w:r>
          </w:p>
        </w:tc>
      </w:tr>
      <w:tr>
        <w:tc>
          <w:tcPr>
            <w:tcW w:type="dxa" w:w="648"/>
            <w:vAlign w:val="center"/>
          </w:tcPr>
          <w:p>
            <w:pPr>
              <w:spacing w:after="0"/>
            </w:pPr>
            <w:r/>
            <w:r>
              <w:rPr>
                <w:rFonts w:ascii="Aptos" w:hAnsi="Aptos"/>
                <w:b w:val="0"/>
                <w:sz w:val="17"/>
              </w:rPr>
              <w:t>5</w:t>
            </w:r>
          </w:p>
        </w:tc>
        <w:tc>
          <w:tcPr>
            <w:tcW w:type="dxa" w:w="1944"/>
            <w:vAlign w:val="center"/>
          </w:tcPr>
          <w:p>
            <w:pPr>
              <w:spacing w:after="0"/>
            </w:pPr>
            <w:r/>
            <w:r>
              <w:rPr>
                <w:rFonts w:ascii="Aptos" w:hAnsi="Aptos"/>
                <w:b w:val="0"/>
                <w:sz w:val="17"/>
              </w:rPr>
              <w:t>Apply</w:t>
            </w:r>
          </w:p>
        </w:tc>
        <w:tc>
          <w:tcPr>
            <w:tcW w:type="dxa" w:w="7920"/>
            <w:vAlign w:val="center"/>
          </w:tcPr>
          <w:p>
            <w:pPr>
              <w:spacing w:after="0"/>
            </w:pPr>
            <w:r/>
            <w:r>
              <w:rPr>
                <w:rFonts w:ascii="Aptos" w:hAnsi="Aptos"/>
                <w:b w:val="0"/>
                <w:sz w:val="17"/>
              </w:rPr>
              <w:t>Execute through the approved Terraform/TFE workflow.</w:t>
            </w:r>
          </w:p>
        </w:tc>
      </w:tr>
      <w:tr>
        <w:tc>
          <w:tcPr>
            <w:tcW w:type="dxa" w:w="648"/>
            <w:vAlign w:val="center"/>
          </w:tcPr>
          <w:p>
            <w:pPr>
              <w:spacing w:after="0"/>
            </w:pPr>
            <w:r/>
            <w:r>
              <w:rPr>
                <w:rFonts w:ascii="Aptos" w:hAnsi="Aptos"/>
                <w:b w:val="0"/>
                <w:sz w:val="17"/>
              </w:rPr>
              <w:t>6</w:t>
            </w:r>
          </w:p>
        </w:tc>
        <w:tc>
          <w:tcPr>
            <w:tcW w:type="dxa" w:w="1944"/>
            <w:vAlign w:val="center"/>
          </w:tcPr>
          <w:p>
            <w:pPr>
              <w:spacing w:after="0"/>
            </w:pPr>
            <w:r/>
            <w:r>
              <w:rPr>
                <w:rFonts w:ascii="Aptos" w:hAnsi="Aptos"/>
                <w:b w:val="0"/>
                <w:sz w:val="17"/>
              </w:rPr>
              <w:t>Verify</w:t>
            </w:r>
          </w:p>
        </w:tc>
        <w:tc>
          <w:tcPr>
            <w:tcW w:type="dxa" w:w="7920"/>
            <w:vAlign w:val="center"/>
          </w:tcPr>
          <w:p>
            <w:pPr>
              <w:spacing w:after="0"/>
            </w:pPr>
            <w:r/>
            <w:r>
              <w:rPr>
                <w:rFonts w:ascii="Aptos" w:hAnsi="Aptos"/>
                <w:b w:val="0"/>
                <w:sz w:val="17"/>
              </w:rPr>
              <w:t>Confirm the S3 bucket and enabled features in AWS.</w:t>
            </w:r>
          </w:p>
        </w:tc>
      </w:tr>
    </w:tbl>
    <w:p>
      <w:pPr>
        <w:spacing w:after="20"/>
      </w:pPr>
    </w:p>
    <w:p>
      <w:pPr>
        <w:pStyle w:val="Heading2"/>
      </w:pPr>
      <w:r>
        <w:t>2.2 What the consumer reuses</w:t>
      </w:r>
    </w:p>
    <w:p>
      <w:r>
        <w:t xml:space="preserve">The supplied module implementation covers the S3 bucket and several optional configurations, including server-side encryption, versioning, ownership controls, public access blocking, website configuration, event notifications, EventBridge, transfer acceleration, requester pays and Object Lock. The module also contains notification permission handling. </w:t>
      </w:r>
    </w:p>
    <w:p>
      <w:pPr>
        <w:pStyle w:val="Heading1"/>
      </w:pPr>
      <w:r>
        <w:t>3. Prerequisites</w:t>
      </w:r>
    </w:p>
    <w:p>
      <w:pPr>
        <w:pStyle w:val="ListBullet"/>
        <w:spacing w:after="50"/>
      </w:pPr>
      <w:r>
        <w:t>Access to the approved Terraform Enterprise organization/registry and the published private module.</w:t>
      </w:r>
    </w:p>
    <w:p>
      <w:pPr>
        <w:pStyle w:val="ListBullet"/>
        <w:spacing w:after="50"/>
      </w:pPr>
      <w:r>
        <w:t>A consumer repository where the Terraform configuration will be maintained.</w:t>
      </w:r>
    </w:p>
    <w:p>
      <w:pPr>
        <w:pStyle w:val="ListBullet"/>
        <w:spacing w:after="50"/>
      </w:pPr>
      <w:r>
        <w:t>An AWS provider configuration for the target account and region.</w:t>
      </w:r>
    </w:p>
    <w:p>
      <w:pPr>
        <w:pStyle w:val="ListBullet"/>
        <w:spacing w:after="50"/>
      </w:pPr>
      <w:r>
        <w:t>Permissions required to provision the requested S3 and related AWS resources.</w:t>
      </w:r>
    </w:p>
    <w:p>
      <w:pPr>
        <w:pStyle w:val="ListBullet"/>
        <w:spacing w:after="50"/>
      </w:pPr>
      <w:r>
        <w:t>Existing SNS, SQS or Lambda destination resources when S3 event notifications are required.</w:t>
      </w:r>
    </w:p>
    <w:p>
      <w:pPr>
        <w:pStyle w:val="ListBullet"/>
        <w:spacing w:after="50"/>
      </w:pPr>
      <w:r>
        <w:t>Required permissions for notification destinations. The supplied source expects destination resources and permissions to be available.</w:t>
      </w:r>
    </w:p>
    <w:p>
      <w:pPr>
        <w:pStyle w:val="ListBullet"/>
        <w:spacing w:after="50"/>
      </w:pPr>
      <w:r>
        <w:t>Where notification permission management is enabled, a supported execution environment for the configured Python helper command.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Do not assume: The supplied module files do not define your organization's repository-creation, TFE workspace creation, authentication, approval or change-management process. Those steps should be documented separately by the platform team.</w:t>
            </w:r>
          </w:p>
        </w:tc>
      </w:tr>
    </w:tbl>
    <w:p>
      <w:pPr>
        <w:spacing w:after="20"/>
      </w:pPr>
    </w:p>
    <w:p>
      <w:pPr>
        <w:pStyle w:val="Heading1"/>
      </w:pPr>
      <w:r>
        <w:t>4. Consumer Repository Setup</w:t>
      </w:r>
    </w:p>
    <w:p>
      <w:r>
        <w:t>A recommended consumer repository structure is:</w:t>
      </w:r>
    </w:p>
    <w:p>
      <w:pPr>
        <w:spacing w:before="40" w:after="100"/>
        <w:ind w:left="259" w:right="72"/>
        <w:shd w:fill="F4F6F8"/>
      </w:pPr>
      <w:r>
        <w:rPr>
          <w:rFonts w:ascii="Consolas" w:hAnsi="Consolas"/>
          <w:sz w:val="16"/>
        </w:rPr>
        <w:t>s3-consumer/</w:t>
        <w:br/>
        <w:t>├── provider.tf</w:t>
        <w:br/>
        <w:t>├── main.tf</w:t>
        <w:br/>
        <w:t>├── variables.tf</w:t>
        <w:br/>
        <w:t>├── locals.tf              # optional – useful for multiple buckets</w:t>
        <w:br/>
        <w:t>├── terraform.tfvars       # optional – non-sensitive environment values</w:t>
        <w:br/>
        <w:t>└── README.md              # optional – application-specific notes</w:t>
      </w:r>
    </w:p>
    <w:p>
      <w:pPr>
        <w:pStyle w:val="Heading2"/>
      </w:pPr>
      <w:r>
        <w:t>4.1 File responsibilities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2F5597"/>
          </w:tcPr>
          <w:p>
            <w:pPr>
              <w:spacing w:after="0"/>
            </w:pPr>
            <w:r/>
            <w:r>
              <w:rPr>
                <w:rFonts w:ascii="Aptos" w:hAnsi="Aptos"/>
                <w:b/>
                <w:color w:val="FFFFFF"/>
                <w:sz w:val="17"/>
              </w:rPr>
              <w:t>File</w:t>
            </w:r>
          </w:p>
        </w:tc>
        <w:tc>
          <w:tcPr>
            <w:tcW w:type="dxa" w:w="8280"/>
            <w:vAlign w:val="center"/>
            <w:shd w:fill="2F5597"/>
          </w:tcPr>
          <w:p>
            <w:pPr>
              <w:spacing w:after="0"/>
            </w:pPr>
            <w:r/>
            <w:r>
              <w:rPr>
                <w:rFonts w:ascii="Aptos" w:hAnsi="Aptos"/>
                <w:b/>
                <w:color w:val="FFFFFF"/>
                <w:sz w:val="17"/>
              </w:rPr>
              <w:t>Recommended responsibility</w:t>
            </w:r>
          </w:p>
        </w:tc>
      </w:tr>
      <w:tr>
        <w:tc>
          <w:tcPr>
            <w:tcW w:type="dxa" w:w="2232"/>
            <w:vAlign w:val="center"/>
          </w:tcPr>
          <w:p>
            <w:pPr>
              <w:spacing w:after="0"/>
            </w:pPr>
            <w:r/>
            <w:r>
              <w:rPr>
                <w:rFonts w:ascii="Aptos" w:hAnsi="Aptos"/>
                <w:b w:val="0"/>
                <w:sz w:val="17"/>
              </w:rPr>
              <w:t>provider.tf</w:t>
            </w:r>
          </w:p>
        </w:tc>
        <w:tc>
          <w:tcPr>
            <w:tcW w:type="dxa" w:w="8280"/>
            <w:vAlign w:val="center"/>
          </w:tcPr>
          <w:p>
            <w:pPr>
              <w:spacing w:after="0"/>
            </w:pPr>
            <w:r/>
            <w:r>
              <w:rPr>
                <w:rFonts w:ascii="Aptos" w:hAnsi="Aptos"/>
                <w:b w:val="0"/>
                <w:sz w:val="17"/>
              </w:rPr>
              <w:t>Terraform/provider configuration and the target AWS region.</w:t>
            </w:r>
          </w:p>
        </w:tc>
      </w:tr>
      <w:tr>
        <w:tc>
          <w:tcPr>
            <w:tcW w:type="dxa" w:w="2232"/>
            <w:vAlign w:val="center"/>
          </w:tcPr>
          <w:p>
            <w:pPr>
              <w:spacing w:after="0"/>
            </w:pPr>
            <w:r/>
            <w:r>
              <w:rPr>
                <w:rFonts w:ascii="Aptos" w:hAnsi="Aptos"/>
                <w:b w:val="0"/>
                <w:sz w:val="17"/>
              </w:rPr>
              <w:t>main.tf</w:t>
            </w:r>
          </w:p>
        </w:tc>
        <w:tc>
          <w:tcPr>
            <w:tcW w:type="dxa" w:w="8280"/>
            <w:vAlign w:val="center"/>
          </w:tcPr>
          <w:p>
            <w:pPr>
              <w:spacing w:after="0"/>
            </w:pPr>
            <w:r/>
            <w:r>
              <w:rPr>
                <w:rFonts w:ascii="Aptos" w:hAnsi="Aptos"/>
                <w:b w:val="0"/>
                <w:sz w:val="17"/>
              </w:rPr>
              <w:t>Calls the published S3 module and passes inputs.</w:t>
            </w:r>
          </w:p>
        </w:tc>
      </w:tr>
      <w:tr>
        <w:tc>
          <w:tcPr>
            <w:tcW w:type="dxa" w:w="2232"/>
            <w:vAlign w:val="center"/>
          </w:tcPr>
          <w:p>
            <w:pPr>
              <w:spacing w:after="0"/>
            </w:pPr>
            <w:r/>
            <w:r>
              <w:rPr>
                <w:rFonts w:ascii="Aptos" w:hAnsi="Aptos"/>
                <w:b w:val="0"/>
                <w:sz w:val="17"/>
              </w:rPr>
              <w:t>variables.tf</w:t>
            </w:r>
          </w:p>
        </w:tc>
        <w:tc>
          <w:tcPr>
            <w:tcW w:type="dxa" w:w="8280"/>
            <w:vAlign w:val="center"/>
          </w:tcPr>
          <w:p>
            <w:pPr>
              <w:spacing w:after="0"/>
            </w:pPr>
            <w:r/>
            <w:r>
              <w:rPr>
                <w:rFonts w:ascii="Aptos" w:hAnsi="Aptos"/>
                <w:b w:val="0"/>
                <w:sz w:val="17"/>
              </w:rPr>
              <w:t>Defines consumer-side variables used by main.tf.</w:t>
            </w:r>
          </w:p>
        </w:tc>
      </w:tr>
      <w:tr>
        <w:tc>
          <w:tcPr>
            <w:tcW w:type="dxa" w:w="2232"/>
            <w:vAlign w:val="center"/>
          </w:tcPr>
          <w:p>
            <w:pPr>
              <w:spacing w:after="0"/>
            </w:pPr>
            <w:r/>
            <w:r>
              <w:rPr>
                <w:rFonts w:ascii="Aptos" w:hAnsi="Aptos"/>
                <w:b w:val="0"/>
                <w:sz w:val="17"/>
              </w:rPr>
              <w:t>locals.tf</w:t>
            </w:r>
          </w:p>
        </w:tc>
        <w:tc>
          <w:tcPr>
            <w:tcW w:type="dxa" w:w="8280"/>
            <w:vAlign w:val="center"/>
          </w:tcPr>
          <w:p>
            <w:pPr>
              <w:spacing w:after="0"/>
            </w:pPr>
            <w:r/>
            <w:r>
              <w:rPr>
                <w:rFonts w:ascii="Aptos" w:hAnsi="Aptos"/>
                <w:b w:val="0"/>
                <w:sz w:val="17"/>
              </w:rPr>
              <w:t>Optional data structure for multiple buckets or derived configuration.</w:t>
            </w:r>
          </w:p>
        </w:tc>
      </w:tr>
      <w:tr>
        <w:tc>
          <w:tcPr>
            <w:tcW w:type="dxa" w:w="2232"/>
            <w:vAlign w:val="center"/>
          </w:tcPr>
          <w:p>
            <w:pPr>
              <w:spacing w:after="0"/>
            </w:pPr>
            <w:r/>
            <w:r>
              <w:rPr>
                <w:rFonts w:ascii="Aptos" w:hAnsi="Aptos"/>
                <w:b w:val="0"/>
                <w:sz w:val="17"/>
              </w:rPr>
              <w:t>terraform.tfvars</w:t>
            </w:r>
          </w:p>
        </w:tc>
        <w:tc>
          <w:tcPr>
            <w:tcW w:type="dxa" w:w="8280"/>
            <w:vAlign w:val="center"/>
          </w:tcPr>
          <w:p>
            <w:pPr>
              <w:spacing w:after="0"/>
            </w:pPr>
            <w:r/>
            <w:r>
              <w:rPr>
                <w:rFonts w:ascii="Aptos" w:hAnsi="Aptos"/>
                <w:b w:val="0"/>
                <w:sz w:val="17"/>
              </w:rPr>
              <w:t>Optional environment-specific values; use approved secure mechanisms for sensitive data.</w:t>
            </w:r>
          </w:p>
        </w:tc>
      </w:tr>
      <w:tr>
        <w:tc>
          <w:tcPr>
            <w:tcW w:type="dxa" w:w="2232"/>
            <w:vAlign w:val="center"/>
          </w:tcPr>
          <w:p>
            <w:pPr>
              <w:spacing w:after="0"/>
            </w:pPr>
            <w:r/>
            <w:r>
              <w:rPr>
                <w:rFonts w:ascii="Aptos" w:hAnsi="Aptos"/>
                <w:b w:val="0"/>
                <w:sz w:val="17"/>
              </w:rPr>
              <w:t>README.md</w:t>
            </w:r>
          </w:p>
        </w:tc>
        <w:tc>
          <w:tcPr>
            <w:tcW w:type="dxa" w:w="8280"/>
            <w:vAlign w:val="center"/>
          </w:tcPr>
          <w:p>
            <w:pPr>
              <w:spacing w:after="0"/>
            </w:pPr>
            <w:r/>
            <w:r>
              <w:rPr>
                <w:rFonts w:ascii="Aptos" w:hAnsi="Aptos"/>
                <w:b w:val="0"/>
                <w:sz w:val="17"/>
              </w:rPr>
              <w:t>Optional repository-specific usage and operational notes.</w:t>
            </w:r>
          </w:p>
        </w:tc>
      </w:tr>
    </w:tbl>
    <w:p>
      <w:pPr>
        <w:spacing w:after="20"/>
      </w:pPr>
    </w:p>
    <w:p>
      <w:pPr>
        <w:pStyle w:val="Heading1"/>
      </w:pPr>
      <w:r>
        <w:t>5. Configure the AWS Provider</w:t>
      </w:r>
    </w:p>
    <w:p>
      <w:r>
        <w:t>The consumer repository should configure the AWS provider according to the organization's approved Terraform standard.</w:t>
      </w:r>
    </w:p>
    <w:p>
      <w:pPr>
        <w:spacing w:before="40" w:after="100"/>
        <w:ind w:left="259" w:right="72"/>
        <w:shd w:fill="F4F6F8"/>
      </w:pPr>
      <w:r>
        <w:rPr>
          <w:rFonts w:ascii="Consolas" w:hAnsi="Consolas"/>
          <w:sz w:val="16"/>
        </w:rPr>
        <w:t># provider.tf</w:t>
        <w:br/>
        <w:t>terraform {</w:t>
        <w:br/>
        <w:t xml:space="preserve">  required_providers {</w:t>
        <w:br/>
        <w:t xml:space="preserve">    aws = {</w:t>
        <w:br/>
        <w:t xml:space="preserve">      source = "hashicorp/aws"</w:t>
        <w:br/>
        <w:t xml:space="preserve">      # Use the organization-approved provider version.</w:t>
        <w:br/>
        <w:t xml:space="preserve">    }</w:t>
        <w:br/>
        <w:t xml:space="preserve">  }</w:t>
        <w:br/>
        <w:t>}</w:t>
        <w:br/>
        <w:br/>
        <w:t>provider "aws" {</w:t>
        <w:br/>
        <w:t xml:space="preserve">  region = var.aws_region</w:t>
        <w:b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Important: The supplied S3 module source does not establish an organization-wide AWS provider version or authentication pattern. Do not treat an example provider version as a mandatory standard; use the version and authentication method approved for your environment.</w:t>
            </w:r>
          </w:p>
        </w:tc>
      </w:tr>
    </w:tbl>
    <w:p>
      <w:pPr>
        <w:spacing w:after="20"/>
      </w:pPr>
    </w:p>
    <w:p>
      <w:pPr>
        <w:pStyle w:val="Heading1"/>
      </w:pPr>
      <w:r>
        <w:t>6. Consume the Published S3 Module</w:t>
      </w:r>
    </w:p>
    <w:p>
      <w:r>
        <w:t>From the TFE registry page, the consumer-facing module reference is:</w:t>
      </w:r>
    </w:p>
    <w:p>
      <w:pPr>
        <w:spacing w:before="40" w:after="100"/>
        <w:ind w:left="259" w:right="72"/>
        <w:shd w:fill="F4F6F8"/>
      </w:pPr>
      <w:r>
        <w:rPr>
          <w:rFonts w:ascii="Consolas" w:hAnsi="Consolas"/>
          <w:sz w:val="16"/>
        </w:rPr>
        <w:t>module "s3" {</w:t>
        <w:br/>
        <w:t xml:space="preserve">  source  = "tfe-dev.aws.novartis.net/Novartis/s3-poc/aws"</w:t>
        <w:br/>
        <w:t xml:space="preserve">  version = "1.0.1"</w:t>
        <w:br/>
        <w:br/>
        <w:t xml:space="preserve">  # required and optional inputs</w:t>
        <w:br/>
        <w:t>}</w:t>
      </w:r>
    </w:p>
    <w:p>
      <w:r>
        <w:t>The registry screenshot shows the module under the private registry and provides a Usage Instructions section with the source and version. The consumer should use the registry source rather than copying the module implementation.</w:t>
      </w:r>
    </w:p>
    <w:p>
      <w:pPr>
        <w:pStyle w:val="Heading2"/>
      </w:pPr>
      <w:r>
        <w:t>6.1 Why this approach is preferred</w:t>
      </w:r>
    </w:p>
    <w:p>
      <w:pPr>
        <w:pStyle w:val="ListBullet"/>
        <w:spacing w:after="50"/>
      </w:pPr>
      <w:r>
        <w:t>One reusable implementation can be consumed by multiple application teams.</w:t>
      </w:r>
    </w:p>
    <w:p>
      <w:pPr>
        <w:pStyle w:val="ListBullet"/>
        <w:spacing w:after="50"/>
      </w:pPr>
      <w:r>
        <w:t>Module changes can be versioned and released centrally through the registry.</w:t>
      </w:r>
    </w:p>
    <w:p>
      <w:pPr>
        <w:pStyle w:val="ListBullet"/>
        <w:spacing w:after="50"/>
      </w:pPr>
      <w:r>
        <w:t>Consumers provide configuration rather than maintaining duplicate S3 resource code.</w:t>
      </w:r>
    </w:p>
    <w:p>
      <w:pPr>
        <w:pStyle w:val="ListBullet"/>
        <w:spacing w:after="50"/>
      </w:pPr>
      <w:r>
        <w:t>Security and standard configuration can be applied consistently through module defaults and validations.</w:t>
      </w:r>
    </w:p>
    <w:p>
      <w:pPr>
        <w:pStyle w:val="Heading1"/>
      </w:pPr>
      <w:r>
        <w:t>7. Configure Required Inputs</w:t>
      </w:r>
    </w:p>
    <w:p>
      <w:r>
        <w:t>The TFE registry screenshot identifies five required inputs for the published version: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2F5597"/>
          </w:tcPr>
          <w:p>
            <w:pPr>
              <w:spacing w:after="0"/>
            </w:pPr>
            <w:r/>
            <w:r>
              <w:rPr>
                <w:rFonts w:ascii="Aptos" w:hAnsi="Aptos"/>
                <w:b/>
                <w:color w:val="FFFFFF"/>
                <w:sz w:val="17"/>
              </w:rPr>
              <w:t>Input</w:t>
            </w:r>
          </w:p>
        </w:tc>
        <w:tc>
          <w:tcPr>
            <w:tcW w:type="dxa" w:w="8064"/>
            <w:vAlign w:val="center"/>
            <w:shd w:fill="2F5597"/>
          </w:tcPr>
          <w:p>
            <w:pPr>
              <w:spacing w:after="0"/>
            </w:pPr>
            <w:r/>
            <w:r>
              <w:rPr>
                <w:rFonts w:ascii="Aptos" w:hAnsi="Aptos"/>
                <w:b/>
                <w:color w:val="FFFFFF"/>
                <w:sz w:val="17"/>
              </w:rPr>
              <w:t>Description</w:t>
            </w:r>
          </w:p>
        </w:tc>
      </w:tr>
      <w:tr>
        <w:tc>
          <w:tcPr>
            <w:tcW w:type="dxa" w:w="2448"/>
            <w:vAlign w:val="center"/>
          </w:tcPr>
          <w:p>
            <w:pPr>
              <w:spacing w:after="0"/>
            </w:pPr>
            <w:r/>
            <w:r>
              <w:rPr>
                <w:rFonts w:ascii="Aptos" w:hAnsi="Aptos"/>
                <w:b w:val="0"/>
                <w:sz w:val="17"/>
              </w:rPr>
              <w:t>application</w:t>
            </w:r>
          </w:p>
        </w:tc>
        <w:tc>
          <w:tcPr>
            <w:tcW w:type="dxa" w:w="8064"/>
            <w:vAlign w:val="center"/>
          </w:tcPr>
          <w:p>
            <w:pPr>
              <w:spacing w:after="0"/>
            </w:pPr>
            <w:r/>
            <w:r>
              <w:rPr>
                <w:rFonts w:ascii="Aptos" w:hAnsi="Aptos"/>
                <w:b w:val="0"/>
                <w:sz w:val="17"/>
              </w:rPr>
              <w:t>Application name.</w:t>
            </w:r>
          </w:p>
        </w:tc>
      </w:tr>
      <w:tr>
        <w:tc>
          <w:tcPr>
            <w:tcW w:type="dxa" w:w="2448"/>
            <w:vAlign w:val="center"/>
          </w:tcPr>
          <w:p>
            <w:pPr>
              <w:spacing w:after="0"/>
            </w:pPr>
            <w:r/>
            <w:r>
              <w:rPr>
                <w:rFonts w:ascii="Aptos" w:hAnsi="Aptos"/>
                <w:b w:val="0"/>
                <w:sz w:val="17"/>
              </w:rPr>
              <w:t>bucket_name</w:t>
            </w:r>
          </w:p>
        </w:tc>
        <w:tc>
          <w:tcPr>
            <w:tcW w:type="dxa" w:w="8064"/>
            <w:vAlign w:val="center"/>
          </w:tcPr>
          <w:p>
            <w:pPr>
              <w:spacing w:after="0"/>
            </w:pPr>
            <w:r/>
            <w:r>
              <w:rPr>
                <w:rFonts w:ascii="Aptos" w:hAnsi="Aptos"/>
                <w:b w:val="0"/>
                <w:sz w:val="17"/>
              </w:rPr>
              <w:t>Bucket name prefix. The module generates the final bucket name.</w:t>
            </w:r>
          </w:p>
        </w:tc>
      </w:tr>
      <w:tr>
        <w:tc>
          <w:tcPr>
            <w:tcW w:type="dxa" w:w="2448"/>
            <w:vAlign w:val="center"/>
          </w:tcPr>
          <w:p>
            <w:pPr>
              <w:spacing w:after="0"/>
            </w:pPr>
            <w:r/>
            <w:r>
              <w:rPr>
                <w:rFonts w:ascii="Aptos" w:hAnsi="Aptos"/>
                <w:b w:val="0"/>
                <w:sz w:val="17"/>
              </w:rPr>
              <w:t>environment</w:t>
            </w:r>
          </w:p>
        </w:tc>
        <w:tc>
          <w:tcPr>
            <w:tcW w:type="dxa" w:w="8064"/>
            <w:vAlign w:val="center"/>
          </w:tcPr>
          <w:p>
            <w:pPr>
              <w:spacing w:after="0"/>
            </w:pPr>
            <w:r/>
            <w:r>
              <w:rPr>
                <w:rFonts w:ascii="Aptos" w:hAnsi="Aptos"/>
                <w:b w:val="0"/>
                <w:sz w:val="17"/>
              </w:rPr>
              <w:t>Environment name.</w:t>
            </w:r>
          </w:p>
        </w:tc>
      </w:tr>
      <w:tr>
        <w:tc>
          <w:tcPr>
            <w:tcW w:type="dxa" w:w="2448"/>
            <w:vAlign w:val="center"/>
          </w:tcPr>
          <w:p>
            <w:pPr>
              <w:spacing w:after="0"/>
            </w:pPr>
            <w:r/>
            <w:r>
              <w:rPr>
                <w:rFonts w:ascii="Aptos" w:hAnsi="Aptos"/>
                <w:b w:val="0"/>
                <w:sz w:val="17"/>
              </w:rPr>
              <w:t>owner</w:t>
            </w:r>
          </w:p>
        </w:tc>
        <w:tc>
          <w:tcPr>
            <w:tcW w:type="dxa" w:w="8064"/>
            <w:vAlign w:val="center"/>
          </w:tcPr>
          <w:p>
            <w:pPr>
              <w:spacing w:after="0"/>
            </w:pPr>
            <w:r/>
            <w:r>
              <w:rPr>
                <w:rFonts w:ascii="Aptos" w:hAnsi="Aptos"/>
                <w:b w:val="0"/>
                <w:sz w:val="17"/>
              </w:rPr>
              <w:t>Application owner.</w:t>
            </w:r>
          </w:p>
        </w:tc>
      </w:tr>
      <w:tr>
        <w:tc>
          <w:tcPr>
            <w:tcW w:type="dxa" w:w="2448"/>
            <w:vAlign w:val="center"/>
          </w:tcPr>
          <w:p>
            <w:pPr>
              <w:spacing w:after="0"/>
            </w:pPr>
            <w:r/>
            <w:r>
              <w:rPr>
                <w:rFonts w:ascii="Aptos" w:hAnsi="Aptos"/>
                <w:b w:val="0"/>
                <w:sz w:val="17"/>
              </w:rPr>
              <w:t>project</w:t>
            </w:r>
          </w:p>
        </w:tc>
        <w:tc>
          <w:tcPr>
            <w:tcW w:type="dxa" w:w="8064"/>
            <w:vAlign w:val="center"/>
          </w:tcPr>
          <w:p>
            <w:pPr>
              <w:spacing w:after="0"/>
            </w:pPr>
            <w:r/>
            <w:r>
              <w:rPr>
                <w:rFonts w:ascii="Aptos" w:hAnsi="Aptos"/>
                <w:b w:val="0"/>
                <w:sz w:val="17"/>
              </w:rPr>
              <w:t>Project name.</w:t>
            </w:r>
          </w:p>
        </w:tc>
      </w:tr>
    </w:tbl>
    <w:p>
      <w:pPr>
        <w:spacing w:after="20"/>
      </w:pPr>
    </w:p>
    <w:p>
      <w:r>
        <w:t xml:space="preserve">The supplied variables file also defines cost_center without a default, so it should be treated as a required consumer input for this module configuration. The module applies these values as tags. </w:t>
      </w:r>
    </w:p>
    <w:p>
      <w:pPr>
        <w:spacing w:before="40" w:after="100"/>
        <w:ind w:left="259" w:right="72"/>
        <w:shd w:fill="F4F6F8"/>
      </w:pPr>
      <w:r>
        <w:rPr>
          <w:rFonts w:ascii="Consolas" w:hAnsi="Consolas"/>
          <w:sz w:val="16"/>
        </w:rPr>
        <w:t>module "s3" {</w:t>
        <w:br/>
        <w:t xml:space="preserve">  source  = "tfe-dev.aws.novartis.net/Novartis/s3-poc/aws"</w:t>
        <w:br/>
        <w:t xml:space="preserve">  version = "1.0.1"</w:t>
        <w:br/>
        <w:br/>
        <w:t xml:space="preserve">  bucket_name = var.bucket_name</w:t>
        <w:br/>
        <w:t xml:space="preserve">  environment = var.environment</w:t>
        <w:br/>
        <w:t xml:space="preserve">  project     = var.project</w:t>
        <w:br/>
        <w:t xml:space="preserve">  application = var.application</w:t>
        <w:br/>
        <w:t xml:space="preserve">  owner       = var.owner</w:t>
        <w:br/>
        <w:t xml:space="preserve">  cost_center = var.cost_center</w:t>
        <w:br/>
        <w:t>}</w:t>
      </w:r>
    </w:p>
    <w:p>
      <w:pPr>
        <w:pStyle w:val="Heading1"/>
      </w:pPr>
      <w:r>
        <w:t>8. Use Variables Instead of Hard-Coded Values</w:t>
      </w:r>
    </w:p>
    <w:p>
      <w:r>
        <w:t>Keep the module block reusable by defining consumer-side variables and passing those variables into the module.</w:t>
      </w:r>
    </w:p>
    <w:p>
      <w:pPr>
        <w:spacing w:before="40" w:after="100"/>
        <w:ind w:left="259" w:right="72"/>
        <w:shd w:fill="F4F6F8"/>
      </w:pPr>
      <w:r>
        <w:rPr>
          <w:rFonts w:ascii="Consolas" w:hAnsi="Consolas"/>
          <w:sz w:val="16"/>
        </w:rPr>
        <w:t># variables.tf</w:t>
        <w:br/>
        <w:t>variable "bucket_name" {</w:t>
        <w:br/>
        <w:t xml:space="preserve">  type        = string</w:t>
        <w:br/>
        <w:t xml:space="preserve">  description = "Bucket name prefix."</w:t>
        <w:br/>
        <w:t>}</w:t>
        <w:br/>
        <w:br/>
        <w:t>variable "environment" {</w:t>
        <w:br/>
        <w:t xml:space="preserve">  type = string</w:t>
        <w:br/>
        <w:t>}</w:t>
        <w:br/>
        <w:br/>
        <w:t>variable "project" {</w:t>
        <w:br/>
        <w:t xml:space="preserve">  type = string</w:t>
        <w:br/>
        <w:t>}</w:t>
        <w:br/>
        <w:br/>
        <w:t>variable "application" {</w:t>
        <w:br/>
        <w:t xml:space="preserve">  type = string</w:t>
        <w:br/>
        <w:t>}</w:t>
        <w:br/>
        <w:br/>
        <w:t>variable "owner" {</w:t>
        <w:br/>
        <w:t xml:space="preserve">  type = string</w:t>
        <w:br/>
        <w:t>}</w:t>
        <w:br/>
        <w:br/>
        <w:t>variable "cost_center" {</w:t>
        <w:br/>
        <w:t xml:space="preserve">  type = string</w:t>
        <w:br/>
        <w:t>}</w:t>
        <w:br/>
        <w:br/>
        <w:t>variable "aws_region" {</w:t>
        <w:br/>
        <w:t xml:space="preserve">  type = string</w:t>
        <w:br/>
        <w:t>}</w:t>
      </w:r>
    </w:p>
    <w:p>
      <w:pPr>
        <w:spacing w:before="40" w:after="100"/>
        <w:ind w:left="259" w:right="72"/>
        <w:shd w:fill="F4F6F8"/>
      </w:pPr>
      <w:r>
        <w:rPr>
          <w:rFonts w:ascii="Consolas" w:hAnsi="Consolas"/>
          <w:sz w:val="16"/>
        </w:rPr>
        <w:t># terraform.tfvars – example only</w:t>
        <w:br/>
        <w:t>bucket_name = "customer-data"</w:t>
        <w:br/>
        <w:t>environment = "dev"</w:t>
        <w:br/>
        <w:t>project     = "analytics"</w:t>
        <w:br/>
        <w:t>application = "reporting"</w:t>
        <w:br/>
        <w:t>owner       = "data-team"</w:t>
        <w:br/>
        <w:t>cost_center = "12345"</w:t>
        <w:br/>
        <w:t>aws_region  = "ap-south-1"</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DE9D9"/>
            <w:vAlign w:val="center"/>
          </w:tcPr>
          <w:p>
            <w:pPr>
              <w:spacing w:after="0"/>
            </w:pPr>
            <w:r/>
            <w:r>
              <w:rPr>
                <w:rFonts w:ascii="Aptos" w:hAnsi="Aptos"/>
                <w:b w:val="0"/>
                <w:sz w:val="17"/>
              </w:rPr>
              <w:t>Security: Do not place credentials, passwords, access keys or other secrets directly in Terraform configuration. Use the approved TFE/workspace or AWS authentication mechanism.</w:t>
            </w:r>
          </w:p>
        </w:tc>
      </w:tr>
    </w:tbl>
    <w:p>
      <w:pPr>
        <w:spacing w:after="20"/>
      </w:pPr>
    </w:p>
    <w:p>
      <w:pPr>
        <w:pStyle w:val="Heading1"/>
      </w:pPr>
      <w:r>
        <w:t>9. Provision Multiple Buckets with for_each</w:t>
      </w:r>
    </w:p>
    <w:p>
      <w:r>
        <w:t>For multiple buckets, represent the bucket-specific values as a map and use for_each on the module block. This keeps the implementation DRY and makes additional buckets data changes rather than repeated module code.</w:t>
      </w:r>
    </w:p>
    <w:p>
      <w:pPr>
        <w:spacing w:before="40" w:after="100"/>
        <w:ind w:left="259" w:right="72"/>
        <w:shd w:fill="F4F6F8"/>
      </w:pPr>
      <w:r>
        <w:rPr>
          <w:rFonts w:ascii="Consolas" w:hAnsi="Consolas"/>
          <w:sz w:val="16"/>
        </w:rPr>
        <w:t># locals.tf</w:t>
        <w:br/>
        <w:t>locals {</w:t>
        <w:br/>
        <w:t xml:space="preserve">  s3_buckets = {</w:t>
        <w:br/>
        <w:t xml:space="preserve">    raw = {</w:t>
        <w:br/>
        <w:t xml:space="preserve">      bucket_name = "raw-data"</w:t>
        <w:br/>
        <w:t xml:space="preserve">      project     = "data-platform"</w:t>
        <w:br/>
        <w:t xml:space="preserve">      application = "ingestion"</w:t>
        <w:br/>
        <w:t xml:space="preserve">      owner       = "data-team"</w:t>
        <w:br/>
        <w:t xml:space="preserve">      environment = "dev"</w:t>
        <w:br/>
        <w:t xml:space="preserve">      cost_center = "12345"</w:t>
        <w:br/>
        <w:t xml:space="preserve">    }</w:t>
        <w:br/>
        <w:br/>
        <w:t xml:space="preserve">    processed = {</w:t>
        <w:br/>
        <w:t xml:space="preserve">      bucket_name = "processed-data"</w:t>
        <w:br/>
        <w:t xml:space="preserve">      project     = "data-platform"</w:t>
        <w:br/>
        <w:t xml:space="preserve">      application = "processing"</w:t>
        <w:br/>
        <w:t xml:space="preserve">      owner       = "data-team"</w:t>
        <w:br/>
        <w:t xml:space="preserve">      environment = "dev"</w:t>
        <w:br/>
        <w:t xml:space="preserve">      cost_center = "12345"</w:t>
        <w:br/>
        <w:t xml:space="preserve">    }</w:t>
        <w:br/>
        <w:t xml:space="preserve">  }</w:t>
        <w:br/>
        <w:t>}</w:t>
      </w:r>
    </w:p>
    <w:p>
      <w:pPr>
        <w:spacing w:before="40" w:after="100"/>
        <w:ind w:left="259" w:right="72"/>
        <w:shd w:fill="F4F6F8"/>
      </w:pPr>
      <w:r>
        <w:rPr>
          <w:rFonts w:ascii="Consolas" w:hAnsi="Consolas"/>
          <w:sz w:val="16"/>
        </w:rPr>
        <w:t># main.tf</w:t>
        <w:br/>
        <w:t>module "s3" {</w:t>
        <w:br/>
        <w:t xml:space="preserve">  for_each = local.s3_buckets</w:t>
        <w:br/>
        <w:br/>
        <w:t xml:space="preserve">  source  = "tfe-dev.aws.novartis.net/Novartis/s3-poc/aws"</w:t>
        <w:br/>
        <w:t xml:space="preserve">  version = "1.0.1"</w:t>
        <w:br/>
        <w:br/>
        <w:t xml:space="preserve">  bucket_name = each.value.bucket_name</w:t>
        <w:br/>
        <w:t xml:space="preserve">  project     = each.value.project</w:t>
        <w:br/>
        <w:t xml:space="preserve">  application = each.value.application</w:t>
        <w:br/>
        <w:t xml:space="preserve">  owner       = each.value.owner</w:t>
        <w:br/>
        <w:t xml:space="preserve">  environment = each.value.environment</w:t>
        <w:br/>
        <w:t xml:space="preserve">  cost_center = each.value.cost_center</w:t>
        <w:b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Design principle: Keep bucket-specific data in locals/variables and keep the module block generic. Add optional inputs to the data structure when individual buckets need additional features.</w:t>
            </w:r>
          </w:p>
        </w:tc>
      </w:tr>
    </w:tbl>
    <w:p>
      <w:pPr>
        <w:spacing w:after="20"/>
      </w:pPr>
    </w:p>
    <w:p>
      <w:pPr>
        <w:pStyle w:val="Heading1"/>
      </w:pPr>
      <w:r>
        <w:t>10. Module Input Reference</w:t>
      </w:r>
    </w:p>
    <w:p>
      <w:r>
        <w:t xml:space="preserve">The supplied variables.tf contains the active module inputs listed below. Descriptions, defaults and validation rules are summarized from the supplied source. </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2F5597"/>
          </w:tcPr>
          <w:p>
            <w:pPr>
              <w:spacing w:after="0"/>
            </w:pPr>
            <w:r/>
            <w:r>
              <w:rPr>
                <w:rFonts w:ascii="Aptos" w:hAnsi="Aptos"/>
                <w:b/>
                <w:color w:val="FFFFFF"/>
                <w:sz w:val="15"/>
              </w:rPr>
              <w:t>Variable</w:t>
            </w:r>
          </w:p>
        </w:tc>
        <w:tc>
          <w:tcPr>
            <w:tcW w:type="dxa" w:w="720"/>
            <w:vAlign w:val="center"/>
            <w:shd w:fill="2F5597"/>
          </w:tcPr>
          <w:p>
            <w:pPr>
              <w:spacing w:after="0"/>
            </w:pPr>
            <w:r/>
            <w:r>
              <w:rPr>
                <w:rFonts w:ascii="Aptos" w:hAnsi="Aptos"/>
                <w:b/>
                <w:color w:val="FFFFFF"/>
                <w:sz w:val="15"/>
              </w:rPr>
              <w:t>Req.</w:t>
            </w:r>
          </w:p>
        </w:tc>
        <w:tc>
          <w:tcPr>
            <w:tcW w:type="dxa" w:w="1152"/>
            <w:vAlign w:val="center"/>
            <w:shd w:fill="2F5597"/>
          </w:tcPr>
          <w:p>
            <w:pPr>
              <w:spacing w:after="0"/>
            </w:pPr>
            <w:r/>
            <w:r>
              <w:rPr>
                <w:rFonts w:ascii="Aptos" w:hAnsi="Aptos"/>
                <w:b/>
                <w:color w:val="FFFFFF"/>
                <w:sz w:val="15"/>
              </w:rPr>
              <w:t>Type</w:t>
            </w:r>
          </w:p>
        </w:tc>
        <w:tc>
          <w:tcPr>
            <w:tcW w:type="dxa" w:w="5976"/>
            <w:vAlign w:val="center"/>
            <w:shd w:fill="2F5597"/>
          </w:tcPr>
          <w:p>
            <w:pPr>
              <w:spacing w:after="0"/>
            </w:pPr>
            <w:r/>
            <w:r>
              <w:rPr>
                <w:rFonts w:ascii="Aptos" w:hAnsi="Aptos"/>
                <w:b/>
                <w:color w:val="FFFFFF"/>
                <w:sz w:val="15"/>
              </w:rPr>
              <w:t>Purpose</w:t>
            </w:r>
          </w:p>
        </w:tc>
        <w:tc>
          <w:tcPr>
            <w:tcW w:type="dxa" w:w="1152"/>
            <w:vAlign w:val="center"/>
            <w:shd w:fill="2F5597"/>
          </w:tcPr>
          <w:p>
            <w:pPr>
              <w:spacing w:after="0"/>
            </w:pPr>
            <w:r/>
            <w:r>
              <w:rPr>
                <w:rFonts w:ascii="Aptos" w:hAnsi="Aptos"/>
                <w:b/>
                <w:color w:val="FFFFFF"/>
                <w:sz w:val="15"/>
              </w:rPr>
              <w:t>Default</w:t>
            </w:r>
          </w:p>
        </w:tc>
      </w:tr>
      <w:tr>
        <w:tc>
          <w:tcPr>
            <w:tcW w:type="dxa" w:w="1944"/>
            <w:vAlign w:val="center"/>
          </w:tcPr>
          <w:p>
            <w:pPr>
              <w:spacing w:after="0"/>
            </w:pPr>
            <w:r/>
            <w:r>
              <w:rPr>
                <w:rFonts w:ascii="Aptos" w:hAnsi="Aptos"/>
                <w:b w:val="0"/>
                <w:sz w:val="15"/>
              </w:rPr>
              <w:t>bucket_name</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Bucket name prefix; 3–30 chars, lowercase letters/numbers/hyphens; start with lowercase letter; cannot end with hyphen; reserved names/prefixes are rejected.</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force_destroy</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Allow Terraform to delete all objects when destroying the bucket.</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encryption_type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AES256, aws:kms or aws:kms:dsse.</w:t>
            </w:r>
          </w:p>
        </w:tc>
        <w:tc>
          <w:tcPr>
            <w:tcW w:type="dxa" w:w="1152"/>
            <w:vAlign w:val="center"/>
          </w:tcPr>
          <w:p>
            <w:pPr>
              <w:spacing w:after="0"/>
            </w:pPr>
            <w:r/>
            <w:r>
              <w:rPr>
                <w:rFonts w:ascii="Aptos" w:hAnsi="Aptos"/>
                <w:b w:val="0"/>
                <w:sz w:val="15"/>
              </w:rPr>
              <w:t>AES256</w:t>
            </w:r>
          </w:p>
        </w:tc>
      </w:tr>
      <w:tr>
        <w:tc>
          <w:tcPr>
            <w:tcW w:type="dxa" w:w="1944"/>
            <w:vAlign w:val="center"/>
          </w:tcPr>
          <w:p>
            <w:pPr>
              <w:spacing w:after="0"/>
            </w:pPr>
            <w:r/>
            <w:r>
              <w:rPr>
                <w:rFonts w:ascii="Aptos" w:hAnsi="Aptos"/>
                <w:b w:val="0"/>
                <w:sz w:val="15"/>
              </w:rPr>
              <w:t>kms_key_type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AWS_MANAGED or CUSTOMER_MANAGED.</w:t>
            </w:r>
          </w:p>
        </w:tc>
        <w:tc>
          <w:tcPr>
            <w:tcW w:type="dxa" w:w="1152"/>
            <w:vAlign w:val="center"/>
          </w:tcPr>
          <w:p>
            <w:pPr>
              <w:spacing w:after="0"/>
            </w:pPr>
            <w:r/>
            <w:r>
              <w:rPr>
                <w:rFonts w:ascii="Aptos" w:hAnsi="Aptos"/>
                <w:b w:val="0"/>
                <w:sz w:val="15"/>
              </w:rPr>
              <w:t>AWS_MANAGED</w:t>
            </w:r>
          </w:p>
        </w:tc>
      </w:tr>
      <w:tr>
        <w:tc>
          <w:tcPr>
            <w:tcW w:type="dxa" w:w="1944"/>
            <w:vAlign w:val="center"/>
          </w:tcPr>
          <w:p>
            <w:pPr>
              <w:spacing w:after="0"/>
            </w:pPr>
            <w:r/>
            <w:r>
              <w:rPr>
                <w:rFonts w:ascii="Aptos" w:hAnsi="Aptos"/>
                <w:b w:val="0"/>
                <w:sz w:val="15"/>
              </w:rPr>
              <w:t>kms_key_alias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Customer-managed KMS key alias; used for KMS/DSSE-KMS with CUSTOMER_MANAGED.</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bucket_key_enabled</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S3 Bucket Keys; applicable to aws:kms.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enable_versioning</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versioning.</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block_public_acls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Block public ACLs.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ignore_public_acls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Ignore public ACLs.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block_public_policy</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Block public bucket policies.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restrict_public_buckets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Restrict public buckets.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object_ownership</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BucketOwnerEnforced, BucketOwnerPreferred or ObjectWriter.</w:t>
            </w:r>
          </w:p>
        </w:tc>
        <w:tc>
          <w:tcPr>
            <w:tcW w:type="dxa" w:w="1152"/>
            <w:vAlign w:val="center"/>
          </w:tcPr>
          <w:p>
            <w:pPr>
              <w:spacing w:after="0"/>
            </w:pPr>
            <w:r/>
            <w:r>
              <w:rPr>
                <w:rFonts w:ascii="Aptos" w:hAnsi="Aptos"/>
                <w:b w:val="0"/>
                <w:sz w:val="15"/>
              </w:rPr>
              <w:t>BucketOwnerEnforced</w:t>
            </w:r>
          </w:p>
        </w:tc>
      </w:tr>
      <w:tr>
        <w:tc>
          <w:tcPr>
            <w:tcW w:type="dxa" w:w="1944"/>
            <w:vAlign w:val="center"/>
          </w:tcPr>
          <w:p>
            <w:pPr>
              <w:spacing w:after="0"/>
            </w:pPr>
            <w:r/>
            <w:r>
              <w:rPr>
                <w:rFonts w:ascii="Aptos" w:hAnsi="Aptos"/>
                <w:b w:val="0"/>
                <w:sz w:val="15"/>
              </w:rPr>
              <w:t>environment</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Environment name;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project</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Project name;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application</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Application name;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owner</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Application owner;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cost_center</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Cost center;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additional_tags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map(string)</w:t>
            </w:r>
          </w:p>
        </w:tc>
        <w:tc>
          <w:tcPr>
            <w:tcW w:type="dxa" w:w="5976"/>
            <w:vAlign w:val="center"/>
          </w:tcPr>
          <w:p>
            <w:pPr>
              <w:spacing w:after="0"/>
            </w:pPr>
            <w:r/>
            <w:r>
              <w:rPr>
                <w:rFonts w:ascii="Aptos" w:hAnsi="Aptos"/>
                <w:b w:val="0"/>
                <w:sz w:val="15"/>
              </w:rPr>
              <w:t>Additional tags merged with module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enable_object_lock</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Object Lock.</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object_lock_mode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GOVERNANCE or COMPLIANCE.</w:t>
            </w:r>
          </w:p>
        </w:tc>
        <w:tc>
          <w:tcPr>
            <w:tcW w:type="dxa" w:w="1152"/>
            <w:vAlign w:val="center"/>
          </w:tcPr>
          <w:p>
            <w:pPr>
              <w:spacing w:after="0"/>
            </w:pPr>
            <w:r/>
            <w:r>
              <w:rPr>
                <w:rFonts w:ascii="Aptos" w:hAnsi="Aptos"/>
                <w:b w:val="0"/>
                <w:sz w:val="15"/>
              </w:rPr>
              <w:t>GOVERNANCE</w:t>
            </w:r>
          </w:p>
        </w:tc>
      </w:tr>
      <w:tr>
        <w:tc>
          <w:tcPr>
            <w:tcW w:type="dxa" w:w="1944"/>
            <w:vAlign w:val="center"/>
          </w:tcPr>
          <w:p>
            <w:pPr>
              <w:spacing w:after="0"/>
            </w:pPr>
            <w:r/>
            <w:r>
              <w:rPr>
                <w:rFonts w:ascii="Aptos" w:hAnsi="Aptos"/>
                <w:b w:val="0"/>
                <w:sz w:val="15"/>
              </w:rPr>
              <w:t>object_lock_days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number/null</w:t>
            </w:r>
          </w:p>
        </w:tc>
        <w:tc>
          <w:tcPr>
            <w:tcW w:type="dxa" w:w="5976"/>
            <w:vAlign w:val="center"/>
          </w:tcPr>
          <w:p>
            <w:pPr>
              <w:spacing w:after="0"/>
            </w:pPr>
            <w:r/>
            <w:r>
              <w:rPr>
                <w:rFonts w:ascii="Aptos" w:hAnsi="Aptos"/>
                <w:b w:val="0"/>
                <w:sz w:val="15"/>
              </w:rPr>
              <w:t>Retention period in days; must be &gt; 0 when supplied/enabled.</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enable_event_notifications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event notifications.</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event_notifications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list(object)</w:t>
            </w:r>
          </w:p>
        </w:tc>
        <w:tc>
          <w:tcPr>
            <w:tcW w:type="dxa" w:w="5976"/>
            <w:vAlign w:val="center"/>
          </w:tcPr>
          <w:p>
            <w:pPr>
              <w:spacing w:after="0"/>
            </w:pPr>
            <w:r/>
            <w:r>
              <w:rPr>
                <w:rFonts w:ascii="Aptos" w:hAnsi="Aptos"/>
                <w:b w:val="0"/>
                <w:sz w:val="15"/>
              </w:rPr>
              <w:t>SNS/SQS/Lambda destination, ARN, events, optional prefix/suffix filters and manage_permission.</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python_command</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Python executable used by notification helper scripts.</w:t>
            </w:r>
          </w:p>
        </w:tc>
        <w:tc>
          <w:tcPr>
            <w:tcW w:type="dxa" w:w="1152"/>
            <w:vAlign w:val="center"/>
          </w:tcPr>
          <w:p>
            <w:pPr>
              <w:spacing w:after="0"/>
            </w:pPr>
            <w:r/>
            <w:r>
              <w:rPr>
                <w:rFonts w:ascii="Aptos" w:hAnsi="Aptos"/>
                <w:b w:val="0"/>
                <w:sz w:val="15"/>
              </w:rPr>
              <w:t>python3</w:t>
            </w:r>
          </w:p>
        </w:tc>
      </w:tr>
      <w:tr>
        <w:tc>
          <w:tcPr>
            <w:tcW w:type="dxa" w:w="1944"/>
            <w:vAlign w:val="center"/>
          </w:tcPr>
          <w:p>
            <w:pPr>
              <w:spacing w:after="0"/>
            </w:pPr>
            <w:r/>
            <w:r>
              <w:rPr>
                <w:rFonts w:ascii="Aptos" w:hAnsi="Aptos"/>
                <w:b w:val="0"/>
                <w:sz w:val="15"/>
              </w:rPr>
              <w:t>enable_eventbridge_notifications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EventBridge notifications; rules/targets are separate.</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static_website_type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null, website or redirect.</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website_index_document</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Index document for website hosting.</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website_error_document</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Error document for website hosting.</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redirect_host_name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Host name used for redirect hosting.</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redirect_protocol</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http or https.</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enable_transfer_acceleration</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Transfer Acceleration.</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enable_requester_pays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Requester Pays.</w:t>
            </w:r>
          </w:p>
        </w:tc>
        <w:tc>
          <w:tcPr>
            <w:tcW w:type="dxa" w:w="1152"/>
            <w:vAlign w:val="center"/>
          </w:tcPr>
          <w:p>
            <w:pPr>
              <w:spacing w:after="0"/>
            </w:pPr>
            <w:r/>
            <w:r>
              <w:rPr>
                <w:rFonts w:ascii="Aptos" w:hAnsi="Aptos"/>
                <w:b w:val="0"/>
                <w:sz w:val="15"/>
              </w:rPr>
              <w:t>false</w:t>
            </w:r>
          </w:p>
        </w:tc>
      </w:tr>
    </w:tbl>
    <w:p>
      <w:pPr>
        <w:spacing w:after="20"/>
      </w:pPr>
    </w:p>
    <w:p>
      <w:pPr>
        <w:pStyle w:val="Heading1"/>
      </w:pPr>
      <w:r>
        <w:t>11. Feature Configuration Guide</w:t>
      </w:r>
    </w:p>
    <w:p>
      <w:r>
        <w:t>Use the following sections when a workload needs more than the standard/default S3 configuration.</w:t>
      </w:r>
    </w:p>
    <w:p>
      <w:pPr>
        <w:pStyle w:val="Heading2"/>
      </w:pPr>
      <w:r>
        <w:t>11.1 Encryption and KMS</w:t>
      </w:r>
    </w:p>
    <w:p>
      <w:r>
        <w:t xml:space="preserve">The module supports AES256, aws:kms and aws:kms:dsse. For customer-managed KMS encryption, the supplied variables definition requires a KMS alias when the applicable KMS encryption mode and CUSTOMER_MANAGED key type are selected. </w:t>
      </w:r>
    </w:p>
    <w:p>
      <w:pPr>
        <w:spacing w:before="40" w:after="100"/>
        <w:ind w:left="259" w:right="72"/>
        <w:shd w:fill="F4F6F8"/>
      </w:pPr>
      <w:r>
        <w:rPr>
          <w:rFonts w:ascii="Consolas" w:hAnsi="Consolas"/>
          <w:sz w:val="16"/>
        </w:rPr>
        <w:t>encryption_type    = "aws:kms"</w:t>
        <w:br/>
        <w:t>kms_key_type       = "CUSTOMER_MANAGED"</w:t>
        <w:br/>
        <w:t>kms_key_alias      = "alias/application-key"</w:t>
        <w:br/>
        <w:t>bucket_key_enabled = true</w:t>
      </w:r>
    </w:p>
    <w:p>
      <w:r>
        <w:t xml:space="preserve">The module implementation also contains preconditions to validate customer-managed KMS configuration and prevent unnecessary KMS options when AES256 is selected. </w:t>
      </w:r>
    </w:p>
    <w:p>
      <w:pPr>
        <w:pStyle w:val="Heading2"/>
      </w:pPr>
      <w:r>
        <w:t>11.2 Versioning, Ownership and Public Access</w:t>
      </w:r>
    </w:p>
    <w:p>
      <w:r>
        <w:t xml:space="preserve">The supplied defaults enable versioning, all four public-access-block controls and BucketOwnerEnforced ownership. The module passes these values into the corresponding AWS S3 resources. </w:t>
      </w:r>
    </w:p>
    <w:p>
      <w:pPr>
        <w:spacing w:before="40" w:after="100"/>
        <w:ind w:left="259" w:right="72"/>
        <w:shd w:fill="F4F6F8"/>
      </w:pPr>
      <w:r>
        <w:rPr>
          <w:rFonts w:ascii="Consolas" w:hAnsi="Consolas"/>
          <w:sz w:val="16"/>
        </w:rPr>
        <w:t>enable_versioning       = true</w:t>
        <w:br/>
        <w:t>block_public_acls       = true</w:t>
        <w:br/>
        <w:t>ignore_public_acls      = true</w:t>
        <w:br/>
        <w:t>block_public_policy     = true</w:t>
        <w:br/>
        <w:t>restrict_public_buckets = true</w:t>
        <w:br/>
        <w:t>object_ownership        = "BucketOwnerEnforced"</w:t>
      </w:r>
    </w:p>
    <w:p>
      <w:pPr>
        <w:pStyle w:val="Heading2"/>
      </w:pPr>
      <w:r>
        <w:t>11.3 Tags</w:t>
      </w:r>
    </w:p>
    <w:p>
      <w:r>
        <w:t xml:space="preserve">The module applies Environment, Project, Application, Owner and CostCenter values and merges additional_tags. The implementation also adds Name, ManagedBy and Terraform metadata. </w:t>
      </w:r>
    </w:p>
    <w:p>
      <w:pPr>
        <w:spacing w:before="40" w:after="100"/>
        <w:ind w:left="259" w:right="72"/>
        <w:shd w:fill="F4F6F8"/>
      </w:pPr>
      <w:r>
        <w:rPr>
          <w:rFonts w:ascii="Consolas" w:hAnsi="Consolas"/>
          <w:sz w:val="16"/>
        </w:rPr>
        <w:t>additional_tags = {</w:t>
        <w:br/>
        <w:t xml:space="preserve">  DataClassification = "Internal"</w:t>
        <w:br/>
        <w:t xml:space="preserve">  BusinessUnit       = "Finance"</w:t>
        <w:br/>
        <w:t>}</w:t>
      </w:r>
    </w:p>
    <w:p>
      <w:pPr>
        <w:pStyle w:val="Heading2"/>
      </w:pPr>
      <w:r>
        <w:t>11.4 Object Lock</w:t>
      </w:r>
    </w:p>
    <w:p>
      <w:r>
        <w:rPr>
          <w:b w:val="0"/>
          <w:i w:val="0"/>
        </w:rPr>
        <w:t>Object Lock protects object versions from being overwritten or deleted for a defined retention period. In this module, Object Lock is disabled by default. If enabled, the consumer must select a retention mode and provide a positive retention period.</w:t>
      </w:r>
    </w:p>
    <w:p>
      <w:r>
        <w:rPr>
          <w:b w:val="0"/>
          <w:i w:val="0"/>
        </w:rPr>
        <w:t>The module supports two retention modes:</w:t>
      </w:r>
    </w:p>
    <w:p>
      <w:pPr>
        <w:pStyle w:val="ListBullet"/>
      </w:pPr>
      <w:r>
        <w:rPr>
          <w:b w:val="0"/>
          <w:i w:val="0"/>
        </w:rPr>
      </w:r>
      <w:r>
        <w:t>GOVERNANCE – protects objects from normal overwrite/delete operations, but an authorized user with the s3:BypassGovernanceRetention permission can explicitly bypass the governance retention.</w:t>
      </w:r>
    </w:p>
    <w:p>
      <w:pPr>
        <w:pStyle w:val="ListBullet"/>
      </w:pPr>
      <w:r>
        <w:rPr>
          <w:b w:val="0"/>
          <w:i w:val="0"/>
        </w:rPr>
      </w:r>
      <w:r>
        <w:t>COMPLIANCE – provides stronger immutability. A protected object version cannot be overwritten or deleted during the retention period, including by the AWS account root user.</w:t>
      </w:r>
    </w:p>
    <w:p>
      <w:r>
        <w:rPr>
          <w:b w:val="0"/>
          <w:i w:val="0"/>
        </w:rPr>
        <w:t>Use GOVERNANCE when controlled administrative override may be required. Use COMPLIANCE when the retention requirement must not be bypassed during the retention period. AWS documents Object Lock as a WORM (write once, read many) capability. urlAWS S3 Object Lock documentationhttps://docs.aws.amazon.com/AmazonS3/latest/userguide/object-lock.html</w:t>
      </w:r>
    </w:p>
    <w:p>
      <w:r>
        <w:rPr>
          <w:b w:val="0"/>
          <w:i w:val="0"/>
        </w:rPr>
        <w:t>Example: if object_lock_days = 30, the configured default retention period is 30 days for objects covered by the bucket's default retention configuration.</w:t>
      </w:r>
    </w:p>
    <w:p>
      <w:pPr>
        <w:spacing w:before="40" w:after="100"/>
        <w:ind w:left="259"/>
        <w:shd w:fill="F4F6F8"/>
      </w:pPr>
      <w:r>
        <w:rPr>
          <w:b w:val="0"/>
          <w:i w:val="0"/>
        </w:rPr>
      </w:r>
      <w:r>
        <w:rPr>
          <w:rFonts w:ascii="Consolas" w:hAnsi="Consolas"/>
          <w:sz w:val="16"/>
        </w:rPr>
        <w:t>enable_object_lock = true</w:t>
        <w:br/>
        <w:t>object_lock_mode    = "GOVERNANCE"</w:t>
        <w:br/>
        <w:t>object_lock_days    = 30</w:t>
      </w:r>
    </w:p>
    <w:p>
      <w:r>
        <w:rPr>
          <w:b w:val="0"/>
          <w:i w:val="0"/>
        </w:rPr>
        <w:t>Important: Once S3 Object Lock is enabled on a bucket, it cannot be disabled and versioning cannot be suspended. Therefore, treat this as a deliberate design decision and validate the retention requirement before applying the change. urlAWS S3 Object Lock considerationshttps://docs.aws.amazon.com/AmazonS3/latest/userguide/object-lock-managing.html</w:t>
      </w:r>
    </w:p>
    <w:p>
      <w:pPr>
        <w:pStyle w:val="Heading2"/>
      </w:pPr>
      <w:r>
        <w:t>11.5 S3 Event Notifications</w:t>
      </w:r>
    </w:p>
    <w:p>
      <w:r>
        <w:rPr>
          <w:b w:val="0"/>
          <w:i w:val="0"/>
        </w:rPr>
        <w:t>S3 Event Notifications allow the bucket to send selected S3 events to one of three supported destination types: SNS topic, SQS queue or Lambda function. The consumer selects the destination type, destination ARN and the S3 events to be delivered.</w:t>
      </w:r>
    </w:p>
    <w:p>
      <w:r>
        <w:rPr>
          <w:b w:val="0"/>
          <w:i w:val="0"/>
        </w:rPr>
        <w:t>The module performs two related activities: it configures the S3 bucket notification and, when permission management is enabled, ensures the destination has the permission required for S3 to deliver the notification.</w:t>
      </w:r>
    </w:p>
    <w:p>
      <w:r>
        <w:rPr>
          <w:b w:val="0"/>
          <w:i w:val="0"/>
        </w:rPr>
        <w:t>The following is the recommended way to understand the flow:</w:t>
      </w:r>
    </w:p>
    <w:p>
      <w:pPr>
        <w:pStyle w:val="ListBullet"/>
      </w:pPr>
      <w:r>
        <w:rPr>
          <w:b w:val="0"/>
          <w:i w:val="0"/>
        </w:rPr>
      </w:r>
      <w:r>
        <w:t>Step 1 – The user enables notifications with enable_event_notifications = true.</w:t>
      </w:r>
    </w:p>
    <w:p>
      <w:pPr>
        <w:pStyle w:val="ListBullet"/>
      </w:pPr>
      <w:r>
        <w:rPr>
          <w:b w:val="0"/>
          <w:i w:val="0"/>
        </w:rPr>
      </w:r>
      <w:r>
        <w:t>Step 2 – The user specifies destination_type (sns, sqs or lambda), destination_arn and one or more S3 event types.</w:t>
      </w:r>
    </w:p>
    <w:p>
      <w:pPr>
        <w:pStyle w:val="ListBullet"/>
      </w:pPr>
      <w:r>
        <w:rPr>
          <w:b w:val="0"/>
          <w:i w:val="0"/>
        </w:rPr>
      </w:r>
      <w:r>
        <w:t>Step 3 – The module creates the S3 notification configuration for the selected destination and event filters.</w:t>
      </w:r>
    </w:p>
    <w:p>
      <w:pPr>
        <w:pStyle w:val="ListBullet"/>
      </w:pPr>
      <w:r>
        <w:rPr>
          <w:b w:val="0"/>
          <w:i w:val="0"/>
        </w:rPr>
      </w:r>
      <w:r>
        <w:t>Step 4 – If manage_permission is enabled, the module handles the destination-side permission required for S3 to publish/send/invoke.</w:t>
      </w:r>
    </w:p>
    <w:p>
      <w:pPr>
        <w:pStyle w:val="ListBullet"/>
      </w:pPr>
      <w:r>
        <w:rPr>
          <w:b w:val="0"/>
          <w:i w:val="0"/>
        </w:rPr>
      </w:r>
      <w:r>
        <w:t>Step 5 – Terraform completes the configuration and the user validates the notification path with the destination service.</w:t>
      </w:r>
    </w:p>
    <w:p>
      <w:r>
        <w:rPr>
          <w:b/>
          <w:i w:val="0"/>
        </w:rPr>
        <w:t>11.5.1 SNS destination</w:t>
      </w:r>
    </w:p>
    <w:p>
      <w:r>
        <w:rPr>
          <w:b w:val="0"/>
          <w:i w:val="0"/>
        </w:rPr>
        <w:t>For SNS, S3 must be allowed to publish to the selected SNS topic. The module's SNS helper script reads the existing topic policy, checks whether the S3 permission already exists, and if necessary adds a statement allowing the S3 service principal to perform SNS:Publish. The statement is restricted using the bucket ARN (aws:SourceArn) and the source AWS account (aws:SourceAccount).</w:t>
      </w:r>
    </w:p>
    <w:p>
      <w:pPr>
        <w:spacing w:before="40" w:after="100"/>
        <w:ind w:left="259"/>
        <w:shd w:fill="F4F6F8"/>
      </w:pPr>
      <w:r>
        <w:rPr>
          <w:b w:val="0"/>
          <w:i w:val="0"/>
        </w:rPr>
      </w:r>
      <w:r>
        <w:rPr>
          <w:rFonts w:ascii="Consolas" w:hAnsi="Consolas"/>
          <w:sz w:val="16"/>
        </w:rPr>
        <w:t>Principal: s3.amazonaws.com</w:t>
        <w:br/>
        <w:t>Action:    SNS:Publish</w:t>
        <w:br/>
        <w:t>Resource:  &lt;SNS Topic ARN&gt;</w:t>
        <w:br/>
        <w:t>Condition:</w:t>
        <w:br/>
        <w:t xml:space="preserve">  aws:SourceArn     = &lt;S3 Bucket ARN&gt;</w:t>
        <w:br/>
        <w:t xml:space="preserve">  aws:SourceAccount = &lt;AWS Account ID&gt;</w:t>
      </w:r>
    </w:p>
    <w:p>
      <w:r>
        <w:rPr>
          <w:b w:val="0"/>
          <w:i w:val="0"/>
        </w:rPr>
        <w:t>This is a policy merge, not a replacement of the existing topic policy. The helper checks for an existing matching statement before adding a new one, which helps avoid duplicate permission statements.</w:t>
      </w:r>
    </w:p>
    <w:p>
      <w:r>
        <w:rPr>
          <w:b/>
          <w:i w:val="0"/>
        </w:rPr>
        <w:t>11.5.2 SQS destination</w:t>
      </w:r>
    </w:p>
    <w:p>
      <w:r>
        <w:rPr>
          <w:b w:val="0"/>
          <w:i w:val="0"/>
        </w:rPr>
        <w:t>For SQS, S3 must be allowed to send messages to the selected queue. The module's SQS helper script resolves the queue, retrieves the existing queue policy, checks whether the S3 permission already exists, and adds the required S3 SendMessage statement when needed.</w:t>
      </w:r>
    </w:p>
    <w:p>
      <w:pPr>
        <w:spacing w:before="40" w:after="100"/>
        <w:ind w:left="259"/>
        <w:shd w:fill="F4F6F8"/>
      </w:pPr>
      <w:r>
        <w:rPr>
          <w:b w:val="0"/>
          <w:i w:val="0"/>
        </w:rPr>
      </w:r>
      <w:r>
        <w:rPr>
          <w:rFonts w:ascii="Consolas" w:hAnsi="Consolas"/>
          <w:sz w:val="16"/>
        </w:rPr>
        <w:t>Principal: s3.amazonaws.com</w:t>
        <w:br/>
        <w:t>Action:    SQS:SendMessage</w:t>
        <w:br/>
        <w:t>Resource:  &lt;SQS Queue ARN&gt;</w:t>
        <w:br/>
        <w:t>Condition:</w:t>
        <w:br/>
        <w:t xml:space="preserve">  aws:SourceArn     = &lt;S3 Bucket ARN&gt;</w:t>
        <w:br/>
        <w:t xml:space="preserve">  aws:SourceAccount = &lt;AWS Account ID&gt;</w:t>
      </w:r>
    </w:p>
    <w:p>
      <w:r>
        <w:rPr>
          <w:b w:val="0"/>
          <w:i w:val="0"/>
        </w:rPr>
        <w:t>The script updates the existing queue policy rather than replacing unrelated statements. If the required permission is already present, no policy update is performed.</w:t>
      </w:r>
    </w:p>
    <w:p>
      <w:r>
        <w:rPr>
          <w:b/>
          <w:i w:val="0"/>
        </w:rPr>
        <w:t>11.5.3 Lambda destination</w:t>
      </w:r>
    </w:p>
    <w:p>
      <w:r>
        <w:rPr>
          <w:b w:val="0"/>
          <w:i w:val="0"/>
        </w:rPr>
        <w:t>For Lambda, the permission model is different from SNS and SQS. Instead of adding an S3 statement to an SNS topic or SQS queue policy, Lambda uses a resource-based function policy. The module adds permission allowing the Amazon S3 service principal to invoke the selected Lambda function and restricts the permission to the configured S3 bucket.</w:t>
      </w:r>
    </w:p>
    <w:p>
      <w:pPr>
        <w:spacing w:before="40" w:after="100"/>
        <w:ind w:left="259"/>
        <w:shd w:fill="F4F6F8"/>
      </w:pPr>
      <w:r>
        <w:rPr>
          <w:b w:val="0"/>
          <w:i w:val="0"/>
        </w:rPr>
      </w:r>
      <w:r>
        <w:rPr>
          <w:rFonts w:ascii="Consolas" w:hAnsi="Consolas"/>
          <w:sz w:val="16"/>
        </w:rPr>
        <w:t>Principal: s3.amazonaws.com</w:t>
        <w:br/>
        <w:t>Action:    lambda:InvokeFunction</w:t>
        <w:br/>
        <w:t>Resource:  &lt;Lambda Function&gt;</w:t>
        <w:br/>
        <w:t>Condition:</w:t>
        <w:br/>
        <w:t xml:space="preserve">  SourceArn = &lt;S3 Bucket ARN&gt;</w:t>
        <w:br/>
        <w:t xml:space="preserve">  SourceAccount = &lt;AWS Account ID&gt;</w:t>
      </w:r>
    </w:p>
    <w:p>
      <w:r>
        <w:rPr>
          <w:b w:val="0"/>
          <w:i w:val="0"/>
        </w:rPr>
        <w:t>The exact Lambda permission resource is managed by the module implementation; the consumer only supplies the destination ARN and notification settings.</w:t>
      </w:r>
    </w:p>
    <w:p>
      <w:r>
        <w:rPr>
          <w:b/>
          <w:i w:val="0"/>
        </w:rPr>
        <w:t>11.5.4 Notification example</w:t>
      </w:r>
    </w:p>
    <w:p>
      <w:r>
        <w:rPr>
          <w:b w:val="0"/>
          <w:i w:val="0"/>
        </w:rPr>
        <w:t>Example: send ObjectCreated events for JPG files under the images/ prefix to a Lambda function.</w:t>
      </w:r>
    </w:p>
    <w:p>
      <w:pPr>
        <w:spacing w:before="40" w:after="100"/>
        <w:ind w:left="259"/>
        <w:shd w:fill="F4F6F8"/>
      </w:pPr>
      <w:r>
        <w:rPr>
          <w:b w:val="0"/>
          <w:i w:val="0"/>
        </w:rPr>
      </w:r>
      <w:r>
        <w:rPr>
          <w:rFonts w:ascii="Consolas" w:hAnsi="Consolas"/>
          <w:sz w:val="16"/>
        </w:rPr>
        <w:t>enable_event_notifications = true</w:t>
        <w:br/>
        <w:br/>
        <w:t>event_notifications = [</w:t>
        <w:br/>
        <w:t xml:space="preserve">  {</w:t>
        <w:br/>
        <w:t xml:space="preserve">    destination_type  = "lambda"</w:t>
        <w:br/>
        <w:t xml:space="preserve">    destination_arn   = "arn:aws:lambda:ap-south-1:123456789012:function:image"</w:t>
        <w:br/>
        <w:t xml:space="preserve">    events            = ["s3:ObjectCreated:*"]</w:t>
        <w:br/>
        <w:t xml:space="preserve">    filter_prefix     = "images/"</w:t>
        <w:br/>
        <w:t xml:space="preserve">    filter_suffix     = ".jpg"</w:t>
        <w:br/>
        <w:t xml:space="preserve">    manage_permission = true</w:t>
        <w:br/>
        <w:t xml:space="preserve">  }</w:t>
        <w:br/>
        <w:t>]</w:t>
      </w:r>
    </w:p>
    <w:p>
      <w:r>
        <w:rPr>
          <w:b/>
          <w:i w:val="0"/>
        </w:rPr>
        <w:t>11.5.5 What the consumer must provide</w:t>
      </w:r>
    </w:p>
    <w:p>
      <w:pPr>
        <w:pStyle w:val="ListBullet"/>
      </w:pPr>
      <w:r>
        <w:rPr>
          <w:b w:val="0"/>
          <w:i w:val="0"/>
        </w:rPr>
      </w:r>
      <w:r>
        <w:t>The destination resource (SNS topic, SQS queue or Lambda function) must exist or be created as part of the approved Terraform configuration.</w:t>
      </w:r>
    </w:p>
    <w:p>
      <w:pPr>
        <w:pStyle w:val="ListBullet"/>
      </w:pPr>
      <w:r>
        <w:rPr>
          <w:b w:val="0"/>
          <w:i w:val="0"/>
        </w:rPr>
      </w:r>
      <w:r>
        <w:t>The destination ARN must be correct.</w:t>
      </w:r>
    </w:p>
    <w:p>
      <w:pPr>
        <w:pStyle w:val="ListBullet"/>
      </w:pPr>
      <w:r>
        <w:rPr>
          <w:b w:val="0"/>
          <w:i w:val="0"/>
        </w:rPr>
      </w:r>
      <w:r>
        <w:t>The selected event types must match the workload requirement.</w:t>
      </w:r>
    </w:p>
    <w:p>
      <w:pPr>
        <w:pStyle w:val="ListBullet"/>
      </w:pPr>
      <w:r>
        <w:rPr>
          <w:b w:val="0"/>
          <w:i w:val="0"/>
        </w:rPr>
      </w:r>
      <w:r>
        <w:t>Optional prefix/suffix filters should be designed carefully to avoid overlapping or conflicting notification rules.</w:t>
      </w:r>
    </w:p>
    <w:p>
      <w:pPr>
        <w:pStyle w:val="ListBullet"/>
      </w:pPr>
      <w:r>
        <w:rPr>
          <w:b w:val="0"/>
          <w:i w:val="0"/>
        </w:rPr>
      </w:r>
      <w:r>
        <w:t>The execution identity must have permission to update the relevant destination policy/resource-based permission when automatic permission management is enabled.</w:t>
      </w:r>
    </w:p>
    <w:p>
      <w:pPr>
        <w:pStyle w:val="Heading2"/>
      </w:pPr>
      <w:r>
        <w:t>11.6 EventBridge Notifications</w:t>
      </w:r>
    </w:p>
    <w:p>
      <w:r>
        <w:t xml:space="preserve">Set enable_eventbridge_notifications = true to enable EventBridge notifications for the bucket. The supplied source states that EventBridge rules and targets are configured separately. </w:t>
      </w:r>
    </w:p>
    <w:p>
      <w:pPr>
        <w:spacing w:before="40" w:after="100"/>
        <w:ind w:left="259" w:right="72"/>
        <w:shd w:fill="F4F6F8"/>
      </w:pPr>
      <w:r>
        <w:rPr>
          <w:rFonts w:ascii="Consolas" w:hAnsi="Consolas"/>
          <w:sz w:val="16"/>
        </w:rPr>
        <w:t>enable_eventbridge_notifications = true</w:t>
      </w:r>
    </w:p>
    <w:p>
      <w:pPr>
        <w:pStyle w:val="Heading2"/>
      </w:pPr>
      <w:r>
        <w:t>11.7 Static Website and Redirect Hosting</w:t>
      </w:r>
    </w:p>
    <w:p>
      <w:r>
        <w:t xml:space="preserve">static_website_type supports null, website or redirect. Website mode requires an index document. Redirect mode requires a redirect host name; the protocol can be http or https. The module contains preconditions to prevent incompatible website and redirect settings. </w:t>
      </w:r>
    </w:p>
    <w:p>
      <w:pPr>
        <w:spacing w:before="40" w:after="100"/>
        <w:ind w:left="259" w:right="72"/>
        <w:shd w:fill="F4F6F8"/>
      </w:pPr>
      <w:r>
        <w:rPr>
          <w:rFonts w:ascii="Consolas" w:hAnsi="Consolas"/>
          <w:sz w:val="16"/>
        </w:rPr>
        <w:t># Website</w:t>
        <w:br/>
        <w:t>static_website_type    = "website"</w:t>
        <w:br/>
        <w:t>website_index_document = "index.html"</w:t>
        <w:br/>
        <w:t>website_error_document = "error.html"</w:t>
        <w:br/>
        <w:br/>
        <w:t># OR redirect</w:t>
        <w:br/>
        <w:t>static_website_type = "redirect"</w:t>
        <w:br/>
        <w:t>redirect_host_name  = "example.com"</w:t>
        <w:br/>
        <w:t>redirect_protocol   = "https"</w:t>
      </w:r>
    </w:p>
    <w:p>
      <w:pPr>
        <w:pStyle w:val="Heading2"/>
      </w:pPr>
      <w:r>
        <w:t>11.8 Transfer Acceleration and Requester Pays</w:t>
      </w:r>
    </w:p>
    <w:p>
      <w:pPr>
        <w:spacing w:before="40" w:after="100"/>
        <w:ind w:left="259" w:right="72"/>
        <w:shd w:fill="F4F6F8"/>
      </w:pPr>
      <w:r>
        <w:rPr>
          <w:rFonts w:ascii="Consolas" w:hAnsi="Consolas"/>
          <w:sz w:val="16"/>
        </w:rPr>
        <w:t>enable_transfer_acceleration = true</w:t>
        <w:br/>
        <w:t>enable_requester_pays        = true</w:t>
      </w:r>
    </w:p>
    <w:p>
      <w:r>
        <w:t xml:space="preserve">Both options are disabled by default. The module creates the corresponding S3 configuration only when enabled. </w:t>
      </w:r>
    </w:p>
    <w:p>
      <w:pPr>
        <w:pStyle w:val="Heading1"/>
      </w:pPr>
      <w:r>
        <w:t>12. Terraform Execution and Validation</w:t>
      </w:r>
    </w:p>
    <w:p>
      <w:r>
        <w:t>Use the organization's approved TFE execution process. The following sequence is a general consumer workflow:</w:t>
      </w:r>
    </w:p>
    <w:p>
      <w:pPr>
        <w:pStyle w:val="ListNumber"/>
        <w:spacing w:after="60"/>
      </w:pPr>
      <w:r>
        <w:t>Confirm the module source and version.</w:t>
      </w:r>
    </w:p>
    <w:p>
      <w:pPr>
        <w:pStyle w:val="ListNumber"/>
        <w:spacing w:after="60"/>
      </w:pPr>
      <w:r>
        <w:t>Confirm all required inputs are populated.</w:t>
      </w:r>
    </w:p>
    <w:p>
      <w:pPr>
        <w:pStyle w:val="ListNumber"/>
        <w:spacing w:after="60"/>
      </w:pPr>
      <w:r>
        <w:t>Check optional feature inputs and their prerequisites.</w:t>
      </w:r>
    </w:p>
    <w:p>
      <w:pPr>
        <w:pStyle w:val="ListNumber"/>
        <w:spacing w:after="60"/>
      </w:pPr>
      <w:r>
        <w:t>Run terraform init.</w:t>
      </w:r>
    </w:p>
    <w:p>
      <w:pPr>
        <w:pStyle w:val="ListNumber"/>
        <w:spacing w:after="60"/>
      </w:pPr>
      <w:r>
        <w:t>Run terraform fmt and terraform validate.</w:t>
      </w:r>
    </w:p>
    <w:p>
      <w:pPr>
        <w:pStyle w:val="ListNumber"/>
        <w:spacing w:after="60"/>
      </w:pPr>
      <w:r>
        <w:t>Run terraform plan and review the planned S3 and supporting resources.</w:t>
      </w:r>
    </w:p>
    <w:p>
      <w:pPr>
        <w:pStyle w:val="ListNumber"/>
        <w:spacing w:after="60"/>
      </w:pPr>
      <w:r>
        <w:t>Complete the required approval/change process.</w:t>
      </w:r>
    </w:p>
    <w:p>
      <w:pPr>
        <w:pStyle w:val="ListNumber"/>
        <w:spacing w:after="60"/>
      </w:pPr>
      <w:r>
        <w:t>Run terraform apply through the approved workflow.</w:t>
      </w:r>
    </w:p>
    <w:p>
      <w:pPr>
        <w:pStyle w:val="ListNumber"/>
        <w:spacing w:after="60"/>
      </w:pPr>
      <w:r>
        <w:t>Verify the resulting bucket and enabled features.</w:t>
      </w:r>
    </w:p>
    <w:p>
      <w:pPr>
        <w:spacing w:before="40" w:after="100"/>
        <w:ind w:left="259" w:right="72"/>
        <w:shd w:fill="F4F6F8"/>
      </w:pPr>
      <w:r>
        <w:rPr>
          <w:rFonts w:ascii="Consolas" w:hAnsi="Consolas"/>
          <w:sz w:val="16"/>
        </w:rPr>
        <w:t>terraform init</w:t>
        <w:br/>
        <w:t>terraform fmt -check</w:t>
        <w:br/>
        <w:t>terraform validate</w:t>
        <w:br/>
        <w:t>terraform plan</w:t>
        <w:br/>
        <w:t>terraform apply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Plan review checklist: Confirm bucket naming, account/region, encryption/KMS, versioning, public access settings, tags, optional features and any notification destinations before approving the plan.</w:t>
            </w:r>
          </w:p>
        </w:tc>
      </w:tr>
    </w:tbl>
    <w:p>
      <w:pPr>
        <w:spacing w:after="20"/>
      </w:pPr>
    </w:p>
    <w:p>
      <w:pPr>
        <w:pStyle w:val="Heading1"/>
      </w:pPr>
      <w:r>
        <w:t>13. End-to-End Consumer Example</w:t>
      </w:r>
    </w:p>
    <w:p>
      <w:r>
        <w:t>The following example shows a basic consumer configuration. It intentionally uses variables for workload-specific values and leaves the module's security-oriented defaults in place.</w:t>
      </w:r>
    </w:p>
    <w:p>
      <w:pPr>
        <w:spacing w:before="40" w:after="100"/>
        <w:ind w:left="259" w:right="72"/>
        <w:shd w:fill="F4F6F8"/>
      </w:pPr>
      <w:r>
        <w:rPr>
          <w:rFonts w:ascii="Consolas" w:hAnsi="Consolas"/>
          <w:sz w:val="16"/>
        </w:rPr>
        <w:t># main.tf</w:t>
        <w:br/>
        <w:t>module "s3" {</w:t>
        <w:br/>
        <w:t xml:space="preserve">  source  = "tfe-dev.aws.novartis.net/Novartis/s3-poc/aws"</w:t>
        <w:br/>
        <w:t xml:space="preserve">  version = "1.0.1"</w:t>
        <w:br/>
        <w:br/>
        <w:t xml:space="preserve">  bucket_name = var.bucket_name</w:t>
        <w:br/>
        <w:t xml:space="preserve">  environment = var.environment</w:t>
        <w:br/>
        <w:t xml:space="preserve">  project     = var.project</w:t>
        <w:br/>
        <w:t xml:space="preserve">  application = var.application</w:t>
        <w:br/>
        <w:t xml:space="preserve">  owner       = var.owner</w:t>
        <w:br/>
        <w:t xml:space="preserve">  cost_center = var.cost_center</w:t>
        <w:br/>
        <w:br/>
        <w:t xml:space="preserve">  encryption_type   = var.encryption_type</w:t>
        <w:br/>
        <w:t xml:space="preserve">  enable_versioning = var.enable_versioning</w:t>
        <w:br/>
        <w:br/>
        <w:t xml:space="preserve">  additional_tags = var.additional_tags</w:t>
        <w:br/>
        <w:t>}</w:t>
      </w:r>
    </w:p>
    <w:p>
      <w:pPr>
        <w:spacing w:before="40" w:after="100"/>
        <w:ind w:left="259" w:right="72"/>
        <w:shd w:fill="F4F6F8"/>
      </w:pPr>
      <w:r>
        <w:rPr>
          <w:rFonts w:ascii="Consolas" w:hAnsi="Consolas"/>
          <w:sz w:val="16"/>
        </w:rPr>
        <w:t># variables.tf</w:t>
        <w:br/>
        <w:t>variable "bucket_name" {</w:t>
        <w:br/>
        <w:t xml:space="preserve">  type = string</w:t>
        <w:br/>
        <w:t>}</w:t>
        <w:br/>
        <w:br/>
        <w:t>variable "environment" {</w:t>
        <w:br/>
        <w:t xml:space="preserve">  type = string</w:t>
        <w:br/>
        <w:t>}</w:t>
        <w:br/>
        <w:br/>
        <w:t>variable "project" {</w:t>
        <w:br/>
        <w:t xml:space="preserve">  type = string</w:t>
        <w:br/>
        <w:t>}</w:t>
        <w:br/>
        <w:br/>
        <w:t>variable "application" {</w:t>
        <w:br/>
        <w:t xml:space="preserve">  type = string</w:t>
        <w:br/>
        <w:t>}</w:t>
        <w:br/>
        <w:br/>
        <w:t>variable "owner" {</w:t>
        <w:br/>
        <w:t xml:space="preserve">  type = string</w:t>
        <w:br/>
        <w:t>}</w:t>
        <w:br/>
        <w:br/>
        <w:t>variable "cost_center" {</w:t>
        <w:br/>
        <w:t xml:space="preserve">  type = string</w:t>
        <w:br/>
        <w:t>}</w:t>
        <w:br/>
        <w:br/>
        <w:t>variable "encryption_type" {</w:t>
        <w:br/>
        <w:t xml:space="preserve">  type    = string</w:t>
        <w:br/>
        <w:t xml:space="preserve">  default = "AES256"</w:t>
        <w:br/>
        <w:t>}</w:t>
        <w:br/>
        <w:br/>
        <w:t>variable "enable_versioning" {</w:t>
        <w:br/>
        <w:t xml:space="preserve">  type    = bool</w:t>
        <w:br/>
        <w:t xml:space="preserve">  default = true</w:t>
        <w:br/>
        <w:t>}</w:t>
        <w:br/>
        <w:br/>
        <w:t>variable "additional_tags" {</w:t>
        <w:br/>
        <w:t xml:space="preserve">  type    = map(string)</w:t>
        <w:br/>
        <w:t xml:space="preserve">  default = {}</w:t>
        <w:b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Result: The consumer supplies configuration values while the published module remains responsible for the S3 resource implementation.</w:t>
            </w:r>
          </w:p>
        </w:tc>
      </w:tr>
    </w:tbl>
    <w:p>
      <w:pPr>
        <w:spacing w:after="20"/>
      </w:pPr>
    </w:p>
    <w:p>
      <w:pPr>
        <w:pStyle w:val="Heading1"/>
      </w:pPr>
      <w:r>
        <w:t>14. Troubleshooting and Validation</w:t>
      </w:r>
    </w:p>
    <w:tbl>
      <w:tblPr>
        <w:tblStyle w:val="TableGrid"/>
        <w:tblW w:type="auto" w:w="0"/>
        <w:jc w:val="center"/>
        <w:tblLook w:firstColumn="1" w:firstRow="1" w:lastColumn="0" w:lastRow="0" w:noHBand="0" w:noVBand="1" w:val="04A0"/>
      </w:tblPr>
      <w:tblGrid>
        <w:gridCol w:w="5083"/>
        <w:gridCol w:w="5083"/>
      </w:tblGrid>
      <w:tr>
        <w:tc>
          <w:tcPr>
            <w:tcW w:type="dxa" w:w="3240"/>
            <w:vAlign w:val="center"/>
            <w:shd w:fill="2F5597"/>
          </w:tcPr>
          <w:p>
            <w:pPr>
              <w:spacing w:after="0"/>
            </w:pPr>
            <w:r/>
            <w:r>
              <w:rPr>
                <w:rFonts w:ascii="Aptos" w:hAnsi="Aptos"/>
                <w:b/>
                <w:color w:val="FFFFFF"/>
                <w:sz w:val="16"/>
              </w:rPr>
              <w:t>Symptom</w:t>
            </w:r>
          </w:p>
        </w:tc>
        <w:tc>
          <w:tcPr>
            <w:tcW w:type="dxa" w:w="7272"/>
            <w:vAlign w:val="center"/>
            <w:shd w:fill="2F5597"/>
          </w:tcPr>
          <w:p>
            <w:pPr>
              <w:spacing w:after="0"/>
            </w:pPr>
            <w:r/>
            <w:r>
              <w:rPr>
                <w:rFonts w:ascii="Aptos" w:hAnsi="Aptos"/>
                <w:b/>
                <w:color w:val="FFFFFF"/>
                <w:sz w:val="16"/>
              </w:rPr>
              <w:t>Recommended check</w:t>
            </w:r>
          </w:p>
        </w:tc>
      </w:tr>
      <w:tr>
        <w:tc>
          <w:tcPr>
            <w:tcW w:type="dxa" w:w="3240"/>
            <w:vAlign w:val="center"/>
          </w:tcPr>
          <w:p>
            <w:pPr>
              <w:spacing w:after="0"/>
            </w:pPr>
            <w:r/>
            <w:r>
              <w:rPr>
                <w:rFonts w:ascii="Aptos" w:hAnsi="Aptos"/>
                <w:b w:val="0"/>
                <w:sz w:val="16"/>
              </w:rPr>
              <w:t>Module cannot be initialized</w:t>
            </w:r>
          </w:p>
        </w:tc>
        <w:tc>
          <w:tcPr>
            <w:tcW w:type="dxa" w:w="7272"/>
            <w:vAlign w:val="center"/>
          </w:tcPr>
          <w:p>
            <w:pPr>
              <w:spacing w:after="0"/>
            </w:pPr>
            <w:r/>
            <w:r>
              <w:rPr>
                <w:rFonts w:ascii="Aptos" w:hAnsi="Aptos"/>
                <w:b w:val="0"/>
                <w:sz w:val="16"/>
              </w:rPr>
              <w:t>Confirm the TFE hostname, organization/module path, version and registry access.</w:t>
            </w:r>
          </w:p>
        </w:tc>
      </w:tr>
      <w:tr>
        <w:tc>
          <w:tcPr>
            <w:tcW w:type="dxa" w:w="3240"/>
            <w:vAlign w:val="center"/>
          </w:tcPr>
          <w:p>
            <w:pPr>
              <w:spacing w:after="0"/>
            </w:pPr>
            <w:r/>
            <w:r>
              <w:rPr>
                <w:rFonts w:ascii="Aptos" w:hAnsi="Aptos"/>
                <w:b w:val="0"/>
                <w:sz w:val="16"/>
              </w:rPr>
              <w:t>Required input missing</w:t>
            </w:r>
          </w:p>
        </w:tc>
        <w:tc>
          <w:tcPr>
            <w:tcW w:type="dxa" w:w="7272"/>
            <w:vAlign w:val="center"/>
          </w:tcPr>
          <w:p>
            <w:pPr>
              <w:spacing w:after="0"/>
            </w:pPr>
            <w:r/>
            <w:r>
              <w:rPr>
                <w:rFonts w:ascii="Aptos" w:hAnsi="Aptos"/>
                <w:b w:val="0"/>
                <w:sz w:val="16"/>
              </w:rPr>
              <w:t>Review the registry Inputs tab and provide the required values.</w:t>
            </w:r>
          </w:p>
        </w:tc>
      </w:tr>
      <w:tr>
        <w:tc>
          <w:tcPr>
            <w:tcW w:type="dxa" w:w="3240"/>
            <w:vAlign w:val="center"/>
          </w:tcPr>
          <w:p>
            <w:pPr>
              <w:spacing w:after="0"/>
            </w:pPr>
            <w:r/>
            <w:r>
              <w:rPr>
                <w:rFonts w:ascii="Aptos" w:hAnsi="Aptos"/>
                <w:b w:val="0"/>
                <w:sz w:val="16"/>
              </w:rPr>
              <w:t>Invalid bucket_name</w:t>
            </w:r>
          </w:p>
        </w:tc>
        <w:tc>
          <w:tcPr>
            <w:tcW w:type="dxa" w:w="7272"/>
            <w:vAlign w:val="center"/>
          </w:tcPr>
          <w:p>
            <w:pPr>
              <w:spacing w:after="0"/>
            </w:pPr>
            <w:r/>
            <w:r>
              <w:rPr>
                <w:rFonts w:ascii="Aptos" w:hAnsi="Aptos"/>
                <w:b w:val="0"/>
                <w:sz w:val="16"/>
              </w:rPr>
              <w:t>Use the module's allowed naming pattern and avoid the reserved names/prefixes defined in variables.tf.</w:t>
            </w:r>
          </w:p>
        </w:tc>
      </w:tr>
      <w:tr>
        <w:tc>
          <w:tcPr>
            <w:tcW w:type="dxa" w:w="3240"/>
            <w:vAlign w:val="center"/>
          </w:tcPr>
          <w:p>
            <w:pPr>
              <w:spacing w:after="0"/>
            </w:pPr>
            <w:r/>
            <w:r>
              <w:rPr>
                <w:rFonts w:ascii="Aptos" w:hAnsi="Aptos"/>
                <w:b w:val="0"/>
                <w:sz w:val="16"/>
              </w:rPr>
              <w:t>KMS validation failure</w:t>
            </w:r>
          </w:p>
        </w:tc>
        <w:tc>
          <w:tcPr>
            <w:tcW w:type="dxa" w:w="7272"/>
            <w:vAlign w:val="center"/>
          </w:tcPr>
          <w:p>
            <w:pPr>
              <w:spacing w:after="0"/>
            </w:pPr>
            <w:r/>
            <w:r>
              <w:rPr>
                <w:rFonts w:ascii="Aptos" w:hAnsi="Aptos"/>
                <w:b w:val="0"/>
                <w:sz w:val="16"/>
              </w:rPr>
              <w:t>Check encryption_type, kms_key_type and kms_key_alias combination.</w:t>
            </w:r>
          </w:p>
        </w:tc>
      </w:tr>
      <w:tr>
        <w:tc>
          <w:tcPr>
            <w:tcW w:type="dxa" w:w="3240"/>
            <w:vAlign w:val="center"/>
          </w:tcPr>
          <w:p>
            <w:pPr>
              <w:spacing w:after="0"/>
            </w:pPr>
            <w:r/>
            <w:r>
              <w:rPr>
                <w:rFonts w:ascii="Aptos" w:hAnsi="Aptos"/>
                <w:b w:val="0"/>
                <w:sz w:val="16"/>
              </w:rPr>
              <w:t>Event notification validation failure</w:t>
            </w:r>
          </w:p>
        </w:tc>
        <w:tc>
          <w:tcPr>
            <w:tcW w:type="dxa" w:w="7272"/>
            <w:vAlign w:val="center"/>
          </w:tcPr>
          <w:p>
            <w:pPr>
              <w:spacing w:after="0"/>
            </w:pPr>
            <w:r/>
            <w:r>
              <w:rPr>
                <w:rFonts w:ascii="Aptos" w:hAnsi="Aptos"/>
                <w:b w:val="0"/>
                <w:sz w:val="16"/>
              </w:rPr>
              <w:t>Confirm event notifications are enabled, at least one entry exists, destination type is sns/sqs/lambda, ARN is valid and every event begins with s3:.</w:t>
            </w:r>
          </w:p>
        </w:tc>
      </w:tr>
      <w:tr>
        <w:tc>
          <w:tcPr>
            <w:tcW w:type="dxa" w:w="3240"/>
            <w:vAlign w:val="center"/>
          </w:tcPr>
          <w:p>
            <w:pPr>
              <w:spacing w:after="0"/>
            </w:pPr>
            <w:r/>
            <w:r>
              <w:rPr>
                <w:rFonts w:ascii="Aptos" w:hAnsi="Aptos"/>
                <w:b w:val="0"/>
                <w:sz w:val="16"/>
              </w:rPr>
              <w:t>Website validation failure</w:t>
            </w:r>
          </w:p>
        </w:tc>
        <w:tc>
          <w:tcPr>
            <w:tcW w:type="dxa" w:w="7272"/>
            <w:vAlign w:val="center"/>
          </w:tcPr>
          <w:p>
            <w:pPr>
              <w:spacing w:after="0"/>
            </w:pPr>
            <w:r/>
            <w:r>
              <w:rPr>
                <w:rFonts w:ascii="Aptos" w:hAnsi="Aptos"/>
                <w:b w:val="0"/>
                <w:sz w:val="16"/>
              </w:rPr>
              <w:t>Website mode requires website_index_document; redirect mode requires redirect_host_name. Do not mix website and redirect configuration.</w:t>
            </w:r>
          </w:p>
        </w:tc>
      </w:tr>
      <w:tr>
        <w:tc>
          <w:tcPr>
            <w:tcW w:type="dxa" w:w="3240"/>
            <w:vAlign w:val="center"/>
          </w:tcPr>
          <w:p>
            <w:pPr>
              <w:spacing w:after="0"/>
            </w:pPr>
            <w:r/>
            <w:r>
              <w:rPr>
                <w:rFonts w:ascii="Aptos" w:hAnsi="Aptos"/>
                <w:b w:val="0"/>
                <w:sz w:val="16"/>
              </w:rPr>
              <w:t>Object Lock validation failure</w:t>
            </w:r>
          </w:p>
        </w:tc>
        <w:tc>
          <w:tcPr>
            <w:tcW w:type="dxa" w:w="7272"/>
            <w:vAlign w:val="center"/>
          </w:tcPr>
          <w:p>
            <w:pPr>
              <w:spacing w:after="0"/>
            </w:pPr>
            <w:r/>
            <w:r>
              <w:rPr>
                <w:rFonts w:ascii="Aptos" w:hAnsi="Aptos"/>
                <w:b w:val="0"/>
                <w:sz w:val="16"/>
              </w:rPr>
              <w:t>Set object_lock_days to a value greater than zero when Object Lock is enabled.</w:t>
            </w:r>
          </w:p>
        </w:tc>
      </w:tr>
      <w:tr>
        <w:tc>
          <w:tcPr>
            <w:tcW w:type="dxa" w:w="3240"/>
            <w:vAlign w:val="center"/>
          </w:tcPr>
          <w:p>
            <w:pPr>
              <w:spacing w:after="0"/>
            </w:pPr>
            <w:r/>
            <w:r>
              <w:rPr>
                <w:rFonts w:ascii="Aptos" w:hAnsi="Aptos"/>
                <w:b w:val="0"/>
                <w:sz w:val="16"/>
              </w:rPr>
              <w:t>Notification permission failure</w:t>
            </w:r>
          </w:p>
        </w:tc>
        <w:tc>
          <w:tcPr>
            <w:tcW w:type="dxa" w:w="7272"/>
            <w:vAlign w:val="center"/>
          </w:tcPr>
          <w:p>
            <w:pPr>
              <w:spacing w:after="0"/>
            </w:pPr>
            <w:r/>
            <w:r>
              <w:rPr>
                <w:rFonts w:ascii="Aptos" w:hAnsi="Aptos"/>
                <w:b w:val="0"/>
                <w:sz w:val="16"/>
              </w:rPr>
              <w:t>Confirm the destination resource and required permissions. If automatic permission handling is enabled, confirm the configured Python command and execution environment.</w:t>
            </w:r>
          </w:p>
        </w:tc>
      </w:tr>
      <w:tr>
        <w:tc>
          <w:tcPr>
            <w:tcW w:type="dxa" w:w="3240"/>
            <w:vAlign w:val="center"/>
          </w:tcPr>
          <w:p>
            <w:pPr>
              <w:spacing w:after="0"/>
            </w:pPr>
            <w:r/>
            <w:r>
              <w:rPr>
                <w:rFonts w:ascii="Aptos" w:hAnsi="Aptos"/>
                <w:b w:val="0"/>
                <w:sz w:val="16"/>
              </w:rPr>
              <w:t>Unexpected changes after module upgrade</w:t>
            </w:r>
          </w:p>
        </w:tc>
        <w:tc>
          <w:tcPr>
            <w:tcW w:type="dxa" w:w="7272"/>
            <w:vAlign w:val="center"/>
          </w:tcPr>
          <w:p>
            <w:pPr>
              <w:spacing w:after="0"/>
            </w:pPr>
            <w:r/>
            <w:r>
              <w:rPr>
                <w:rFonts w:ascii="Aptos" w:hAnsi="Aptos"/>
                <w:b w:val="0"/>
                <w:sz w:val="16"/>
              </w:rPr>
              <w:t>Review the module version change and terraform plan before applying. Pin a tested version.</w:t>
            </w:r>
          </w:p>
        </w:tc>
      </w:tr>
    </w:tbl>
    <w:p>
      <w:pPr>
        <w:spacing w:after="20"/>
      </w:pPr>
    </w:p>
    <w:p>
      <w:pPr>
        <w:pStyle w:val="Heading1"/>
      </w:pPr>
      <w:r>
        <w:t>15. Roles and Responsibilities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7"/>
              </w:rPr>
              <w:t>Role</w:t>
            </w:r>
          </w:p>
        </w:tc>
        <w:tc>
          <w:tcPr>
            <w:tcW w:type="dxa" w:w="7632"/>
            <w:vAlign w:val="center"/>
            <w:shd w:fill="2F5597"/>
          </w:tcPr>
          <w:p>
            <w:pPr>
              <w:spacing w:after="0"/>
            </w:pPr>
            <w:r/>
            <w:r>
              <w:rPr>
                <w:rFonts w:ascii="Aptos" w:hAnsi="Aptos"/>
                <w:b/>
                <w:color w:val="FFFFFF"/>
                <w:sz w:val="17"/>
              </w:rPr>
              <w:t>Responsibility</w:t>
            </w:r>
          </w:p>
        </w:tc>
      </w:tr>
      <w:tr>
        <w:tc>
          <w:tcPr>
            <w:tcW w:type="dxa" w:w="2880"/>
            <w:vAlign w:val="center"/>
          </w:tcPr>
          <w:p>
            <w:pPr>
              <w:spacing w:after="0"/>
            </w:pPr>
            <w:r/>
            <w:r>
              <w:rPr>
                <w:rFonts w:ascii="Aptos" w:hAnsi="Aptos"/>
                <w:b w:val="0"/>
                <w:sz w:val="17"/>
              </w:rPr>
              <w:t>Consumer / application team</w:t>
            </w:r>
          </w:p>
        </w:tc>
        <w:tc>
          <w:tcPr>
            <w:tcW w:type="dxa" w:w="7632"/>
            <w:vAlign w:val="center"/>
          </w:tcPr>
          <w:p>
            <w:pPr>
              <w:spacing w:after="0"/>
            </w:pPr>
            <w:r/>
            <w:r>
              <w:rPr>
                <w:rFonts w:ascii="Aptos" w:hAnsi="Aptos"/>
                <w:b w:val="0"/>
                <w:sz w:val="17"/>
              </w:rPr>
              <w:t>Maintain the consumer repository and input values; select a tested module version; review plans; provide destination resources and required permissions; follow approval/change procedures.</w:t>
            </w:r>
          </w:p>
        </w:tc>
      </w:tr>
      <w:tr>
        <w:tc>
          <w:tcPr>
            <w:tcW w:type="dxa" w:w="2880"/>
            <w:vAlign w:val="center"/>
          </w:tcPr>
          <w:p>
            <w:pPr>
              <w:spacing w:after="0"/>
            </w:pPr>
            <w:r/>
            <w:r>
              <w:rPr>
                <w:rFonts w:ascii="Aptos" w:hAnsi="Aptos"/>
                <w:b w:val="0"/>
                <w:sz w:val="17"/>
              </w:rPr>
              <w:t>Module owner</w:t>
            </w:r>
          </w:p>
        </w:tc>
        <w:tc>
          <w:tcPr>
            <w:tcW w:type="dxa" w:w="7632"/>
            <w:vAlign w:val="center"/>
          </w:tcPr>
          <w:p>
            <w:pPr>
              <w:spacing w:after="0"/>
            </w:pPr>
            <w:r/>
            <w:r>
              <w:rPr>
                <w:rFonts w:ascii="Aptos" w:hAnsi="Aptos"/>
                <w:b w:val="0"/>
                <w:sz w:val="17"/>
              </w:rPr>
              <w:t>Maintain the reusable S3 module, validations, supported inputs and published versions.</w:t>
            </w:r>
          </w:p>
        </w:tc>
      </w:tr>
      <w:tr>
        <w:tc>
          <w:tcPr>
            <w:tcW w:type="dxa" w:w="2880"/>
            <w:vAlign w:val="center"/>
          </w:tcPr>
          <w:p>
            <w:pPr>
              <w:spacing w:after="0"/>
            </w:pPr>
            <w:r/>
            <w:r>
              <w:rPr>
                <w:rFonts w:ascii="Aptos" w:hAnsi="Aptos"/>
                <w:b w:val="0"/>
                <w:sz w:val="17"/>
              </w:rPr>
              <w:t>Terraform Enterprise</w:t>
            </w:r>
          </w:p>
        </w:tc>
        <w:tc>
          <w:tcPr>
            <w:tcW w:type="dxa" w:w="7632"/>
            <w:vAlign w:val="center"/>
          </w:tcPr>
          <w:p>
            <w:pPr>
              <w:spacing w:after="0"/>
            </w:pPr>
            <w:r/>
            <w:r>
              <w:rPr>
                <w:rFonts w:ascii="Aptos" w:hAnsi="Aptos"/>
                <w:b w:val="0"/>
                <w:sz w:val="17"/>
              </w:rPr>
              <w:t>Host/publish the private module registry entry and make approved versions available to consumers.</w:t>
            </w:r>
          </w:p>
        </w:tc>
      </w:tr>
      <w:tr>
        <w:tc>
          <w:tcPr>
            <w:tcW w:type="dxa" w:w="2880"/>
            <w:vAlign w:val="center"/>
          </w:tcPr>
          <w:p>
            <w:pPr>
              <w:spacing w:after="0"/>
            </w:pPr>
            <w:r/>
            <w:r>
              <w:rPr>
                <w:rFonts w:ascii="Aptos" w:hAnsi="Aptos"/>
                <w:b w:val="0"/>
                <w:sz w:val="17"/>
              </w:rPr>
              <w:t>AWS</w:t>
            </w:r>
          </w:p>
        </w:tc>
        <w:tc>
          <w:tcPr>
            <w:tcW w:type="dxa" w:w="7632"/>
            <w:vAlign w:val="center"/>
          </w:tcPr>
          <w:p>
            <w:pPr>
              <w:spacing w:after="0"/>
            </w:pPr>
            <w:r/>
            <w:r>
              <w:rPr>
                <w:rFonts w:ascii="Aptos" w:hAnsi="Aptos"/>
                <w:b w:val="0"/>
                <w:sz w:val="17"/>
              </w:rPr>
              <w:t>Provision and operate the resulting S3 and related AWS resources.</w:t>
            </w:r>
          </w:p>
        </w:tc>
      </w:tr>
    </w:tbl>
    <w:p>
      <w:pPr>
        <w:spacing w:after="20"/>
      </w:pPr>
    </w:p>
    <w:p>
      <w:pPr>
        <w:pStyle w:val="Heading1"/>
      </w:pPr>
      <w:r>
        <w:t>16. Recommended Practices</w:t>
      </w:r>
    </w:p>
    <w:p>
      <w:pPr>
        <w:pStyle w:val="ListBullet"/>
        <w:spacing w:after="50"/>
      </w:pPr>
      <w:r>
        <w:t>Pin a tested module version in consumer configurations.</w:t>
      </w:r>
    </w:p>
    <w:p>
      <w:pPr>
        <w:pStyle w:val="ListBullet"/>
        <w:spacing w:after="50"/>
      </w:pPr>
      <w:r>
        <w:t>Do not copy the module implementation into each application repository.</w:t>
      </w:r>
    </w:p>
    <w:p>
      <w:pPr>
        <w:pStyle w:val="ListBullet"/>
        <w:spacing w:after="50"/>
      </w:pPr>
      <w:r>
        <w:t>Use variables or structured input data for environment-specific values.</w:t>
      </w:r>
    </w:p>
    <w:p>
      <w:pPr>
        <w:pStyle w:val="ListBullet"/>
        <w:spacing w:after="50"/>
      </w:pPr>
      <w:r>
        <w:t>Use for_each for multiple buckets with a common configuration pattern.</w:t>
      </w:r>
    </w:p>
    <w:p>
      <w:pPr>
        <w:pStyle w:val="ListBullet"/>
        <w:spacing w:after="50"/>
      </w:pPr>
      <w:r>
        <w:t>Keep public access blocking enabled unless a documented requirement says otherwise.</w:t>
      </w:r>
    </w:p>
    <w:p>
      <w:pPr>
        <w:pStyle w:val="ListBullet"/>
        <w:spacing w:after="50"/>
      </w:pPr>
      <w:r>
        <w:t>Use KMS settings deliberately and verify the selected key type and alias.</w:t>
      </w:r>
    </w:p>
    <w:p>
      <w:pPr>
        <w:pStyle w:val="ListBullet"/>
        <w:spacing w:after="50"/>
      </w:pPr>
      <w:r>
        <w:t>Enable optional features only when required by the application.</w:t>
      </w:r>
    </w:p>
    <w:p>
      <w:pPr>
        <w:pStyle w:val="ListBullet"/>
        <w:spacing w:after="50"/>
      </w:pPr>
      <w:r>
        <w:t>Review terraform plan before every apply.</w:t>
      </w:r>
    </w:p>
    <w:p>
      <w:pPr>
        <w:pStyle w:val="ListBullet"/>
        <w:spacing w:after="50"/>
      </w:pPr>
      <w:r>
        <w:t>Document non-default security, retention, website and notification settings.</w:t>
      </w:r>
    </w:p>
    <w:p>
      <w:pPr>
        <w:pStyle w:val="ListBullet"/>
        <w:spacing w:after="50"/>
      </w:pPr>
      <w:r>
        <w:t>Keep module changes and consumer changes independently reviewable.</w:t>
      </w:r>
    </w:p>
    <w:p>
      <w:pPr>
        <w:pStyle w:val="Heading1"/>
      </w:pPr>
      <w:r>
        <w:t>17. Quick Reference</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2F5597"/>
          </w:tcPr>
          <w:p>
            <w:pPr>
              <w:spacing w:after="0"/>
            </w:pPr>
            <w:r/>
            <w:r>
              <w:rPr>
                <w:rFonts w:ascii="Aptos" w:hAnsi="Aptos"/>
                <w:b/>
                <w:color w:val="FFFFFF"/>
                <w:sz w:val="17"/>
              </w:rPr>
              <w:t>Item</w:t>
            </w:r>
          </w:p>
        </w:tc>
        <w:tc>
          <w:tcPr>
            <w:tcW w:type="dxa" w:w="6912"/>
            <w:vAlign w:val="center"/>
            <w:shd w:fill="2F5597"/>
          </w:tcPr>
          <w:p>
            <w:pPr>
              <w:spacing w:after="0"/>
            </w:pPr>
            <w:r/>
            <w:r>
              <w:rPr>
                <w:rFonts w:ascii="Aptos" w:hAnsi="Aptos"/>
                <w:b/>
                <w:color w:val="FFFFFF"/>
                <w:sz w:val="17"/>
              </w:rPr>
              <w:t>Reference</w:t>
            </w:r>
          </w:p>
        </w:tc>
      </w:tr>
      <w:tr>
        <w:tc>
          <w:tcPr>
            <w:tcW w:type="dxa" w:w="3600"/>
            <w:vAlign w:val="center"/>
          </w:tcPr>
          <w:p>
            <w:pPr>
              <w:spacing w:after="0"/>
            </w:pPr>
            <w:r/>
            <w:r>
              <w:rPr>
                <w:rFonts w:ascii="Aptos" w:hAnsi="Aptos"/>
                <w:b w:val="0"/>
                <w:sz w:val="17"/>
              </w:rPr>
              <w:t>Published module</w:t>
            </w:r>
          </w:p>
        </w:tc>
        <w:tc>
          <w:tcPr>
            <w:tcW w:type="dxa" w:w="6912"/>
            <w:vAlign w:val="center"/>
          </w:tcPr>
          <w:p>
            <w:pPr>
              <w:spacing w:after="0"/>
            </w:pPr>
            <w:r/>
            <w:r>
              <w:rPr>
                <w:rFonts w:ascii="Aptos" w:hAnsi="Aptos"/>
                <w:b w:val="0"/>
                <w:sz w:val="17"/>
              </w:rPr>
              <w:t>Novartis/s3-poc/aws</w:t>
            </w:r>
          </w:p>
        </w:tc>
      </w:tr>
      <w:tr>
        <w:tc>
          <w:tcPr>
            <w:tcW w:type="dxa" w:w="3600"/>
            <w:vAlign w:val="center"/>
          </w:tcPr>
          <w:p>
            <w:pPr>
              <w:spacing w:after="0"/>
            </w:pPr>
            <w:r/>
            <w:r>
              <w:rPr>
                <w:rFonts w:ascii="Aptos" w:hAnsi="Aptos"/>
                <w:b w:val="0"/>
                <w:sz w:val="17"/>
              </w:rPr>
              <w:t>Consumer source</w:t>
            </w:r>
          </w:p>
        </w:tc>
        <w:tc>
          <w:tcPr>
            <w:tcW w:type="dxa" w:w="6912"/>
            <w:vAlign w:val="center"/>
          </w:tcPr>
          <w:p>
            <w:pPr>
              <w:spacing w:after="0"/>
            </w:pPr>
            <w:r/>
            <w:r>
              <w:rPr>
                <w:rFonts w:ascii="Aptos" w:hAnsi="Aptos"/>
                <w:b w:val="0"/>
                <w:sz w:val="17"/>
              </w:rPr>
              <w:t>tfe-dev.aws.novartis.net/Novartis/s3-poc/aws</w:t>
            </w:r>
          </w:p>
        </w:tc>
      </w:tr>
      <w:tr>
        <w:tc>
          <w:tcPr>
            <w:tcW w:type="dxa" w:w="3600"/>
            <w:vAlign w:val="center"/>
          </w:tcPr>
          <w:p>
            <w:pPr>
              <w:spacing w:after="0"/>
            </w:pPr>
            <w:r/>
            <w:r>
              <w:rPr>
                <w:rFonts w:ascii="Aptos" w:hAnsi="Aptos"/>
                <w:b w:val="0"/>
                <w:sz w:val="17"/>
              </w:rPr>
              <w:t>Example version</w:t>
            </w:r>
          </w:p>
        </w:tc>
        <w:tc>
          <w:tcPr>
            <w:tcW w:type="dxa" w:w="6912"/>
            <w:vAlign w:val="center"/>
          </w:tcPr>
          <w:p>
            <w:pPr>
              <w:spacing w:after="0"/>
            </w:pPr>
            <w:r/>
            <w:r>
              <w:rPr>
                <w:rFonts w:ascii="Aptos" w:hAnsi="Aptos"/>
                <w:b w:val="0"/>
                <w:sz w:val="17"/>
              </w:rPr>
              <w:t>1.0.1</w:t>
            </w:r>
          </w:p>
        </w:tc>
      </w:tr>
      <w:tr>
        <w:tc>
          <w:tcPr>
            <w:tcW w:type="dxa" w:w="3600"/>
            <w:vAlign w:val="center"/>
          </w:tcPr>
          <w:p>
            <w:pPr>
              <w:spacing w:after="0"/>
            </w:pPr>
            <w:r/>
            <w:r>
              <w:rPr>
                <w:rFonts w:ascii="Aptos" w:hAnsi="Aptos"/>
                <w:b w:val="0"/>
                <w:sz w:val="17"/>
              </w:rPr>
              <w:t>Required registry inputs</w:t>
            </w:r>
          </w:p>
        </w:tc>
        <w:tc>
          <w:tcPr>
            <w:tcW w:type="dxa" w:w="6912"/>
            <w:vAlign w:val="center"/>
          </w:tcPr>
          <w:p>
            <w:pPr>
              <w:spacing w:after="0"/>
            </w:pPr>
            <w:r/>
            <w:r>
              <w:rPr>
                <w:rFonts w:ascii="Aptos" w:hAnsi="Aptos"/>
                <w:b w:val="0"/>
                <w:sz w:val="17"/>
              </w:rPr>
              <w:t>application, bucket_name, environment, owner, project</w:t>
            </w:r>
          </w:p>
        </w:tc>
      </w:tr>
      <w:tr>
        <w:tc>
          <w:tcPr>
            <w:tcW w:type="dxa" w:w="3600"/>
            <w:vAlign w:val="center"/>
          </w:tcPr>
          <w:p>
            <w:pPr>
              <w:spacing w:after="0"/>
            </w:pPr>
            <w:r/>
            <w:r>
              <w:rPr>
                <w:rFonts w:ascii="Aptos" w:hAnsi="Aptos"/>
                <w:b w:val="0"/>
                <w:sz w:val="17"/>
              </w:rPr>
              <w:t>Additional required input in supplied variables.tf</w:t>
            </w:r>
          </w:p>
        </w:tc>
        <w:tc>
          <w:tcPr>
            <w:tcW w:type="dxa" w:w="6912"/>
            <w:vAlign w:val="center"/>
          </w:tcPr>
          <w:p>
            <w:pPr>
              <w:spacing w:after="0"/>
            </w:pPr>
            <w:r/>
            <w:r>
              <w:rPr>
                <w:rFonts w:ascii="Aptos" w:hAnsi="Aptos"/>
                <w:b w:val="0"/>
                <w:sz w:val="17"/>
              </w:rPr>
              <w:t>cost_center</w:t>
            </w:r>
          </w:p>
        </w:tc>
      </w:tr>
      <w:tr>
        <w:tc>
          <w:tcPr>
            <w:tcW w:type="dxa" w:w="3600"/>
            <w:vAlign w:val="center"/>
          </w:tcPr>
          <w:p>
            <w:pPr>
              <w:spacing w:after="0"/>
            </w:pPr>
            <w:r/>
            <w:r>
              <w:rPr>
                <w:rFonts w:ascii="Aptos" w:hAnsi="Aptos"/>
                <w:b w:val="0"/>
                <w:sz w:val="17"/>
              </w:rPr>
              <w:t>Default encryption</w:t>
            </w:r>
          </w:p>
        </w:tc>
        <w:tc>
          <w:tcPr>
            <w:tcW w:type="dxa" w:w="6912"/>
            <w:vAlign w:val="center"/>
          </w:tcPr>
          <w:p>
            <w:pPr>
              <w:spacing w:after="0"/>
            </w:pPr>
            <w:r/>
            <w:r>
              <w:rPr>
                <w:rFonts w:ascii="Aptos" w:hAnsi="Aptos"/>
                <w:b w:val="0"/>
                <w:sz w:val="17"/>
              </w:rPr>
              <w:t>AES256</w:t>
            </w:r>
          </w:p>
        </w:tc>
      </w:tr>
      <w:tr>
        <w:tc>
          <w:tcPr>
            <w:tcW w:type="dxa" w:w="3600"/>
            <w:vAlign w:val="center"/>
          </w:tcPr>
          <w:p>
            <w:pPr>
              <w:spacing w:after="0"/>
            </w:pPr>
            <w:r/>
            <w:r>
              <w:rPr>
                <w:rFonts w:ascii="Aptos" w:hAnsi="Aptos"/>
                <w:b w:val="0"/>
                <w:sz w:val="17"/>
              </w:rPr>
              <w:t>Default versioning</w:t>
            </w:r>
          </w:p>
        </w:tc>
        <w:tc>
          <w:tcPr>
            <w:tcW w:type="dxa" w:w="6912"/>
            <w:vAlign w:val="center"/>
          </w:tcPr>
          <w:p>
            <w:pPr>
              <w:spacing w:after="0"/>
            </w:pPr>
            <w:r/>
            <w:r>
              <w:rPr>
                <w:rFonts w:ascii="Aptos" w:hAnsi="Aptos"/>
                <w:b w:val="0"/>
                <w:sz w:val="17"/>
              </w:rPr>
              <w:t>Enabled</w:t>
            </w:r>
          </w:p>
        </w:tc>
      </w:tr>
      <w:tr>
        <w:tc>
          <w:tcPr>
            <w:tcW w:type="dxa" w:w="3600"/>
            <w:vAlign w:val="center"/>
          </w:tcPr>
          <w:p>
            <w:pPr>
              <w:spacing w:after="0"/>
            </w:pPr>
            <w:r/>
            <w:r>
              <w:rPr>
                <w:rFonts w:ascii="Aptos" w:hAnsi="Aptos"/>
                <w:b w:val="0"/>
                <w:sz w:val="17"/>
              </w:rPr>
              <w:t>Default public access block</w:t>
            </w:r>
          </w:p>
        </w:tc>
        <w:tc>
          <w:tcPr>
            <w:tcW w:type="dxa" w:w="6912"/>
            <w:vAlign w:val="center"/>
          </w:tcPr>
          <w:p>
            <w:pPr>
              <w:spacing w:after="0"/>
            </w:pPr>
            <w:r/>
            <w:r>
              <w:rPr>
                <w:rFonts w:ascii="Aptos" w:hAnsi="Aptos"/>
                <w:b w:val="0"/>
                <w:sz w:val="17"/>
              </w:rPr>
              <w:t>All four controls enabled</w:t>
            </w:r>
          </w:p>
        </w:tc>
      </w:tr>
      <w:tr>
        <w:tc>
          <w:tcPr>
            <w:tcW w:type="dxa" w:w="3600"/>
            <w:vAlign w:val="center"/>
          </w:tcPr>
          <w:p>
            <w:pPr>
              <w:spacing w:after="0"/>
            </w:pPr>
            <w:r/>
            <w:r>
              <w:rPr>
                <w:rFonts w:ascii="Aptos" w:hAnsi="Aptos"/>
                <w:b w:val="0"/>
                <w:sz w:val="17"/>
              </w:rPr>
              <w:t>Default object ownership</w:t>
            </w:r>
          </w:p>
        </w:tc>
        <w:tc>
          <w:tcPr>
            <w:tcW w:type="dxa" w:w="6912"/>
            <w:vAlign w:val="center"/>
          </w:tcPr>
          <w:p>
            <w:pPr>
              <w:spacing w:after="0"/>
            </w:pPr>
            <w:r/>
            <w:r>
              <w:rPr>
                <w:rFonts w:ascii="Aptos" w:hAnsi="Aptos"/>
                <w:b w:val="0"/>
                <w:sz w:val="17"/>
              </w:rPr>
              <w:t>BucketOwnerEnforced</w:t>
            </w:r>
          </w:p>
        </w:tc>
      </w:tr>
      <w:tr>
        <w:tc>
          <w:tcPr>
            <w:tcW w:type="dxa" w:w="3600"/>
            <w:vAlign w:val="center"/>
          </w:tcPr>
          <w:p>
            <w:pPr>
              <w:spacing w:after="0"/>
            </w:pPr>
            <w:r/>
            <w:r>
              <w:rPr>
                <w:rFonts w:ascii="Aptos" w:hAnsi="Aptos"/>
                <w:b w:val="0"/>
                <w:sz w:val="17"/>
              </w:rPr>
              <w:t>Object Lock</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Event notifications</w:t>
            </w:r>
          </w:p>
        </w:tc>
        <w:tc>
          <w:tcPr>
            <w:tcW w:type="dxa" w:w="6912"/>
            <w:vAlign w:val="center"/>
          </w:tcPr>
          <w:p>
            <w:pPr>
              <w:spacing w:after="0"/>
            </w:pPr>
            <w:r/>
            <w:r>
              <w:rPr>
                <w:rFonts w:ascii="Aptos" w:hAnsi="Aptos"/>
                <w:b w:val="0"/>
                <w:sz w:val="17"/>
              </w:rPr>
              <w:t>Disabled; SNS/SQS/Lambda supported when enabled</w:t>
            </w:r>
          </w:p>
        </w:tc>
      </w:tr>
      <w:tr>
        <w:tc>
          <w:tcPr>
            <w:tcW w:type="dxa" w:w="3600"/>
            <w:vAlign w:val="center"/>
          </w:tcPr>
          <w:p>
            <w:pPr>
              <w:spacing w:after="0"/>
            </w:pPr>
            <w:r/>
            <w:r>
              <w:rPr>
                <w:rFonts w:ascii="Aptos" w:hAnsi="Aptos"/>
                <w:b w:val="0"/>
                <w:sz w:val="17"/>
              </w:rPr>
              <w:t>EventBridge notifications</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Static website</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Transfer Acceleration</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Requester Pays</w:t>
            </w:r>
          </w:p>
        </w:tc>
        <w:tc>
          <w:tcPr>
            <w:tcW w:type="dxa" w:w="6912"/>
            <w:vAlign w:val="center"/>
          </w:tcPr>
          <w:p>
            <w:pPr>
              <w:spacing w:after="0"/>
            </w:pPr>
            <w:r/>
            <w:r>
              <w:rPr>
                <w:rFonts w:ascii="Aptos" w:hAnsi="Aptos"/>
                <w:b w:val="0"/>
                <w:sz w:val="17"/>
              </w:rPr>
              <w:t>Disabled</w:t>
            </w:r>
          </w:p>
        </w:tc>
      </w:tr>
    </w:tbl>
    <w:p>
      <w:pPr>
        <w:spacing w:after="20"/>
      </w:pPr>
    </w:p>
    <w:p>
      <w:pPr>
        <w:pStyle w:val="Heading1"/>
      </w:pPr>
      <w:r>
        <w:t>18. Source and Implementation Notes</w:t>
      </w:r>
    </w:p>
    <w:p>
      <w:r>
        <w:t>This work instruction was reviewed against the supplied materials:</w:t>
      </w:r>
    </w:p>
    <w:p>
      <w:pPr>
        <w:pStyle w:val="ListBullet"/>
        <w:spacing w:after="50"/>
      </w:pPr>
      <w:r>
        <w:t>Terraform Enterprise registry screenshot showing the private module, module source, version, required/optional inputs and usage instructions.</w:t>
      </w:r>
    </w:p>
    <w:p>
      <w:pPr>
        <w:pStyle w:val="ListBullet"/>
        <w:spacing w:after="50"/>
      </w:pPr>
      <w:r>
        <w:t>variables.tf supplied by the module owner.</w:t>
      </w:r>
    </w:p>
    <w:p>
      <w:pPr>
        <w:pStyle w:val="ListBullet"/>
        <w:spacing w:after="50"/>
      </w:pPr>
      <w:r>
        <w:t>module main.tf supplied by the module owner.</w:t>
      </w:r>
    </w:p>
    <w:p>
      <w:pPr>
        <w:pStyle w:val="ListBullet"/>
        <w:spacing w:after="50"/>
      </w:pPr>
      <w:r>
        <w:t>root/consumer main.tf supplied for reference.</w:t>
      </w:r>
    </w:p>
    <w:p>
      <w:r>
        <w:t xml:space="preserve">The supplied module implementation shows the S3 bucket resource, encryption configuration, versioning, ownership controls, public access block, website configuration, event notification configuration, Lambda/SQS/SNS permission handling, transfer acceleration, requester pays and Object Lock.  </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Review item before publication: Confirm the final organizational terminology, approved Terraform provider/version standard, TFE workspace workflow, authentication method, change/approval process and support contacts before releasing this document to end users.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Novartis | Terraform Enterprise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S3 Terraform Module | User Work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Manual">
    <w:name w:val="TOC Manual"/>
    <w:pPr>
      <w:spacing w:after="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