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line="240" w:lineRule="auto"/>
      </w:pPr>
      <w:r>
        <w:rPr>
          <w:rFonts w:ascii="Calibri" w:hAnsi="Calibri" w:eastAsia="Microsoft YaHei"/>
          <w:b/>
          <w:i w:val="0"/>
          <w:color w:val="1F4E79"/>
          <w:sz w:val="48"/>
        </w:rPr>
        <w:t>XH-202607 工业环境 VLA 智能体</w:t>
      </w:r>
    </w:p>
    <w:p>
      <w:pPr>
        <w:spacing w:before="0" w:after="80" w:line="240" w:lineRule="auto"/>
      </w:pPr>
      <w:r>
        <w:rPr>
          <w:rFonts w:ascii="Calibri" w:hAnsi="Calibri" w:eastAsia="Microsoft YaHei"/>
          <w:b/>
          <w:i w:val="0"/>
          <w:color w:val="1F2937"/>
          <w:sz w:val="38"/>
        </w:rPr>
        <w:t>源代码参数、接口 API 与文档职责说明</w:t>
      </w:r>
    </w:p>
    <w:p>
      <w:pPr>
        <w:spacing w:before="0" w:after="520" w:line="288" w:lineRule="auto"/>
      </w:pPr>
      <w:r>
        <w:rPr>
          <w:rFonts w:ascii="Calibri" w:hAnsi="Calibri" w:eastAsia="Microsoft YaHei"/>
          <w:b w:val="0"/>
          <w:i w:val="0"/>
          <w:color w:val="5B6770"/>
          <w:sz w:val="24"/>
        </w:rPr>
        <w:t>面向开发、部署、联调、测试与交接的代码参考手册</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vAlign w:val="center"/>
          </w:tcPr>
          <w:p>
            <w:r>
              <w:t>审计范围  以 D:\industrial-agent-vla\industrial-agent-vla 为代码根目录，按 2026-08-18 文件状态整理。该目录包含 Git 元数据；上层工作目录不是 Git 根。</w:t>
            </w:r>
          </w:p>
        </w:tc>
      </w:tr>
    </w:tbl>
    <w:p>
      <w:pPr>
        <w:spacing w:after="40"/>
      </w:pPr>
    </w:p>
    <w:p>
      <w:pPr>
        <w:spacing w:before="0" w:after="160" w:line="300" w:lineRule="auto"/>
      </w:pPr>
      <w:r>
        <w:rPr>
          <w:rFonts w:ascii="Calibri" w:hAnsi="Calibri" w:eastAsia="Microsoft YaHei"/>
          <w:b w:val="0"/>
          <w:i w:val="0"/>
          <w:color w:val="1F2937"/>
          <w:sz w:val="21"/>
        </w:rPr>
        <w:t>本手册不替代官方 PDF、架构冻结契约或 JSON Schema。涉及跨进程接口和动作安全时，应以 schemas/ 与 docs/architecture/interface-contracts.md 的实际内容为准。</w:t>
      </w:r>
    </w:p>
    <w:p>
      <w:pPr>
        <w:spacing w:before="480" w:after="0" w:line="300" w:lineRule="auto"/>
      </w:pPr>
      <w:r>
        <w:t>生成日期：2026-08-18</w:t>
      </w:r>
    </w:p>
    <w:p>
      <w:r>
        <w:br w:type="page"/>
      </w:r>
    </w:p>
    <w:p>
      <w:pPr>
        <w:pStyle w:val="Heading1"/>
        <w:keepNext/>
        <w:spacing w:before="360" w:after="180" w:line="264" w:lineRule="auto"/>
      </w:pPr>
      <w:r>
        <w:rPr>
          <w:rFonts w:ascii="Calibri" w:hAnsi="Calibri" w:eastAsia="Microsoft YaHei"/>
          <w:b/>
          <w:i w:val="0"/>
          <w:color w:val="1F4E79"/>
          <w:sz w:val="32"/>
        </w:rPr>
        <w:t>1. 快速结论</w:t>
      </w:r>
    </w:p>
    <w:p>
      <w:pPr>
        <w:spacing w:before="0" w:after="120" w:line="300" w:lineRule="auto"/>
      </w:pPr>
      <w:r>
        <w:t>项目当前采用双轨场景口径：V2 single_bin_manual_industrial_v2 是 8 工件、2×4 料箱的人工工业采集场景，用于通过键盘生成 Canonical Episode；V1 single_bin_pack_handoff_v1 继续作为 Supervisor、π0.5、OpenVLA-OFT 与 YOLO 四 Agent 自动闭环兼容基线。当前仓库仍保留 mock/dummy 路径与真实模型适配层，真实权重和 norm stats 不入库。</w:t>
      </w:r>
    </w:p>
    <w:tbl>
      <w:tblPr>
        <w:tblStyle w:val="TableGrid"/>
        <w:tblW w:type="dxa" w:w="9360"/>
        <w:jc w:val="left"/>
        <w:tblLayout w:type="fixed"/>
        <w:tblLook w:firstColumn="1" w:firstRow="1" w:lastColumn="0" w:lastRow="0" w:noHBand="0" w:noVBand="1" w:val="04A0"/>
        <w:tblInd w:w="120" w:type="dxa"/>
      </w:tblPr>
      <w:tblGrid>
        <w:gridCol w:w="1800"/>
        <w:gridCol w:w="4800"/>
        <w:gridCol w:w="2760"/>
      </w:tblGrid>
      <w:tr>
        <w:trPr>
          <w:tblHeader w:val="true"/>
          <w:cantSplit/>
        </w:trPr>
        <w:tc>
          <w:tcPr>
            <w:tcW w:type="dxa" w:w="18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主题</w:t>
            </w:r>
          </w:p>
        </w:tc>
        <w:tc>
          <w:tcPr>
            <w:tcW w:type="dxa" w:w="48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结论</w:t>
            </w:r>
          </w:p>
        </w:tc>
        <w:tc>
          <w:tcPr>
            <w:tcW w:type="dxa" w:w="27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主要定位</w:t>
            </w:r>
          </w:p>
        </w:tc>
      </w:tr>
      <w:tr>
        <w:trPr>
          <w:cantSplit/>
        </w:trPr>
        <w:tc>
          <w:tcPr>
            <w:tcW w:type="dxa" w:w="1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Supervisor</w:t>
            </w:r>
          </w:p>
        </w:tc>
        <w:tc>
          <w:tcPr>
            <w:tcW w:type="dxa" w:w="4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固定 A_ONLY -&gt; HANDOFF_VERIFY -&gt; B_ONLY -&gt; NONE，不做在线模型路由。</w:t>
            </w:r>
          </w:p>
        </w:tc>
        <w:tc>
          <w:tcPr>
            <w:tcW w:type="dxa" w:w="2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src/industrial_agent/orchestrator.py; lifecycle.py</w:t>
            </w:r>
          </w:p>
        </w:tc>
      </w:tr>
      <w:tr>
        <w:trPr>
          <w:cantSplit/>
        </w:trPr>
        <w:tc>
          <w:tcPr>
            <w:tcW w:type="dxa" w:w="1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模型服务</w:t>
            </w:r>
          </w:p>
        </w:tc>
        <w:tc>
          <w:tcPr>
            <w:tcW w:type="dxa" w:w="4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π0.5 默认 8101，OpenVLA-OFT 默认 8102，均消费统一 executor contract。</w:t>
            </w:r>
          </w:p>
        </w:tc>
        <w:tc>
          <w:tcPr>
            <w:tcW w:type="dxa" w:w="2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services/pi05; services/openvla_oft</w:t>
            </w:r>
          </w:p>
        </w:tc>
      </w:tr>
      <w:tr>
        <w:trPr>
          <w:cantSplit/>
        </w:trPr>
        <w:tc>
          <w:tcPr>
            <w:tcW w:type="dxa" w:w="1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感知服务</w:t>
            </w:r>
          </w:p>
        </w:tc>
        <w:tc>
          <w:tcPr>
            <w:tcW w:type="dxa" w:w="4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YOLO 默认 8103；检测成功/失败仅形成 sidecar 证据，不作为 VLA 必要输入。</w:t>
            </w:r>
          </w:p>
        </w:tc>
        <w:tc>
          <w:tcPr>
            <w:tcW w:type="dxa" w:w="2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services/yolo; src/industrial_agent/perception.py</w:t>
            </w:r>
          </w:p>
        </w:tc>
      </w:tr>
      <w:tr>
        <w:trPr>
          <w:cantSplit/>
        </w:trPr>
        <w:tc>
          <w:tcPr>
            <w:tcW w:type="dxa" w:w="1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接口真源</w:t>
            </w:r>
          </w:p>
        </w:tc>
        <w:tc>
          <w:tcPr>
            <w:tcW w:type="dxa" w:w="4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跨进程 JSON 合同由 schemas/*.schema.json 定义，服务实现必须与其对齐。</w:t>
            </w:r>
          </w:p>
        </w:tc>
        <w:tc>
          <w:tcPr>
            <w:tcW w:type="dxa" w:w="2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schemas/; docs/architecture/interface-contracts.md</w:t>
            </w:r>
          </w:p>
        </w:tc>
      </w:tr>
      <w:tr>
        <w:trPr>
          <w:cantSplit/>
        </w:trPr>
        <w:tc>
          <w:tcPr>
            <w:tcW w:type="dxa" w:w="1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图像传输</w:t>
            </w:r>
          </w:p>
        </w:tc>
        <w:tc>
          <w:tcPr>
            <w:tcW w:type="dxa" w:w="4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跨进程传递 ImageReference + SHA，不直接信任内联图像；CAS 缺失/校验失败应 fail-closed。</w:t>
            </w:r>
          </w:p>
        </w:tc>
        <w:tc>
          <w:tcPr>
            <w:tcW w:type="dxa" w:w="2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src/industrial_agent/image_cas.py; service_images.py</w:t>
            </w:r>
          </w:p>
        </w:tc>
      </w:tr>
      <w:tr>
        <w:trPr>
          <w:cantSplit/>
        </w:trPr>
        <w:tc>
          <w:tcPr>
            <w:tcW w:type="dxa" w:w="1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版本固定</w:t>
            </w:r>
          </w:p>
        </w:tc>
        <w:tc>
          <w:tcPr>
            <w:tcW w:type="dxa" w:w="4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模型、norm stats、YOLO checkpoint/class map/config 使用完整 sha256:&lt;64hex&gt;。</w:t>
            </w:r>
          </w:p>
        </w:tc>
        <w:tc>
          <w:tcPr>
            <w:tcW w:type="dxa" w:w="2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configs/; 各服务 config.py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vAlign w:val="center"/>
          </w:tcPr>
          <w:p>
            <w:pPr>
              <w:spacing w:before="0" w:after="0" w:line="276" w:lineRule="auto"/>
            </w:pPr>
            <w:r>
              <w:rPr>
                <w:rFonts w:ascii="Calibri" w:hAnsi="Calibri" w:eastAsia="Microsoft YaHei"/>
                <w:b/>
                <w:i w:val="0"/>
                <w:color w:val="1F4E79"/>
                <w:sz w:val="21"/>
              </w:rPr>
              <w:t xml:space="preserve">阅读顺序  </w:t>
            </w:r>
            <w:r>
              <w:rPr>
                <w:rFonts w:ascii="Calibri" w:hAnsi="Calibri" w:eastAsia="Microsoft YaHei"/>
                <w:b w:val="0"/>
                <w:i w:val="0"/>
                <w:color w:val="1F2937"/>
                <w:sz w:val="21"/>
              </w:rPr>
              <w:t>先看本手册第 3 节接口，第 4 节配置参数，再按第 7 节文件索引回到源码；修改合同后必须同步 schemas、文档和契约测试。</w:t>
            </w:r>
          </w:p>
        </w:tc>
      </w:tr>
    </w:tbl>
    <w:p>
      <w:pPr>
        <w:spacing w:after="40"/>
      </w:pPr>
    </w:p>
    <w:p>
      <w:pPr>
        <w:pStyle w:val="Heading1"/>
        <w:keepNext/>
        <w:spacing w:before="360" w:after="180" w:line="264" w:lineRule="auto"/>
      </w:pPr>
      <w:r>
        <w:rPr>
          <w:rFonts w:ascii="Calibri" w:hAnsi="Calibri" w:eastAsia="Microsoft YaHei"/>
          <w:b/>
          <w:i w:val="0"/>
          <w:color w:val="1F4E79"/>
          <w:sz w:val="32"/>
        </w:rPr>
        <w:t>2. 目录与运行边界</w:t>
      </w:r>
    </w:p>
    <w:tbl>
      <w:tblPr>
        <w:tblStyle w:val="TableGrid"/>
        <w:tblW w:type="dxa" w:w="9360"/>
        <w:jc w:val="left"/>
        <w:tblLayout w:type="fixed"/>
        <w:tblLook w:firstColumn="1" w:firstRow="1" w:lastColumn="0" w:lastRow="0" w:noHBand="0" w:noVBand="1" w:val="04A0"/>
        <w:tblInd w:w="120" w:type="dxa"/>
      </w:tblPr>
      <w:tblGrid>
        <w:gridCol w:w="2100"/>
        <w:gridCol w:w="3600"/>
        <w:gridCol w:w="3660"/>
      </w:tblGrid>
      <w:tr>
        <w:trPr>
          <w:tblHeader w:val="true"/>
          <w:cantSplit/>
        </w:trPr>
        <w:tc>
          <w:tcPr>
            <w:tcW w:type="dxa" w:w="21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目录</w:t>
            </w:r>
          </w:p>
        </w:tc>
        <w:tc>
          <w:tcPr>
            <w:tcW w:type="dxa" w:w="36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内容</w:t>
            </w:r>
          </w:p>
        </w:tc>
        <w:tc>
          <w:tcPr>
            <w:tcW w:type="dxa" w:w="36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运行/交付边界</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src/industrial_agent/</w:t>
            </w:r>
          </w:p>
        </w:tc>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Supervisor 核心、业务契约、安全、编排、传输、CAS。</w:t>
            </w:r>
          </w:p>
        </w:tc>
        <w:tc>
          <w:tcPr>
            <w:tcW w:type="dxa" w:w="36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轻量核心；不应导入 YOLO/PyTorch/CUDA/JAX 重依赖。</w:t>
            </w:r>
          </w:p>
        </w:tc>
      </w:tr>
      <w:tr>
        <w:trPr>
          <w:cantSplit/>
        </w:trPr>
        <w:tc>
          <w:tcPr>
            <w:tcW w:type="dxa" w:w="21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services/pi05/</w:t>
            </w:r>
          </w:p>
        </w:tc>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π0.5/openpi 训练、转换、推理服务和测试。</w:t>
            </w:r>
          </w:p>
        </w:tc>
        <w:tc>
          <w:tcPr>
            <w:tcW w:type="dxa" w:w="36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独立 Python 环境；默认服务端口 8101。</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services/openvla_oft/</w:t>
            </w:r>
          </w:p>
        </w:tc>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OpenVLA-OFT 模型适配、服务、CAS guard 和测试。</w:t>
            </w:r>
          </w:p>
        </w:tc>
        <w:tc>
          <w:tcPr>
            <w:tcW w:type="dxa" w:w="36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独立模型环境；默认服务端口 8102。</w:t>
            </w:r>
          </w:p>
        </w:tc>
      </w:tr>
      <w:tr>
        <w:trPr>
          <w:cantSplit/>
        </w:trPr>
        <w:tc>
          <w:tcPr>
            <w:tcW w:type="dxa" w:w="21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services/yolo/</w:t>
            </w:r>
          </w:p>
        </w:tc>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YOLO 检测服务、类图、模型适配、测试。</w:t>
            </w:r>
          </w:p>
        </w:tc>
        <w:tc>
          <w:tcPr>
            <w:tcW w:type="dxa" w:w="36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独立感知环境；默认服务端口 8103。</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services/supervisor/</w:t>
            </w:r>
          </w:p>
        </w:tc>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Supervisor 部署容器说明和镜像边界。</w:t>
            </w:r>
          </w:p>
        </w:tc>
        <w:tc>
          <w:tcPr>
            <w:tcW w:type="dxa" w:w="36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服务编排/部署资料，不承担模型逻辑。</w:t>
            </w:r>
          </w:p>
        </w:tc>
      </w:tr>
      <w:tr>
        <w:trPr>
          <w:cantSplit/>
        </w:trPr>
        <w:tc>
          <w:tcPr>
            <w:tcW w:type="dxa" w:w="21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configs/</w:t>
            </w:r>
          </w:p>
        </w:tc>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Supervisor 默认配置、任务示例、π0.5 训练配置。</w:t>
            </w:r>
          </w:p>
        </w:tc>
        <w:tc>
          <w:tcPr>
            <w:tcW w:type="dxa" w:w="36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部署前替换占位 SHA；不放 token、密码和私有路径。</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schemas/</w:t>
            </w:r>
          </w:p>
        </w:tc>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跨进程/落盘 JSON Schema。</w:t>
            </w:r>
          </w:p>
        </w:tc>
        <w:tc>
          <w:tcPr>
            <w:tcW w:type="dxa" w:w="36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接口合同真源；变更应先更新合同和测试。</w:t>
            </w:r>
          </w:p>
        </w:tc>
      </w:tr>
      <w:tr>
        <w:trPr>
          <w:cantSplit/>
        </w:trPr>
        <w:tc>
          <w:tcPr>
            <w:tcW w:type="dxa" w:w="21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scripts/</w:t>
            </w:r>
          </w:p>
        </w:tc>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校验、演示、数据生成、训练和转换命令。</w:t>
            </w:r>
          </w:p>
        </w:tc>
        <w:tc>
          <w:tcPr>
            <w:tcW w:type="dxa" w:w="36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可执行工具；脚本参数见本手册第 5 节。</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simulation/</w:t>
            </w:r>
          </w:p>
        </w:tc>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Isaac Sim 场景、控制器、相机、遥操作和验收。</w:t>
            </w:r>
          </w:p>
        </w:tc>
        <w:tc>
          <w:tcPr>
            <w:tcW w:type="dxa" w:w="36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仿真运行环境；不属于在线 Agent API。</w:t>
            </w:r>
          </w:p>
        </w:tc>
      </w:tr>
      <w:tr>
        <w:trPr>
          <w:cantSplit/>
        </w:trPr>
        <w:tc>
          <w:tcPr>
            <w:tcW w:type="dxa" w:w="21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tests/</w:t>
            </w:r>
          </w:p>
        </w:tc>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Supervisor、合同、仿真、数据与集成测试。</w:t>
            </w:r>
          </w:p>
        </w:tc>
        <w:tc>
          <w:tcPr>
            <w:tcW w:type="dxa" w:w="36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回归保障；服务目录下还有各自 tests/。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docs/</w:t>
            </w:r>
          </w:p>
        </w:tc>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架构、需求、项目管理、仿真和源资料。</w:t>
            </w:r>
          </w:p>
        </w:tc>
        <w:tc>
          <w:tcPr>
            <w:tcW w:type="dxa" w:w="36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人类阅读材料；第 8 节逐文件说明。</w:t>
            </w:r>
          </w:p>
        </w:tc>
      </w:tr>
    </w:tbl>
    <w:p>
      <w:pPr>
        <w:spacing w:after="40"/>
      </w:pPr>
    </w:p>
    <w:p>
      <w:pPr>
        <w:pStyle w:val="Heading1"/>
        <w:keepNext/>
        <w:spacing w:before="360" w:after="180" w:line="264" w:lineRule="auto"/>
      </w:pPr>
      <w:r>
        <w:rPr>
          <w:rFonts w:ascii="Calibri" w:hAnsi="Calibri" w:eastAsia="Microsoft YaHei"/>
          <w:b/>
          <w:i w:val="0"/>
          <w:color w:val="1F4E79"/>
          <w:sz w:val="32"/>
        </w:rPr>
        <w:t>3. 接口 API 位置与参数</w:t>
      </w:r>
    </w:p>
    <w:p>
      <w:pPr>
        <w:spacing w:before="0" w:after="120" w:line="300" w:lineRule="auto"/>
      </w:pPr>
      <w:r>
        <w:rPr>
          <w:rFonts w:ascii="Calibri" w:hAnsi="Calibri" w:eastAsia="Microsoft YaHei"/>
          <w:b w:val="0"/>
          <w:i w:val="0"/>
          <w:color w:val="1F2937"/>
          <w:sz w:val="21"/>
        </w:rPr>
        <w:t>所有独立服务都返回 JSON envelope；HTTP 服务使用 Python 标准库或 FastAPI。API 入口位置、默认端口与调用关系如下。</w:t>
      </w:r>
    </w:p>
    <w:tbl>
      <w:tblPr>
        <w:tblStyle w:val="TableGrid"/>
        <w:tblW w:type="dxa" w:w="9360"/>
        <w:jc w:val="left"/>
        <w:tblLayout w:type="fixed"/>
        <w:tblLook w:firstColumn="1" w:firstRow="1" w:lastColumn="0" w:lastRow="0" w:noHBand="0" w:noVBand="1" w:val="04A0"/>
        <w:tblInd w:w="120" w:type="dxa"/>
      </w:tblPr>
      <w:tblGrid>
        <w:gridCol w:w="1250"/>
        <w:gridCol w:w="1450"/>
        <w:gridCol w:w="2800"/>
        <w:gridCol w:w="1050"/>
        <w:gridCol w:w="2810"/>
      </w:tblGrid>
      <w:tr>
        <w:trPr>
          <w:tblHeader w:val="true"/>
          <w:cantSplit/>
        </w:trPr>
        <w:tc>
          <w:tcPr>
            <w:tcW w:type="dxa" w:w="125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服务</w:t>
            </w:r>
          </w:p>
        </w:tc>
        <w:tc>
          <w:tcPr>
            <w:tcW w:type="dxa" w:w="145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方法/路径</w:t>
            </w:r>
          </w:p>
        </w:tc>
        <w:tc>
          <w:tcPr>
            <w:tcW w:type="dxa" w:w="28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入口代码</w:t>
            </w:r>
          </w:p>
        </w:tc>
        <w:tc>
          <w:tcPr>
            <w:tcW w:type="dxa" w:w="105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默认监听</w:t>
            </w:r>
          </w:p>
        </w:tc>
        <w:tc>
          <w:tcPr>
            <w:tcW w:type="dxa" w:w="281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用途</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w:t>
            </w:r>
          </w:p>
        </w:tc>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GET /health</w:t>
            </w:r>
          </w:p>
        </w:tc>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services/pi05/src/openpi_service.py</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127.0.0.1:8101</w:t>
            </w:r>
          </w:p>
        </w:tc>
        <w:tc>
          <w:tcPr>
            <w:tcW w:type="dxa" w:w="28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返回 service、status、checkpoint_sha、norm_stats_sha、能力和 action contract。</w:t>
            </w:r>
          </w:p>
        </w:tc>
      </w:tr>
      <w:tr>
        <w:trPr>
          <w:cantSplit/>
        </w:trPr>
        <w:tc>
          <w:tcPr>
            <w:tcW w:type="dxa" w:w="12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w:t>
            </w:r>
          </w:p>
        </w:tc>
        <w:tc>
          <w:tcPr>
            <w:tcW w:type="dxa" w:w="14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POST /v1/infer</w:t>
            </w:r>
          </w:p>
        </w:tc>
        <w:tc>
          <w:tcPr>
            <w:tcW w:type="dxa" w:w="2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services/pi05/src/openpi_service.py; services/pi05/handler.py</w:t>
            </w:r>
          </w:p>
        </w:tc>
        <w:tc>
          <w:tcPr>
            <w:tcW w:type="dxa" w:w="10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8101</w:t>
            </w:r>
          </w:p>
        </w:tc>
        <w:tc>
          <w:tcPr>
            <w:tcW w:type="dxa" w:w="28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接受统一 executor 推理请求，先解析 CAS ImageReference，再生成动作块。</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w:t>
            </w:r>
          </w:p>
        </w:tc>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POST /v1/cancel</w:t>
            </w:r>
          </w:p>
        </w:tc>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services/pi05/src/openpi_service.py</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8101</w:t>
            </w:r>
          </w:p>
        </w:tc>
        <w:tc>
          <w:tcPr>
            <w:tcW w:type="dxa" w:w="28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按 task_id 幂等取消并清理服务端上下文。</w:t>
            </w:r>
          </w:p>
        </w:tc>
      </w:tr>
      <w:tr>
        <w:trPr>
          <w:cantSplit/>
        </w:trPr>
        <w:tc>
          <w:tcPr>
            <w:tcW w:type="dxa" w:w="12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 dummy</w:t>
            </w:r>
          </w:p>
        </w:tc>
        <w:tc>
          <w:tcPr>
            <w:tcW w:type="dxa" w:w="14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WebSocket /</w:t>
            </w:r>
          </w:p>
        </w:tc>
        <w:tc>
          <w:tcPr>
            <w:tcW w:type="dxa" w:w="2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services/pi05/src/openpi_service.py</w:t>
            </w:r>
          </w:p>
        </w:tc>
        <w:tc>
          <w:tcPr>
            <w:tcW w:type="dxa" w:w="10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8101</w:t>
            </w:r>
          </w:p>
        </w:tc>
        <w:tc>
          <w:tcPr>
            <w:tcW w:type="dxa" w:w="28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仅 dummy 兼容入口；real 模式拒绝旧的内联图像 WS 协议，生产应使用 HTTP /v1/infer。</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OpenVLA-OFT</w:t>
            </w:r>
          </w:p>
        </w:tc>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GET /health</w:t>
            </w:r>
          </w:p>
        </w:tc>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services/openvla_oft/src/openvla_oft/app.py</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127.0.0.1:8102</w:t>
            </w:r>
          </w:p>
        </w:tc>
        <w:tc>
          <w:tcPr>
            <w:tcW w:type="dxa" w:w="28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返回服务状态、模型/归一化摘要、设备和队列能力。</w:t>
            </w:r>
          </w:p>
        </w:tc>
      </w:tr>
      <w:tr>
        <w:trPr>
          <w:cantSplit/>
        </w:trPr>
        <w:tc>
          <w:tcPr>
            <w:tcW w:type="dxa" w:w="12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OpenVLA-OFT</w:t>
            </w:r>
          </w:p>
        </w:tc>
        <w:tc>
          <w:tcPr>
            <w:tcW w:type="dxa" w:w="14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POST /v1/infer</w:t>
            </w:r>
          </w:p>
        </w:tc>
        <w:tc>
          <w:tcPr>
            <w:tcW w:type="dxa" w:w="2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services/openvla_oft/src/openvla_oft/app.py; routes.py</w:t>
            </w:r>
          </w:p>
        </w:tc>
        <w:tc>
          <w:tcPr>
            <w:tcW w:type="dxa" w:w="10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8102</w:t>
            </w:r>
          </w:p>
        </w:tc>
        <w:tc>
          <w:tcPr>
            <w:tcW w:type="dxa" w:w="28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只允许 S02_ARM_B_TRANSPORT；输入固定为 CAM_B_TOP + 7D state。</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OpenVLA-OFT</w:t>
            </w:r>
          </w:p>
        </w:tc>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POST /v1/cancel</w:t>
            </w:r>
          </w:p>
        </w:tc>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services/openvla_oft/src/openvla_oft/app.py</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8102</w:t>
            </w:r>
          </w:p>
        </w:tc>
        <w:tc>
          <w:tcPr>
            <w:tcW w:type="dxa" w:w="28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取消推理并清理上下文；相同 request_id 的终态响应可缓存返回。</w:t>
            </w:r>
          </w:p>
        </w:tc>
      </w:tr>
      <w:tr>
        <w:trPr>
          <w:cantSplit/>
        </w:trPr>
        <w:tc>
          <w:tcPr>
            <w:tcW w:type="dxa" w:w="12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w:t>
            </w:r>
          </w:p>
        </w:tc>
        <w:tc>
          <w:tcPr>
            <w:tcW w:type="dxa" w:w="14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GET /health</w:t>
            </w:r>
          </w:p>
        </w:tc>
        <w:tc>
          <w:tcPr>
            <w:tcW w:type="dxa" w:w="2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services/yolo/src/yolo_service/app.py</w:t>
            </w:r>
          </w:p>
        </w:tc>
        <w:tc>
          <w:tcPr>
            <w:tcW w:type="dxa" w:w="10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127.0.0.1:8103</w:t>
            </w:r>
          </w:p>
        </w:tc>
        <w:tc>
          <w:tcPr>
            <w:tcW w:type="dxa" w:w="28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返回检测服务身份、模型和 class map/config SHA。</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w:t>
            </w:r>
          </w:p>
        </w:tc>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POST /v1/detect</w:t>
            </w:r>
          </w:p>
        </w:tc>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services/yolo/src/yolo_service/app.py; routes.py</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8103</w:t>
            </w:r>
          </w:p>
        </w:tc>
        <w:tc>
          <w:tcPr>
            <w:tcW w:type="dxa" w:w="28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检测单帧 CAS 图像，返回 DetectionPacket 和 timing。</w:t>
            </w:r>
          </w:p>
        </w:tc>
      </w:tr>
      <w:tr>
        <w:trPr>
          <w:cantSplit/>
        </w:trPr>
        <w:tc>
          <w:tcPr>
            <w:tcW w:type="dxa" w:w="12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w:t>
            </w:r>
          </w:p>
        </w:tc>
        <w:tc>
          <w:tcPr>
            <w:tcW w:type="dxa" w:w="14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POST /v1/cancel</w:t>
            </w:r>
          </w:p>
        </w:tc>
        <w:tc>
          <w:tcPr>
            <w:tcW w:type="dxa" w:w="2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services/yolo/src/yolo_service/app.py</w:t>
            </w:r>
          </w:p>
        </w:tc>
        <w:tc>
          <w:tcPr>
            <w:tcW w:type="dxa" w:w="10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8103</w:t>
            </w:r>
          </w:p>
        </w:tc>
        <w:tc>
          <w:tcPr>
            <w:tcW w:type="dxa" w:w="28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按 task_id 取消检测请求并清理上下文。</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Supervisor</w:t>
            </w:r>
          </w:p>
        </w:tc>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内部接口</w:t>
            </w:r>
          </w:p>
        </w:tc>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src/industrial_agent/supervisor_main.py; orchestrator.py</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无固定 HTTP 端口</w:t>
            </w:r>
          </w:p>
        </w:tc>
        <w:tc>
          <w:tcPr>
            <w:tcW w:type="dxa" w:w="28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加载 agent config，组装 VLA/YOLO transport，执行固定生命周期。</w:t>
            </w:r>
          </w:p>
        </w:tc>
      </w:tr>
    </w:tbl>
    <w:p>
      <w:pPr>
        <w:spacing w:after="40"/>
      </w:pPr>
    </w:p>
    <w:p>
      <w:pPr>
        <w:pStyle w:val="Heading2"/>
        <w:keepNext/>
        <w:spacing w:before="240" w:after="120" w:line="264" w:lineRule="auto"/>
      </w:pPr>
      <w:r>
        <w:rPr>
          <w:rFonts w:ascii="Calibri" w:hAnsi="Calibri" w:eastAsia="Microsoft YaHei"/>
          <w:b/>
          <w:i w:val="0"/>
          <w:color w:val="1F4E79"/>
          <w:sz w:val="26"/>
        </w:rPr>
        <w:t>3.1 共同请求字段</w:t>
      </w:r>
    </w:p>
    <w:tbl>
      <w:tblPr>
        <w:tblStyle w:val="TableGrid"/>
        <w:tblW w:type="dxa" w:w="9360"/>
        <w:jc w:val="left"/>
        <w:tblLayout w:type="fixed"/>
        <w:tblLook w:firstColumn="1" w:firstRow="1" w:lastColumn="0" w:lastRow="0" w:noHBand="0" w:noVBand="1" w:val="04A0"/>
        <w:tblInd w:w="120" w:type="dxa"/>
      </w:tblPr>
      <w:tblGrid>
        <w:gridCol w:w="2500"/>
        <w:gridCol w:w="2400"/>
        <w:gridCol w:w="4460"/>
      </w:tblGrid>
      <w:tr>
        <w:trPr>
          <w:tblHeader w:val="true"/>
          <w:cantSplit/>
        </w:trPr>
        <w:tc>
          <w:tcPr>
            <w:tcW w:type="dxa" w:w="25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字段</w:t>
            </w:r>
          </w:p>
        </w:tc>
        <w:tc>
          <w:tcPr>
            <w:tcW w:type="dxa" w:w="24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类型/约束</w:t>
            </w:r>
          </w:p>
        </w:tc>
        <w:tc>
          <w:tcPr>
            <w:tcW w:type="dxa" w:w="44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说明</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schema_version</w:t>
            </w:r>
          </w:p>
        </w:tc>
        <w:tc>
          <w:tcPr>
            <w:tcW w:type="dxa" w:w="24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string，1.x；部分 YOLO/固定服务要求 1.0</w:t>
            </w:r>
          </w:p>
        </w:tc>
        <w:tc>
          <w:tcPr>
            <w:tcW w:type="dxa" w:w="44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合同版本；拒绝不兼容版本。</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request_id</w:t>
            </w:r>
          </w:p>
        </w:tc>
        <w:tc>
          <w:tcPr>
            <w:tcW w:type="dxa" w:w="24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非空 string</w:t>
            </w:r>
          </w:p>
        </w:tc>
        <w:tc>
          <w:tcPr>
            <w:tcW w:type="dxa" w:w="44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请求幂等与取消关联 ID。</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trace_id</w:t>
            </w:r>
          </w:p>
        </w:tc>
        <w:tc>
          <w:tcPr>
            <w:tcW w:type="dxa" w:w="24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非空 string</w:t>
            </w:r>
          </w:p>
        </w:tc>
        <w:tc>
          <w:tcPr>
            <w:tcW w:type="dxa" w:w="44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跨 YOLO/VLA/事件的链路关联 ID。</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episode_id</w:t>
            </w:r>
          </w:p>
        </w:tc>
        <w:tc>
          <w:tcPr>
            <w:tcW w:type="dxa" w:w="24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非空 string</w:t>
            </w:r>
          </w:p>
        </w:tc>
        <w:tc>
          <w:tcPr>
            <w:tcW w:type="dxa" w:w="44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一次 episode 标识。</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task_id</w:t>
            </w:r>
          </w:p>
        </w:tc>
        <w:tc>
          <w:tcPr>
            <w:tcW w:type="dxa" w:w="24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非空 string</w:t>
            </w:r>
          </w:p>
        </w:tc>
        <w:tc>
          <w:tcPr>
            <w:tcW w:type="dxa" w:w="44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任务标识；取消按此字段清理活动请求。</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subtask_id</w:t>
            </w:r>
          </w:p>
        </w:tc>
        <w:tc>
          <w:tcPr>
            <w:tcW w:type="dxa" w:w="24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非空 string</w:t>
            </w:r>
          </w:p>
        </w:tc>
        <w:tc>
          <w:tcPr>
            <w:tcW w:type="dxa" w:w="44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固定角色阶段；π0.5 必须 S01_ARM_A_PACK_HANDOFF，OpenVLA-OFT 必须 S02_ARM_B_TRANSPORT。</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step_id</w:t>
            </w:r>
          </w:p>
        </w:tc>
        <w:tc>
          <w:tcPr>
            <w:tcW w:type="dxa" w:w="24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非负整数</w:t>
            </w:r>
          </w:p>
        </w:tc>
        <w:tc>
          <w:tcPr>
            <w:tcW w:type="dxa" w:w="44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当前推理/检测步。</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observation_id</w:t>
            </w:r>
          </w:p>
        </w:tc>
        <w:tc>
          <w:tcPr>
            <w:tcW w:type="dxa" w:w="24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非空 string</w:t>
            </w:r>
          </w:p>
        </w:tc>
        <w:tc>
          <w:tcPr>
            <w:tcW w:type="dxa" w:w="44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观测帧标识；与 image_sha256 形成同帧关联。</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deadline_ms</w:t>
            </w:r>
          </w:p>
        </w:tc>
        <w:tc>
          <w:tcPr>
            <w:tcW w:type="dxa" w:w="24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正整数</w:t>
            </w:r>
          </w:p>
        </w:tc>
        <w:tc>
          <w:tcPr>
            <w:tcW w:type="dxa" w:w="44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本次调用总 deadline；服务端还会限制最大值。</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checkpoint_sha / norm_stats_sha</w:t>
            </w:r>
          </w:p>
        </w:tc>
        <w:tc>
          <w:tcPr>
            <w:tcW w:type="dxa" w:w="24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完整 sha256:&lt;64hex&gt;</w:t>
            </w:r>
          </w:p>
        </w:tc>
        <w:tc>
          <w:tcPr>
            <w:tcW w:type="dxa" w:w="44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必须与部署服务身份一致；禁止 latest、短摘要和占位符。</w:t>
            </w:r>
          </w:p>
        </w:tc>
      </w:tr>
    </w:tbl>
    <w:p>
      <w:pPr>
        <w:spacing w:after="40"/>
      </w:pPr>
    </w:p>
    <w:p>
      <w:pPr>
        <w:pStyle w:val="Heading2"/>
        <w:keepNext/>
        <w:spacing w:before="240" w:after="120" w:line="264" w:lineRule="auto"/>
      </w:pPr>
      <w:r>
        <w:rPr>
          <w:rFonts w:ascii="Calibri" w:hAnsi="Calibri" w:eastAsia="Microsoft YaHei"/>
          <w:b/>
          <w:i w:val="0"/>
          <w:color w:val="1F4E79"/>
          <w:sz w:val="26"/>
        </w:rPr>
        <w:t>3.2 YOLO /v1/detect 参数</w:t>
      </w:r>
    </w:p>
    <w:tbl>
      <w:tblPr>
        <w:tblStyle w:val="TableGrid"/>
        <w:tblW w:type="dxa" w:w="9360"/>
        <w:jc w:val="left"/>
        <w:tblLayout w:type="fixed"/>
        <w:tblLook w:firstColumn="1" w:firstRow="1" w:lastColumn="0" w:lastRow="0" w:noHBand="0" w:noVBand="1" w:val="04A0"/>
        <w:tblInd w:w="120" w:type="dxa"/>
      </w:tblPr>
      <w:tblGrid>
        <w:gridCol w:w="2500"/>
        <w:gridCol w:w="2300"/>
        <w:gridCol w:w="4560"/>
      </w:tblGrid>
      <w:tr>
        <w:trPr>
          <w:tblHeader w:val="true"/>
          <w:cantSplit/>
        </w:trPr>
        <w:tc>
          <w:tcPr>
            <w:tcW w:type="dxa" w:w="25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字段</w:t>
            </w:r>
          </w:p>
        </w:tc>
        <w:tc>
          <w:tcPr>
            <w:tcW w:type="dxa" w:w="23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类型</w:t>
            </w:r>
          </w:p>
        </w:tc>
        <w:tc>
          <w:tcPr>
            <w:tcW w:type="dxa" w:w="45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说明/限制</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detector</w:t>
            </w:r>
          </w:p>
        </w:tc>
        <w:tc>
          <w:tcPr>
            <w:tcW w:type="dxa" w:w="23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w:t>
            </w:r>
          </w:p>
        </w:tc>
        <w:tc>
          <w:tcPr>
            <w:tcW w:type="dxa" w:w="4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必须为 yolo。</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image_sha256</w:t>
            </w:r>
          </w:p>
        </w:tc>
        <w:tc>
          <w:tcPr>
            <w:tcW w:type="dxa" w:w="23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w:t>
            </w:r>
          </w:p>
        </w:tc>
        <w:tc>
          <w:tcPr>
            <w:tcW w:type="dxa" w:w="45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与 image.uri 指向同一 CAS 图像的 SHA-256。</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checkpoint_sha/class_map_sha/config_sha</w:t>
            </w:r>
          </w:p>
        </w:tc>
        <w:tc>
          <w:tcPr>
            <w:tcW w:type="dxa" w:w="23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w:t>
            </w:r>
          </w:p>
        </w:tc>
        <w:tc>
          <w:tcPr>
            <w:tcW w:type="dxa" w:w="4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三项完整部署摘要，均须匹配服务配置。</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expected_detection_contract</w:t>
            </w:r>
          </w:p>
        </w:tc>
        <w:tc>
          <w:tcPr>
            <w:tcW w:type="dxa" w:w="23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w:t>
            </w:r>
          </w:p>
        </w:tc>
        <w:tc>
          <w:tcPr>
            <w:tcW w:type="dxa" w:w="45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固定为 1.0。</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image</w:t>
            </w:r>
          </w:p>
        </w:tc>
        <w:tc>
          <w:tcPr>
            <w:tcW w:type="dxa" w:w="23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ImageReference 对象</w:t>
            </w:r>
          </w:p>
        </w:tc>
        <w:tc>
          <w:tcPr>
            <w:tcW w:type="dxa" w:w="4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uri、image_sha256、camera_id、width、height；通常 camera_id 为 CAM_A_TOP/CAM_HANDOFF/CAM_B_TOP。</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allowed_class_names</w:t>
            </w:r>
          </w:p>
        </w:tc>
        <w:tc>
          <w:tcPr>
            <w:tcW w:type="dxa" w:w="23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w:t>
            </w:r>
          </w:p>
        </w:tc>
        <w:tc>
          <w:tcPr>
            <w:tcW w:type="dxa" w:w="45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可选类名子集；不得放 instruction、target、robot state 或 lifecycle summary。</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thresholds</w:t>
            </w:r>
          </w:p>
        </w:tc>
        <w:tc>
          <w:tcPr>
            <w:tcW w:type="dxa" w:w="23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对象</w:t>
            </w:r>
          </w:p>
        </w:tc>
        <w:tc>
          <w:tcPr>
            <w:tcW w:type="dxa" w:w="4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confidence_threshold 和 iou_threshold；默认来自 configs/agent.default.json 或 yolo.default.json。</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响应 detection_packet</w:t>
            </w:r>
          </w:p>
        </w:tc>
        <w:tc>
          <w:tcPr>
            <w:tcW w:type="dxa" w:w="23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对象</w:t>
            </w:r>
          </w:p>
        </w:tc>
        <w:tc>
          <w:tcPr>
            <w:tcW w:type="dxa" w:w="45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detection_id、class_id、class_name、confidence、bbox_xyxy、camera_id、尺寸、attributes；不进入 VLA 输入。</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响应 timing</w:t>
            </w:r>
          </w:p>
        </w:tc>
        <w:tc>
          <w:tcPr>
            <w:tcW w:type="dxa" w:w="23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对象</w:t>
            </w:r>
          </w:p>
        </w:tc>
        <w:tc>
          <w:tcPr>
            <w:tcW w:type="dxa" w:w="4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preprocess_ms、inference_ms、nms_ms、total_ms。</w:t>
            </w:r>
          </w:p>
        </w:tc>
      </w:tr>
    </w:tbl>
    <w:p>
      <w:pPr>
        <w:spacing w:after="40"/>
      </w:pPr>
    </w:p>
    <w:p>
      <w:pPr>
        <w:pStyle w:val="Heading2"/>
        <w:keepNext/>
        <w:spacing w:before="240" w:after="120" w:line="264" w:lineRule="auto"/>
      </w:pPr>
      <w:r>
        <w:rPr>
          <w:rFonts w:ascii="Calibri" w:hAnsi="Calibri" w:eastAsia="Microsoft YaHei"/>
          <w:b/>
          <w:i w:val="0"/>
          <w:color w:val="1F4E79"/>
          <w:sz w:val="26"/>
        </w:rPr>
        <w:t>3.3 VLA /v1/infer 参数</w:t>
      </w:r>
    </w:p>
    <w:tbl>
      <w:tblPr>
        <w:tblStyle w:val="TableGrid"/>
        <w:tblW w:type="dxa" w:w="9360"/>
        <w:jc w:val="left"/>
        <w:tblLayout w:type="fixed"/>
        <w:tblLook w:firstColumn="1" w:firstRow="1" w:lastColumn="0" w:lastRow="0" w:noHBand="0" w:noVBand="1" w:val="04A0"/>
        <w:tblInd w:w="120" w:type="dxa"/>
      </w:tblPr>
      <w:tblGrid>
        <w:gridCol w:w="2500"/>
        <w:gridCol w:w="2000"/>
        <w:gridCol w:w="4860"/>
      </w:tblGrid>
      <w:tr>
        <w:trPr>
          <w:tblHeader w:val="true"/>
          <w:cantSplit/>
        </w:trPr>
        <w:tc>
          <w:tcPr>
            <w:tcW w:type="dxa" w:w="25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字段</w:t>
            </w:r>
          </w:p>
        </w:tc>
        <w:tc>
          <w:tcPr>
            <w:tcW w:type="dxa" w:w="20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类型</w:t>
            </w:r>
          </w:p>
        </w:tc>
        <w:tc>
          <w:tcPr>
            <w:tcW w:type="dxa" w:w="48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π0.5 / OpenVLA-OFT 约束</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executor</w:t>
            </w:r>
          </w:p>
        </w:tc>
        <w:tc>
          <w:tcPr>
            <w:tcW w:type="dxa" w:w="2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enum</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只能是 pi05 或 openvla_oft，必须与服务名一致。</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expected_action_contract</w:t>
            </w:r>
          </w:p>
        </w:tc>
        <w:tc>
          <w:tcPr>
            <w:tcW w:type="dxa" w:w="2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w:t>
            </w:r>
          </w:p>
        </w:tc>
        <w:tc>
          <w:tcPr>
            <w:tcW w:type="dxa" w:w="48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固定为 1.0。</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model_input</w:t>
            </w:r>
          </w:p>
        </w:tc>
        <w:tc>
          <w:tcPr>
            <w:tcW w:type="dxa" w:w="2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对象</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OpenVLA: task_description/full_image/wrist_image/state；π0.5: prompt/observation（统一 HTTP 合同由 executor-infer.schema 定义）。</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full_image / observation</w:t>
            </w:r>
          </w:p>
        </w:tc>
        <w:tc>
          <w:tcPr>
            <w:tcW w:type="dxa" w:w="2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ImageReference/对象</w:t>
            </w:r>
          </w:p>
        </w:tc>
        <w:tc>
          <w:tcPr>
            <w:tcW w:type="dxa" w:w="48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通过 CAS resolver 解析真实 RGB；禁止黑图、placeholder 或隐式 mock 降级。</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wrist_image</w:t>
            </w:r>
          </w:p>
        </w:tc>
        <w:tc>
          <w:tcPr>
            <w:tcW w:type="dxa" w:w="2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null 或 ImageReference</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冻结三相机配置下必须为 null。</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state</w:t>
            </w:r>
          </w:p>
        </w:tc>
        <w:tc>
          <w:tcPr>
            <w:tcW w:type="dxa" w:w="2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float[7]</w:t>
            </w:r>
          </w:p>
        </w:tc>
        <w:tc>
          <w:tcPr>
            <w:tcW w:type="dxa" w:w="48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[x_m,y_m,z_m,ax_rad,ay_rad,az_rad,gripper_norm]；旋转部分是 rotation vector，不是 Euler。</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task_description / prompt</w:t>
            </w:r>
          </w:p>
        </w:tc>
        <w:tc>
          <w:tcPr>
            <w:tcW w:type="dxa" w:w="2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string</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必须匹配冻结任务画像对应的 Arm_A 或 Arm_B 指令。</w:t>
            </w:r>
          </w:p>
        </w:tc>
      </w:tr>
      <w:tr>
        <w:trPr>
          <w:cantSplit/>
        </w:trPr>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响应 action_chunk</w:t>
            </w:r>
          </w:p>
        </w:tc>
        <w:tc>
          <w:tcPr>
            <w:tcW w:type="dxa" w:w="2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对象</w:t>
            </w:r>
          </w:p>
        </w:tc>
        <w:tc>
          <w:tcPr>
            <w:tcW w:type="dxa" w:w="48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contract_version、chunk_id、task_id、executor、action_space、frame、单位和 N×7 steps。</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steps[].values</w:t>
            </w:r>
          </w:p>
        </w:tc>
        <w:tc>
          <w:tcPr>
            <w:tcW w:type="dxa" w:w="2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float[7]</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[dx_m,dy_m,dz_m,dax_rad,day_rad,daz_rad,gripper_norm]，每步默认 100 ms。</w:t>
            </w:r>
          </w:p>
        </w:tc>
      </w:tr>
    </w:tbl>
    <w:p>
      <w:pPr>
        <w:spacing w:after="40"/>
      </w:pPr>
    </w:p>
    <w:p>
      <w:pPr>
        <w:pStyle w:val="Heading2"/>
        <w:keepNext/>
        <w:spacing w:before="240" w:after="120" w:line="264" w:lineRule="auto"/>
      </w:pPr>
      <w:r>
        <w:rPr>
          <w:rFonts w:ascii="Calibri" w:hAnsi="Calibri" w:eastAsia="Microsoft YaHei"/>
          <w:b/>
          <w:i w:val="0"/>
          <w:color w:val="1F4E79"/>
          <w:sz w:val="26"/>
        </w:rPr>
        <w:t>3.4 取消与错误</w:t>
      </w:r>
    </w:p>
    <w:tbl>
      <w:tblPr>
        <w:tblStyle w:val="TableGrid"/>
        <w:tblW w:type="dxa" w:w="9360"/>
        <w:jc w:val="left"/>
        <w:tblLayout w:type="fixed"/>
        <w:tblLook w:firstColumn="1" w:firstRow="1" w:lastColumn="0" w:lastRow="0" w:noHBand="0" w:noVBand="1" w:val="04A0"/>
        <w:tblInd w:w="120" w:type="dxa"/>
      </w:tblPr>
      <w:tblGrid>
        <w:gridCol w:w="2600"/>
        <w:gridCol w:w="1200"/>
        <w:gridCol w:w="5560"/>
      </w:tblGrid>
      <w:tr>
        <w:trPr>
          <w:tblHeader w:val="true"/>
          <w:cantSplit/>
        </w:trPr>
        <w:tc>
          <w:tcPr>
            <w:tcW w:type="dxa" w:w="26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接口/状态</w:t>
            </w:r>
          </w:p>
        </w:tc>
        <w:tc>
          <w:tcPr>
            <w:tcW w:type="dxa" w:w="12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HTTP</w:t>
            </w:r>
          </w:p>
        </w:tc>
        <w:tc>
          <w:tcPr>
            <w:tcW w:type="dxa" w:w="55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7"/>
              </w:rPr>
              <w:t>含义</w:t>
            </w:r>
          </w:p>
        </w:tc>
      </w:tr>
      <w:tr>
        <w:trPr>
          <w:cantSplit/>
        </w:trPr>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/v1/cancel 成功</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200</w:t>
            </w:r>
          </w:p>
        </w:tc>
        <w:tc>
          <w:tcPr>
            <w:tcW w:type="dxa" w:w="5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status=cancelled/not_found/already_completed；返回 cancelled_request_ids 和 server_context_cleared。</w:t>
            </w:r>
          </w:p>
        </w:tc>
      </w:tr>
      <w:tr>
        <w:trPr>
          <w:cantSplit/>
        </w:trPr>
        <w:tc>
          <w:tcPr>
            <w:tcW w:type="dxa" w:w="2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请求不合法</w:t>
            </w:r>
          </w:p>
        </w:tc>
        <w:tc>
          <w:tcPr>
            <w:tcW w:type="dxa" w:w="12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422 或 400</w:t>
            </w:r>
          </w:p>
        </w:tc>
        <w:tc>
          <w:tcPr>
            <w:tcW w:type="dxa" w:w="55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合同字段缺失/未知、版本不兼容、SHA 不匹配或 action contract 不一致。</w:t>
            </w:r>
          </w:p>
        </w:tc>
      </w:tr>
      <w:tr>
        <w:trPr>
          <w:cantSplit/>
        </w:trPr>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服务不可用</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503</w:t>
            </w:r>
          </w:p>
        </w:tc>
        <w:tc>
          <w:tcPr>
            <w:tcW w:type="dxa" w:w="5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模型未 ready、YOLO quarantine、CAS 不可用等。</w:t>
            </w:r>
          </w:p>
        </w:tc>
      </w:tr>
      <w:tr>
        <w:trPr>
          <w:cantSplit/>
        </w:trPr>
        <w:tc>
          <w:tcPr>
            <w:tcW w:type="dxa" w:w="2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超时</w:t>
            </w:r>
          </w:p>
        </w:tc>
        <w:tc>
          <w:tcPr>
            <w:tcW w:type="dxa" w:w="12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504</w:t>
            </w:r>
          </w:p>
        </w:tc>
        <w:tc>
          <w:tcPr>
            <w:tcW w:type="dxa" w:w="55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推理或检测超过 deadline_ms。</w:t>
            </w:r>
          </w:p>
        </w:tc>
      </w:tr>
      <w:tr>
        <w:trPr>
          <w:cantSplit/>
        </w:trPr>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忙/背压</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429</w:t>
            </w:r>
          </w:p>
        </w:tc>
        <w:tc>
          <w:tcPr>
            <w:tcW w:type="dxa" w:w="55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超过 max_concurrent_requests 或 deadline 超过服务 max_deadline_ms。</w:t>
            </w:r>
          </w:p>
        </w:tc>
      </w:tr>
      <w:tr>
        <w:trPr>
          <w:cantSplit/>
        </w:trPr>
        <w:tc>
          <w:tcPr>
            <w:tcW w:type="dxa" w:w="26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7"/>
              </w:rPr>
              <w:t>取消/安全拒绝</w:t>
            </w:r>
          </w:p>
        </w:tc>
        <w:tc>
          <w:tcPr>
            <w:tcW w:type="dxa" w:w="12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409</w:t>
            </w:r>
          </w:p>
        </w:tc>
        <w:tc>
          <w:tcPr>
            <w:tcW w:type="dxa" w:w="55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7"/>
              </w:rPr>
              <w:t>取消、SAFE_* 动作拒绝或不允许的阶段调用。</w:t>
            </w:r>
          </w:p>
        </w:tc>
      </w:tr>
    </w:tbl>
    <w:p>
      <w:pPr>
        <w:spacing w:after="40"/>
      </w:pPr>
    </w:p>
    <w:p>
      <w:pPr>
        <w:pStyle w:val="Heading1"/>
        <w:keepNext/>
        <w:spacing w:before="360" w:after="180" w:line="264" w:lineRule="auto"/>
      </w:pPr>
      <w:r>
        <w:rPr>
          <w:rFonts w:ascii="Calibri" w:hAnsi="Calibri" w:eastAsia="Microsoft YaHei"/>
          <w:b/>
          <w:i w:val="0"/>
          <w:color w:val="1F4E79"/>
          <w:sz w:val="32"/>
        </w:rPr>
        <w:t>4. 配置参数总表</w:t>
      </w:r>
    </w:p>
    <w:p>
      <w:pPr>
        <w:spacing w:before="0" w:after="120" w:line="300" w:lineRule="auto"/>
      </w:pPr>
      <w:r>
        <w:rPr>
          <w:rFonts w:ascii="Calibri" w:hAnsi="Calibri" w:eastAsia="Microsoft YaHei"/>
          <w:b w:val="0"/>
          <w:i w:val="0"/>
          <w:color w:val="1F2937"/>
          <w:sz w:val="21"/>
        </w:rPr>
        <w:t>以下参数按仓库中的默认配置和代码读取点整理。部署前最重要的动作是替换所有 REPLACE_WITH_PINNED_SHA/零 SHA 占位符，并确认服务 URL、CAS 根目录和设备模式。</w:t>
      </w:r>
    </w:p>
    <w:tbl>
      <w:tblPr>
        <w:tblStyle w:val="TableGrid"/>
        <w:tblW w:type="dxa" w:w="9360"/>
        <w:jc w:val="left"/>
        <w:tblLayout w:type="fixed"/>
        <w:tblLook w:firstColumn="1" w:firstRow="1" w:lastColumn="0" w:lastRow="0" w:noHBand="0" w:noVBand="1" w:val="04A0"/>
        <w:tblInd w:w="120" w:type="dxa"/>
      </w:tblPr>
      <w:tblGrid>
        <w:gridCol w:w="2700"/>
        <w:gridCol w:w="900"/>
        <w:gridCol w:w="2500"/>
        <w:gridCol w:w="3260"/>
      </w:tblGrid>
      <w:tr>
        <w:trPr>
          <w:tblHeader w:val="true"/>
          <w:cantSplit/>
        </w:trPr>
        <w:tc>
          <w:tcPr>
            <w:tcW w:type="dxa" w:w="27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参数路径</w:t>
            </w:r>
          </w:p>
        </w:tc>
        <w:tc>
          <w:tcPr>
            <w:tcW w:type="dxa" w:w="9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类型</w:t>
            </w:r>
          </w:p>
        </w:tc>
        <w:tc>
          <w:tcPr>
            <w:tcW w:type="dxa" w:w="25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默认/当前值</w:t>
            </w:r>
          </w:p>
        </w:tc>
        <w:tc>
          <w:tcPr>
            <w:tcW w:type="dxa" w:w="32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作用</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config_version</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1.3</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Supervisor 配置合同版本。</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verification_frames</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3</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交接验证采样帧数。</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executor_timeout_ms</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15000</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VLA 单次执行 deadline。</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image_cas.root</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artifacts/cas</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共享图像 CAS 根目录。</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image_cas.layout</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sha256-v1</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CAS 目录布局版本。</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image_cas.encoding</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图像编码。</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image_cas.digest_scope</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encoded_bytes</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摘要覆盖编码后字节。</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image_cas.max_blob_bytes</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16777216</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单图最大字节数。</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image_cas.max_pixels</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4194304</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单图最大像素数。</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image_cas.cache_max_bytes</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67108864</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CAS 缓存最大字节数。</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image_cas.missing_retry_count</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缺失图像重试次数。</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image_cas.missing_retry_delay_ms</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25</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缺失图像重试间隔。</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lifecycle.mode</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FIXED_DUAL_VLA_SERIAL</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固定双 VLA 串行模式。</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lifecycle.supervisor_nlp</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布尔</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False</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是否启用 Supervisor NLP；冻结为 false。</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lifecycle.token_sequence</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["A_ONLY", "HANDOFF_VERIFY", "B_ONLY", "NONE"]</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阶段令牌序列。</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lifecycle.task_profile.profile_id</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single_bin_pack_handoff_v1</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lifecycle.task_profile.primary_executor</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pi05</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lifecycle.task_profile.collaborative_executor</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openvla_oft</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lifecycle.task_profile.arm_a_id</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Arm_A</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lifecycle.task_profile.arm_b_id</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Arm_B</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lifecycle.task_profile.bin_id</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Bin_01</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lifecycle.task_profile.handoff_zone</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HANDOFF_CENTER</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lifecycle.task_profile.finished_zone</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FINISHED_01</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lifecycle.task_profile.expected_part_count</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4</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lifecycle.task_profile.handoff_verification_frames</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3</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lifecycle.task_profile.handoff_required_votes</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2</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lifecycle.task_profile.stable_bin_speed_m_s</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数值</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0.02</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lifecycle.task_profile.arm_a_instruction</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将工作区中的四个红色零件依次装入料箱；倒放零件先调整为正向。装箱完成后，将料箱放到中央交接位并返回 HOME_A。失败时重新观察后继续。…</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lifecycle.task_profile.arm_b_instruction</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收到 handoff_ready 后，观察中央交接位，抓稳 Bin_01 并保持水平，将其搬到 FINISHED_01，松开夹爪并返回 HOME_B。…</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recovery.max_replans_per_phase</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单阶段最大重规划次数。</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recovery.max_switches_per_run</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运行中最大 VLA 切换次数；冻结为 0。</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recovery.clear_action_queue_on_recovery</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布尔</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True</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恢复时清空动作队列。</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recovery.max_decisions_per_strategy_attempt</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32</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一次策略尝试最大决策数。</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safety.action_contract_version</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1.0</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动作合同版本。</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safety.axis_abs_limits</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[0.05, 0.05, 0.05, 0.25, 0.25, 0.25, 1.0]</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7D 动作轴绝对限幅。</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safety.workspace_by_arm.Arm_A.frame</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robot_base</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safety.workspace_by_arm.Arm_A.min_m</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[0.0, -0.6, 0.0]</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safety.workspace_by_arm.Arm_A.max_m</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[0.7, 0.45, 1.0]</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safety.workspace_by_arm.Arm_B.frame</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robot_base</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safety.workspace_by_arm.Arm_B.min_m</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[0.0, -0.25, 0.0]</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safety.workspace_by_arm.Arm_B.max_m</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[0.7, 0.6, 1.0]</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冻结任务画像或运行参数；以配置文件实际值为准。</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safety.max_chunk_steps</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32</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动作块最大步数。</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safety.safe_stop_timeout_ms</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2000</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安全停机 deadline。</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telemetry.event_jsonl_path</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artifacts/events/agent-events.jsonl</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结构化事件 JSONL 输出。</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telemetry.require_durable_handoff</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布尔</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True</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是否要求交接事件持久化。</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perception.required</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布尔</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True</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是否必须组装 YOLO 适配器；不等于检测成功阻断 VLA。</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perception.mode</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SHADOW_SCORE</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运行模式。</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perception.base_url</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http://127.0.0.1:8103</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服务地址。</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perception.evidence_jsonl_path</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artifacts/detection/yolo-evidence.jsonl</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证据输出。</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perception.detection_contract_version</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1.0</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检测合同版本。</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perception.checkpoint_sha</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REPLACE_WITH_PINNED_SHA</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权重 SHA。</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perception.class_map_sha</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REPLACE_WITH_PINNED_SHA</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类图 SHA。</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perception.config_sha</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REPLACE_WITH_PINNED_SHA</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配置 SHA。</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perception.timeout_ms</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5000</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检测 deadline。</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perception.max_attempts</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整数</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1</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单帧最大尝试次数。</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perception.confidence_threshold</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数值</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0.25</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置信度阈值。</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perception.iou_threshold</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数值</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0.45</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NMS IoU 阈值。</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executors.openvla_oft.enabled</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布尔</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True</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是否启用 OpenVLA-OFT。</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executors.openvla_oft.base_url</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http://127.0.0.1:8102</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OpenVLA-OFT 服务地址。</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executors.openvla_oft.checkpoint_sha</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REPLACE_WITH_PINNED_SHA</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 权重 SHA。</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executors.openvla_oft.norm_stats_sha</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REPLACE_WITH_PINNED_SHA</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 归一化统计 SHA。</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executors.pi05.enabled</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布尔</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True</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是否启用 π0.5。</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executors.pi05.base_url</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http://127.0.0.1:8101</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服务地址。</w:t>
            </w:r>
          </w:p>
        </w:tc>
      </w:tr>
      <w:tr>
        <w:trPr>
          <w:cantSplit/>
        </w:trPr>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executors.pi05.checkpoint_sha</w:t>
            </w:r>
          </w:p>
        </w:tc>
        <w:tc>
          <w:tcPr>
            <w:tcW w:type="dxa" w:w="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REPLACE_WITH_PINNED_SHA</w:t>
            </w:r>
          </w:p>
        </w:tc>
        <w:tc>
          <w:tcPr>
            <w:tcW w:type="dxa" w:w="3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权重 SHA。</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executors.pi05.norm_stats_sha</w:t>
            </w:r>
          </w:p>
        </w:tc>
        <w:tc>
          <w:tcPr>
            <w:tcW w:type="dxa" w:w="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字符串</w:t>
            </w:r>
          </w:p>
        </w:tc>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REPLACE_WITH_PINNED_SHA</w:t>
            </w:r>
          </w:p>
        </w:tc>
        <w:tc>
          <w:tcPr>
            <w:tcW w:type="dxa" w:w="3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归一化统计 SHA。</w:t>
            </w:r>
          </w:p>
        </w:tc>
      </w:tr>
    </w:tbl>
    <w:p>
      <w:pPr>
        <w:spacing w:after="40"/>
      </w:pPr>
    </w:p>
    <w:p>
      <w:pPr>
        <w:pStyle w:val="Heading2"/>
        <w:keepNext/>
        <w:spacing w:before="240" w:after="120" w:line="264" w:lineRule="auto"/>
      </w:pPr>
      <w:r>
        <w:rPr>
          <w:rFonts w:ascii="Calibri" w:hAnsi="Calibri" w:eastAsia="Microsoft YaHei"/>
          <w:b/>
          <w:i w:val="0"/>
          <w:color w:val="1F4E79"/>
          <w:sz w:val="26"/>
        </w:rPr>
        <w:t>4.1 服务专属配置</w:t>
      </w:r>
    </w:p>
    <w:tbl>
      <w:tblPr>
        <w:tblStyle w:val="TableGrid"/>
        <w:tblW w:type="dxa" w:w="9360"/>
        <w:jc w:val="left"/>
        <w:tblLayout w:type="fixed"/>
        <w:tblLook w:firstColumn="1" w:firstRow="1" w:lastColumn="0" w:lastRow="0" w:noHBand="0" w:noVBand="1" w:val="04A0"/>
        <w:tblInd w:w="120" w:type="dxa"/>
      </w:tblPr>
      <w:tblGrid>
        <w:gridCol w:w="3150"/>
        <w:gridCol w:w="4050"/>
        <w:gridCol w:w="2160"/>
      </w:tblGrid>
      <w:tr>
        <w:trPr>
          <w:tblHeader w:val="true"/>
          <w:cantSplit/>
        </w:trPr>
        <w:tc>
          <w:tcPr>
            <w:tcW w:type="dxa" w:w="315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配置文件</w:t>
            </w:r>
          </w:p>
        </w:tc>
        <w:tc>
          <w:tcPr>
            <w:tcW w:type="dxa" w:w="405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关键参数</w:t>
            </w:r>
          </w:p>
        </w:tc>
        <w:tc>
          <w:tcPr>
            <w:tcW w:type="dxa" w:w="21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用途</w:t>
            </w:r>
          </w:p>
        </w:tc>
      </w:tr>
      <w:tr>
        <w:trPr>
          <w:cantSplit/>
        </w:trPr>
        <w:tc>
          <w:tcPr>
            <w:tcW w:type="dxa" w:w="31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services/yolo/src/yolo_service/resources/yolo.default.json</w:t>
            </w:r>
          </w:p>
        </w:tc>
        <w:tc>
          <w:tcPr>
            <w:tcW w:type="dxa" w:w="4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host, port, mock_mode, api.default_deadline_ms, api.max_deadline_ms, api.max_concurrent_requests, model.device, confidence_threshold, iou_threshold, image_cas.*</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 默认服务、模型和 CAS 限制。</w:t>
            </w:r>
          </w:p>
        </w:tc>
      </w:tr>
      <w:tr>
        <w:trPr>
          <w:cantSplit/>
        </w:trPr>
        <w:tc>
          <w:tcPr>
            <w:tcW w:type="dxa" w:w="31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services/yolo/.env.example</w:t>
            </w:r>
          </w:p>
        </w:tc>
        <w:tc>
          <w:tcPr>
            <w:tcW w:type="dxa" w:w="40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YOLO_MODEL_FILE</w:t>
            </w:r>
          </w:p>
        </w:tc>
        <w:tc>
          <w:tcPr>
            <w:tcW w:type="dxa" w:w="21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real 模式权重路径；权重不入仓库。</w:t>
            </w:r>
          </w:p>
        </w:tc>
      </w:tr>
      <w:tr>
        <w:trPr>
          <w:cantSplit/>
        </w:trPr>
        <w:tc>
          <w:tcPr>
            <w:tcW w:type="dxa" w:w="31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services/openvla_oft/configs/openvla.default.json</w:t>
            </w:r>
          </w:p>
        </w:tc>
        <w:tc>
          <w:tcPr>
            <w:tcW w:type="dxa" w:w="4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upstream_dir, checkpoint_dir, upstream.commit_sha, artifacts.*, model.*, runtime.*, fine_tuning.*</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OpenVLA-OFT 上游、模型输入/动作维度、推理和微调参数。</w:t>
            </w:r>
          </w:p>
        </w:tc>
      </w:tr>
      <w:tr>
        <w:trPr>
          <w:cantSplit/>
        </w:trPr>
        <w:tc>
          <w:tcPr>
            <w:tcW w:type="dxa" w:w="31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services/openvla_oft/configs/agent.default.json</w:t>
            </w:r>
          </w:p>
        </w:tc>
        <w:tc>
          <w:tcPr>
            <w:tcW w:type="dxa" w:w="40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arm_id=Arm_B, required_subtask_id=S02_ARM_B_TRANSPORT, camera_order=CAM_B_TOP, action_conversion.*, api.*</w:t>
            </w:r>
          </w:p>
        </w:tc>
        <w:tc>
          <w:tcPr>
            <w:tcW w:type="dxa" w:w="21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OpenVLA-OFT 服务身份和接口行为。</w:t>
            </w:r>
          </w:p>
        </w:tc>
      </w:tr>
      <w:tr>
        <w:trPr>
          <w:cantSplit/>
        </w:trPr>
        <w:tc>
          <w:tcPr>
            <w:tcW w:type="dxa" w:w="31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services/openvla_oft/configs/action_contract.template.json</w:t>
            </w:r>
          </w:p>
        </w:tc>
        <w:tc>
          <w:tcPr>
            <w:tcW w:type="dxa" w:w="40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frame, units, rotation_representation, action_order, proprio_order</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统一动作/状态顺序和单位模板。</w:t>
            </w:r>
          </w:p>
        </w:tc>
      </w:tr>
    </w:tbl>
    <w:p>
      <w:pPr>
        <w:spacing w:after="40"/>
      </w:pPr>
    </w:p>
    <w:p>
      <w:pPr>
        <w:pStyle w:val="Heading2"/>
        <w:keepNext/>
        <w:spacing w:before="240" w:after="120" w:line="264" w:lineRule="auto"/>
      </w:pPr>
      <w:r>
        <w:rPr>
          <w:rFonts w:ascii="Calibri" w:hAnsi="Calibri" w:eastAsia="Microsoft YaHei"/>
          <w:b/>
          <w:i w:val="0"/>
          <w:color w:val="1F4E79"/>
          <w:sz w:val="26"/>
        </w:rPr>
        <w:t>4.2 环境变量与 CLI 参数</w:t>
      </w:r>
    </w:p>
    <w:tbl>
      <w:tblPr>
        <w:tblStyle w:val="TableGrid"/>
        <w:tblW w:type="dxa" w:w="9360"/>
        <w:jc w:val="left"/>
        <w:tblLayout w:type="fixed"/>
        <w:tblLook w:firstColumn="1" w:firstRow="1" w:lastColumn="0" w:lastRow="0" w:noHBand="0" w:noVBand="1" w:val="04A0"/>
        <w:tblInd w:w="120" w:type="dxa"/>
      </w:tblPr>
      <w:tblGrid>
        <w:gridCol w:w="3100"/>
        <w:gridCol w:w="2950"/>
        <w:gridCol w:w="3310"/>
      </w:tblGrid>
      <w:tr>
        <w:trPr>
          <w:tblHeader w:val="true"/>
          <w:cantSplit/>
        </w:trPr>
        <w:tc>
          <w:tcPr>
            <w:tcW w:type="dxa" w:w="31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参数/命令</w:t>
            </w:r>
          </w:p>
        </w:tc>
        <w:tc>
          <w:tcPr>
            <w:tcW w:type="dxa" w:w="295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代码位置</w:t>
            </w:r>
          </w:p>
        </w:tc>
        <w:tc>
          <w:tcPr>
            <w:tcW w:type="dxa" w:w="331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说明</w:t>
            </w:r>
          </w:p>
        </w:tc>
      </w:tr>
      <w:tr>
        <w:trPr>
          <w:cantSplit/>
        </w:trPr>
        <w:tc>
          <w:tcPr>
            <w:tcW w:type="dxa" w:w="3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PI05_SERVICE_MODE</w:t>
            </w:r>
          </w:p>
        </w:tc>
        <w:tc>
          <w:tcPr>
            <w:tcW w:type="dxa" w:w="29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services/pi05/src/openpi_service.py</w:t>
            </w:r>
          </w:p>
        </w:tc>
        <w:tc>
          <w:tcPr>
            <w:tcW w:type="dxa" w:w="33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必须显式为 dummy 或 real；未设置会启动失败。</w:t>
            </w:r>
          </w:p>
        </w:tc>
      </w:tr>
      <w:tr>
        <w:trPr>
          <w:cantSplit/>
        </w:trPr>
        <w:tc>
          <w:tcPr>
            <w:tcW w:type="dxa" w:w="31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PI05_SERVICE_HOST / PI05_SERVICE_PORT</w:t>
            </w:r>
          </w:p>
        </w:tc>
        <w:tc>
          <w:tcPr>
            <w:tcW w:type="dxa" w:w="29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openpi_service.py</w:t>
            </w:r>
          </w:p>
        </w:tc>
        <w:tc>
          <w:tcPr>
            <w:tcW w:type="dxa" w:w="33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监听地址/端口；默认 0.0.0.0 / 8101。</w:t>
            </w:r>
          </w:p>
        </w:tc>
      </w:tr>
      <w:tr>
        <w:trPr>
          <w:cantSplit/>
        </w:trPr>
        <w:tc>
          <w:tcPr>
            <w:tcW w:type="dxa" w:w="3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PI05_CHECKPOINT_SHA / PI05_NORM_STATS_SHA</w:t>
            </w:r>
          </w:p>
        </w:tc>
        <w:tc>
          <w:tcPr>
            <w:tcW w:type="dxa" w:w="29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openpi_service.py</w:t>
            </w:r>
          </w:p>
        </w:tc>
        <w:tc>
          <w:tcPr>
            <w:tcW w:type="dxa" w:w="33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 运行时 artifact SHA；real 部署必须为完整 sha256。</w:t>
            </w:r>
          </w:p>
        </w:tc>
      </w:tr>
      <w:tr>
        <w:trPr>
          <w:cantSplit/>
        </w:trPr>
        <w:tc>
          <w:tcPr>
            <w:tcW w:type="dxa" w:w="3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PI05_BASE_CHECKPOINT</w:t>
            </w:r>
          </w:p>
        </w:tc>
        <w:tc>
          <w:tcPr>
            <w:tcW w:type="dxa" w:w="29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configs/pi05/train_config.py</w:t>
            </w:r>
          </w:p>
        </w:tc>
        <w:tc>
          <w:tcPr>
            <w:tcW w:type="dxa" w:w="33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训练基础 checkpoint；默认 gs://openpi-assets/checkpoints/pi05_base。</w:t>
            </w:r>
          </w:p>
        </w:tc>
      </w:tr>
      <w:tr>
        <w:trPr>
          <w:cantSplit/>
        </w:trPr>
        <w:tc>
          <w:tcPr>
            <w:tcW w:type="dxa" w:w="3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PI05_OUTPUT_DIR / PI05_LORA_RANK</w:t>
            </w:r>
          </w:p>
        </w:tc>
        <w:tc>
          <w:tcPr>
            <w:tcW w:type="dxa" w:w="29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configs/pi05/train_config.py</w:t>
            </w:r>
          </w:p>
        </w:tc>
        <w:tc>
          <w:tcPr>
            <w:tcW w:type="dxa" w:w="33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训练输出目录 / LoRA rank；默认 ./checkpoints/pi05_industrial / 32。</w:t>
            </w:r>
          </w:p>
        </w:tc>
      </w:tr>
      <w:tr>
        <w:trPr>
          <w:cantSplit/>
        </w:trPr>
        <w:tc>
          <w:tcPr>
            <w:tcW w:type="dxa" w:w="31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PI05_STATE_DIM / PI05_BATCH_SIZE</w:t>
            </w:r>
          </w:p>
        </w:tc>
        <w:tc>
          <w:tcPr>
            <w:tcW w:type="dxa" w:w="29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configs/pi05/train_config.py</w:t>
            </w:r>
          </w:p>
        </w:tc>
        <w:tc>
          <w:tcPr>
            <w:tcW w:type="dxa" w:w="33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状态维度 7 / batch size 16。</w:t>
            </w:r>
          </w:p>
        </w:tc>
      </w:tr>
      <w:tr>
        <w:trPr>
          <w:cantSplit/>
        </w:trPr>
        <w:tc>
          <w:tcPr>
            <w:tcW w:type="dxa" w:w="3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PI05_WARMUP_STEPS / PI05_WEIGHT_DECAY</w:t>
            </w:r>
          </w:p>
        </w:tc>
        <w:tc>
          <w:tcPr>
            <w:tcW w:type="dxa" w:w="29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configs/pi05/train_config.py</w:t>
            </w:r>
          </w:p>
        </w:tc>
        <w:tc>
          <w:tcPr>
            <w:tcW w:type="dxa" w:w="33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warmup 2000 / weight decay 0.01。</w:t>
            </w:r>
          </w:p>
        </w:tc>
      </w:tr>
      <w:tr>
        <w:trPr>
          <w:cantSplit/>
        </w:trPr>
        <w:tc>
          <w:tcPr>
            <w:tcW w:type="dxa" w:w="3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PI05_GRADIENT_ACCUMULATION_STEPS</w:t>
            </w:r>
          </w:p>
        </w:tc>
        <w:tc>
          <w:tcPr>
            <w:tcW w:type="dxa" w:w="29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configs/pi05/train_config.py</w:t>
            </w:r>
          </w:p>
        </w:tc>
        <w:tc>
          <w:tcPr>
            <w:tcW w:type="dxa" w:w="33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梯度累积步数；默认 1。</w:t>
            </w:r>
          </w:p>
        </w:tc>
      </w:tr>
      <w:tr>
        <w:trPr>
          <w:cantSplit/>
        </w:trPr>
        <w:tc>
          <w:tcPr>
            <w:tcW w:type="dxa" w:w="3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PI05_MIXED_PRECISION / PI05_EVAL_INTERVAL</w:t>
            </w:r>
          </w:p>
        </w:tc>
        <w:tc>
          <w:tcPr>
            <w:tcW w:type="dxa" w:w="29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configs/pi05/train_config.py</w:t>
            </w:r>
          </w:p>
        </w:tc>
        <w:tc>
          <w:tcPr>
            <w:tcW w:type="dxa" w:w="33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混合精度 bf16 / 评估间隔 1000。</w:t>
            </w:r>
          </w:p>
        </w:tc>
      </w:tr>
      <w:tr>
        <w:trPr>
          <w:cantSplit/>
        </w:trPr>
        <w:tc>
          <w:tcPr>
            <w:tcW w:type="dxa" w:w="3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INDUSTRIAL_AGENT_CAS_ROOT</w:t>
            </w:r>
          </w:p>
        </w:tc>
        <w:tc>
          <w:tcPr>
            <w:tcW w:type="dxa" w:w="29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services/yolo/config.py; openvla config.py</w:t>
            </w:r>
          </w:p>
        </w:tc>
        <w:tc>
          <w:tcPr>
            <w:tcW w:type="dxa" w:w="33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覆盖服务使用的共享 CAS 根目录。</w:t>
            </w:r>
          </w:p>
        </w:tc>
      </w:tr>
      <w:tr>
        <w:trPr>
          <w:cantSplit/>
        </w:trPr>
        <w:tc>
          <w:tcPr>
            <w:tcW w:type="dxa" w:w="31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YOLO_DEVICE / YOLO_CHECKPOINT_PATH / YOLO_CHECKPOINT_SHA</w:t>
            </w:r>
          </w:p>
        </w:tc>
        <w:tc>
          <w:tcPr>
            <w:tcW w:type="dxa" w:w="29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services/yolo/config.py</w:t>
            </w:r>
          </w:p>
        </w:tc>
        <w:tc>
          <w:tcPr>
            <w:tcW w:type="dxa" w:w="33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 设备、权重路径和权重摘要。</w:t>
            </w:r>
          </w:p>
        </w:tc>
      </w:tr>
      <w:tr>
        <w:trPr>
          <w:cantSplit/>
        </w:trPr>
        <w:tc>
          <w:tcPr>
            <w:tcW w:type="dxa" w:w="3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python -m services.pi05.src.openpi_service</w:t>
            </w:r>
          </w:p>
        </w:tc>
        <w:tc>
          <w:tcPr>
            <w:tcW w:type="dxa" w:w="29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services/pi05/src/openpi_service.py</w:t>
            </w:r>
          </w:p>
        </w:tc>
        <w:tc>
          <w:tcPr>
            <w:tcW w:type="dxa" w:w="33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启动 π0.5 FastAPI 服务；还可用 uvicorn 模式。</w:t>
            </w:r>
          </w:p>
        </w:tc>
      </w:tr>
      <w:tr>
        <w:trPr>
          <w:cantSplit/>
        </w:trPr>
        <w:tc>
          <w:tcPr>
            <w:tcW w:type="dxa" w:w="3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python -m yolo_service.app --host --port --print-identity</w:t>
            </w:r>
          </w:p>
        </w:tc>
        <w:tc>
          <w:tcPr>
            <w:tcW w:type="dxa" w:w="295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services/yolo/src/yolo_service/app.py</w:t>
            </w:r>
          </w:p>
        </w:tc>
        <w:tc>
          <w:tcPr>
            <w:tcW w:type="dxa" w:w="33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启动 YOLO；--print-identity 只打印部署摘要后退出。</w:t>
            </w:r>
          </w:p>
        </w:tc>
      </w:tr>
      <w:tr>
        <w:trPr>
          <w:cantSplit/>
        </w:trPr>
        <w:tc>
          <w:tcPr>
            <w:tcW w:type="dxa" w:w="3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python -m openvla_oft.app --host --port</w:t>
            </w:r>
          </w:p>
        </w:tc>
        <w:tc>
          <w:tcPr>
            <w:tcW w:type="dxa" w:w="295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services/openvla_oft/src/openvla_oft/app.py</w:t>
            </w:r>
          </w:p>
        </w:tc>
        <w:tc>
          <w:tcPr>
            <w:tcW w:type="dxa" w:w="33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启动 OpenVLA-OFT；默认 127.0.0.1:8102。</w:t>
            </w:r>
          </w:p>
        </w:tc>
      </w:tr>
    </w:tbl>
    <w:p>
      <w:pPr>
        <w:spacing w:after="40"/>
      </w:pPr>
    </w:p>
    <w:p>
      <w:pPr>
        <w:pStyle w:val="Heading1"/>
        <w:keepNext/>
        <w:spacing w:before="360" w:after="180" w:line="264" w:lineRule="auto"/>
      </w:pPr>
      <w:r>
        <w:rPr>
          <w:rFonts w:ascii="Calibri" w:hAnsi="Calibri" w:eastAsia="Microsoft YaHei"/>
          <w:b/>
          <w:i w:val="0"/>
          <w:color w:val="1F4E79"/>
          <w:sz w:val="32"/>
        </w:rPr>
        <w:t>5. Schema 与数据合同</w:t>
      </w:r>
    </w:p>
    <w:tbl>
      <w:tblPr>
        <w:tblStyle w:val="TableGrid"/>
        <w:tblW w:type="dxa" w:w="9360"/>
        <w:jc w:val="left"/>
        <w:tblLayout w:type="fixed"/>
        <w:tblLook w:firstColumn="1" w:firstRow="1" w:lastColumn="0" w:lastRow="0" w:noHBand="0" w:noVBand="1" w:val="04A0"/>
        <w:tblInd w:w="120" w:type="dxa"/>
      </w:tblPr>
      <w:tblGrid>
        <w:gridCol w:w="2800"/>
        <w:gridCol w:w="2100"/>
        <w:gridCol w:w="1100"/>
        <w:gridCol w:w="3360"/>
      </w:tblGrid>
      <w:tr>
        <w:trPr>
          <w:tblHeader w:val="true"/>
          <w:cantSplit/>
        </w:trPr>
        <w:tc>
          <w:tcPr>
            <w:tcW w:type="dxa" w:w="28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Schema</w:t>
            </w:r>
          </w:p>
        </w:tc>
        <w:tc>
          <w:tcPr>
            <w:tcW w:type="dxa" w:w="21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对象</w:t>
            </w:r>
          </w:p>
        </w:tc>
        <w:tc>
          <w:tcPr>
            <w:tcW w:type="dxa" w:w="11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责任</w:t>
            </w:r>
          </w:p>
        </w:tc>
        <w:tc>
          <w:tcPr>
            <w:tcW w:type="dxa" w:w="33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具体用途</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agent-config.schema.json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Supervisor 总配置</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executors、perception、lifecycle、安全、CAS。</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task.schema.json</w:t>
            </w:r>
          </w:p>
        </w:tc>
        <w:tc>
          <w:tcPr>
            <w:tcW w:type="dxa" w:w="2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任务输入</w:t>
            </w:r>
          </w:p>
        </w:tc>
        <w:tc>
          <w:tcPr>
            <w:tcW w:type="dxa" w:w="1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task_id、instruction、task_type、目标、约束、postconditions。</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task-plan.schema.json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TaskPlan</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子任务顺序、executor 绑定、阶段计划。</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online-observation.schema.json</w:t>
            </w:r>
          </w:p>
        </w:tc>
        <w:tc>
          <w:tcPr>
            <w:tcW w:type="dxa" w:w="2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在线观测</w:t>
            </w:r>
          </w:p>
        </w:tc>
        <w:tc>
          <w:tcPr>
            <w:tcW w:type="dxa" w:w="1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B/C/F</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图像引用、双臂状态；禁止 GT。</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perception-health.schema.json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 健康</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A/F</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服务身份、状态和三类部署 SHA。</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perception-detect.schema.json</w:t>
            </w:r>
          </w:p>
        </w:tc>
        <w:tc>
          <w:tcPr>
            <w:tcW w:type="dxa" w:w="2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 detect</w:t>
            </w:r>
          </w:p>
        </w:tc>
        <w:tc>
          <w:tcPr>
            <w:tcW w:type="dxa" w:w="1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A/F</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请求/响应 envelope、图像、阈值、检测包。</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detection-packet.schema.json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检测结果</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A/F/离线评测</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bbox、类别、置信度、同帧关联、时延。</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perception-cancel.schema.json</w:t>
            </w:r>
          </w:p>
        </w:tc>
        <w:tc>
          <w:tcPr>
            <w:tcW w:type="dxa" w:w="2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 cancel</w:t>
            </w:r>
          </w:p>
        </w:tc>
        <w:tc>
          <w:tcPr>
            <w:tcW w:type="dxa" w:w="1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A/F</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取消请求和服务端清理结果。</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executor-health.schema.json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VLA 健康</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D/E</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VLA 服务身份、模型摘要、能力和设备。</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executor-infer.schema.json</w:t>
            </w:r>
          </w:p>
        </w:tc>
        <w:tc>
          <w:tcPr>
            <w:tcW w:type="dxa" w:w="2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VLA infer</w:t>
            </w:r>
          </w:p>
        </w:tc>
        <w:tc>
          <w:tcPr>
            <w:tcW w:type="dxa" w:w="1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A/D/E</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推理请求/响应 envelope、model_input、action_chunk。</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executor-cancel.schema.json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VLA cancel</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A/D/E</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取消请求和服务端清理结果。</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action-chunk.schema.json</w:t>
            </w:r>
          </w:p>
        </w:tc>
        <w:tc>
          <w:tcPr>
            <w:tcW w:type="dxa" w:w="2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统一动作块</w:t>
            </w:r>
          </w:p>
        </w:tc>
        <w:tc>
          <w:tcPr>
            <w:tcW w:type="dxa" w:w="1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A/B/D/E</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N×7 动作、frame、单位、时长。</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canonical-episode.schema.json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离线 HDF5 Episode</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B/C/D/E/F</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三路 RGB、双臂状态、动作、padding mask、provenance。</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verify.schema.json</w:t>
            </w:r>
          </w:p>
        </w:tc>
        <w:tc>
          <w:tcPr>
            <w:tcW w:type="dxa" w:w="2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后置条件验证</w:t>
            </w:r>
          </w:p>
        </w:tc>
        <w:tc>
          <w:tcPr>
            <w:tcW w:type="dxa" w:w="11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A/F</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PASS/FAIL/UNCERTAIN 和多帧投票。</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event.schema.json</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结构化事件</w:t>
            </w:r>
          </w:p>
        </w:tc>
        <w:tc>
          <w:tcPr>
            <w:tcW w:type="dxa" w:w="11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A/F</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生命周期、动作、交接、失败和证据事件。</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vAlign w:val="center"/>
          </w:tcPr>
          <w:p>
            <w:pPr>
              <w:spacing w:before="0" w:after="0" w:line="276" w:lineRule="auto"/>
            </w:pPr>
            <w:r>
              <w:rPr>
                <w:rFonts w:ascii="Calibri" w:hAnsi="Calibri" w:eastAsia="Microsoft YaHei"/>
                <w:b/>
                <w:i w:val="0"/>
                <w:color w:val="1F4E79"/>
                <w:sz w:val="21"/>
              </w:rPr>
              <w:t xml:space="preserve">字段规则  </w:t>
            </w:r>
            <w:r>
              <w:rPr>
                <w:rFonts w:ascii="Calibri" w:hAnsi="Calibri" w:eastAsia="Microsoft YaHei"/>
                <w:b w:val="0"/>
                <w:i w:val="0"/>
                <w:color w:val="1F2937"/>
                <w:sz w:val="21"/>
              </w:rPr>
              <w:t>所有 checkpoint_sha、norm_stats_sha、YOLO 的 checkpoint_sha/class_map_sha/config_sha 和 image_sha256 都要求完整 SHA-256 形态；Schema 变更必须同步接口文档、服务实现和契约测试。</w:t>
            </w:r>
          </w:p>
        </w:tc>
      </w:tr>
    </w:tbl>
    <w:p>
      <w:pPr>
        <w:spacing w:after="40"/>
      </w:pPr>
    </w:p>
    <w:p>
      <w:pPr>
        <w:pStyle w:val="Heading1"/>
        <w:keepNext/>
        <w:spacing w:before="360" w:after="180" w:line="264" w:lineRule="auto"/>
      </w:pPr>
      <w:r>
        <w:rPr>
          <w:rFonts w:ascii="Calibri" w:hAnsi="Calibri" w:eastAsia="Microsoft YaHei"/>
          <w:b/>
          <w:i w:val="0"/>
          <w:color w:val="1F4E79"/>
          <w:sz w:val="32"/>
        </w:rPr>
        <w:t>6. 核心运行链路与调用顺序</w:t>
      </w:r>
    </w:p>
    <w:p>
      <w:pPr>
        <w:pStyle w:val="ListNumber"/>
        <w:spacing w:before="0" w:after="80" w:line="276" w:lineRule="auto"/>
        <w:ind w:left="540" w:hanging="271"/>
      </w:pPr>
      <w:r>
        <w:rPr>
          <w:rFonts w:ascii="Calibri" w:hAnsi="Calibri" w:eastAsia="Microsoft YaHei"/>
          <w:b w:val="0"/>
          <w:i w:val="0"/>
          <w:color w:val="1F2937"/>
          <w:sz w:val="21"/>
        </w:rPr>
        <w:t>加载 configs/agent.default.json，校验 lifecycle、执行器名称/职责、动作合同和 artifact SHA。</w:t>
      </w:r>
    </w:p>
    <w:p>
      <w:pPr>
        <w:pStyle w:val="ListNumber"/>
        <w:spacing w:before="0" w:after="80" w:line="276" w:lineRule="auto"/>
        <w:ind w:left="540" w:hanging="271"/>
      </w:pPr>
      <w:r>
        <w:rPr>
          <w:rFonts w:ascii="Calibri" w:hAnsi="Calibri" w:eastAsia="Microsoft YaHei"/>
          <w:b w:val="0"/>
          <w:i w:val="0"/>
          <w:color w:val="1F2937"/>
          <w:sz w:val="21"/>
        </w:rPr>
        <w:t>通过 build_executors_from_config(...) 创建两个独立 VLA 进程适配器，通过 build_perception_from_config(...) 创建 YOLO 适配器。</w:t>
      </w:r>
    </w:p>
    <w:p>
      <w:pPr>
        <w:pStyle w:val="ListNumber"/>
        <w:spacing w:before="0" w:after="80" w:line="276" w:lineRule="auto"/>
        <w:ind w:left="540" w:hanging="271"/>
      </w:pPr>
      <w:r>
        <w:rPr>
          <w:rFonts w:ascii="Calibri" w:hAnsi="Calibri" w:eastAsia="Microsoft YaHei"/>
          <w:b w:val="0"/>
          <w:i w:val="0"/>
          <w:color w:val="1F2937"/>
          <w:sz w:val="21"/>
        </w:rPr>
        <w:t>Supervisor 以 A_ONLY 令牌调用 π0.5；输入为 Arm_A 指令、CAM_A_TOP 图像引用和 Arm_A 7D 状态。</w:t>
      </w:r>
    </w:p>
    <w:p>
      <w:pPr>
        <w:pStyle w:val="ListNumber"/>
        <w:spacing w:before="0" w:after="80" w:line="276" w:lineRule="auto"/>
        <w:ind w:left="540" w:hanging="271"/>
      </w:pPr>
      <w:r>
        <w:t>V1 自动闭环中，π0.5 完成四工件装箱并回到交接位；Supervisor 采集新鲜观测，最多 3 帧、至少 2 票验证 handoff_ready。该流程不等同于 V2 人工采集场景已完成自动抓取或双臂交接。</w:t>
      </w:r>
    </w:p>
    <w:p>
      <w:pPr>
        <w:pStyle w:val="ListNumber"/>
        <w:spacing w:before="0" w:after="80" w:line="276" w:lineRule="auto"/>
        <w:ind w:left="540" w:hanging="271"/>
      </w:pPr>
      <w:r>
        <w:rPr>
          <w:rFonts w:ascii="Calibri" w:hAnsi="Calibri" w:eastAsia="Microsoft YaHei"/>
          <w:b w:val="0"/>
          <w:i w:val="0"/>
          <w:color w:val="1F2937"/>
          <w:sz w:val="21"/>
        </w:rPr>
        <w:t>验证成功后令牌切换为 B_ONLY，调用 OpenVLA-OFT；OpenVLA-OFT 只接受 S02_ARM_B_TRANSPORT。</w:t>
      </w:r>
    </w:p>
    <w:p>
      <w:pPr>
        <w:pStyle w:val="ListNumber"/>
        <w:spacing w:before="0" w:after="80" w:line="276" w:lineRule="auto"/>
        <w:ind w:left="540" w:hanging="271"/>
      </w:pPr>
      <w:r>
        <w:rPr>
          <w:rFonts w:ascii="Calibri" w:hAnsi="Calibri" w:eastAsia="Microsoft YaHei"/>
          <w:b w:val="0"/>
          <w:i w:val="0"/>
          <w:color w:val="1F2937"/>
          <w:sz w:val="21"/>
        </w:rPr>
        <w:t>每个新鲜帧可同步调用 YOLO 形成 DetectionPacket/证据 JSONL；YOLO 失败、空检测或超时不应改写 VLA 阶段。</w:t>
      </w:r>
    </w:p>
    <w:p>
      <w:pPr>
        <w:pStyle w:val="ListNumber"/>
        <w:spacing w:before="0" w:after="80" w:line="276" w:lineRule="auto"/>
        <w:ind w:left="540" w:hanging="271"/>
      </w:pPr>
      <w:r>
        <w:rPr>
          <w:rFonts w:ascii="Calibri" w:hAnsi="Calibri" w:eastAsia="Microsoft YaHei"/>
          <w:b w:val="0"/>
          <w:i w:val="0"/>
          <w:color w:val="1F2937"/>
          <w:sz w:val="21"/>
        </w:rPr>
        <w:t>动作输出先经过 safety.py 的有限值、轴限幅、工作空间和最大 chunk 检查，再交给 Isaac/执行器。</w:t>
      </w:r>
    </w:p>
    <w:p>
      <w:pPr>
        <w:pStyle w:val="ListNumber"/>
        <w:spacing w:before="0" w:after="80" w:line="276" w:lineRule="auto"/>
        <w:ind w:left="540" w:hanging="271"/>
      </w:pPr>
      <w:r>
        <w:rPr>
          <w:rFonts w:ascii="Calibri" w:hAnsi="Calibri" w:eastAsia="Microsoft YaHei"/>
          <w:b w:val="0"/>
          <w:i w:val="0"/>
          <w:color w:val="1F2937"/>
          <w:sz w:val="21"/>
        </w:rPr>
        <w:t>后置条件经 verifier.py 多帧/置信度/投票校验；事件通过 telemetry JSONL 持久化，最终生成离线 Episode。</w:t>
      </w:r>
    </w:p>
    <w:p>
      <w:pPr>
        <w:pStyle w:val="Heading1"/>
        <w:keepNext/>
        <w:spacing w:before="360" w:after="180" w:line="264" w:lineRule="auto"/>
      </w:pPr>
      <w:r>
        <w:rPr>
          <w:rFonts w:ascii="Calibri" w:hAnsi="Calibri" w:eastAsia="Microsoft YaHei"/>
          <w:b/>
          <w:i w:val="0"/>
          <w:color w:val="1F4E79"/>
          <w:sz w:val="32"/>
        </w:rPr>
        <w:t>7. 源代码文件职责索引</w:t>
      </w:r>
    </w:p>
    <w:p>
      <w:pPr>
        <w:spacing w:before="0" w:after="120" w:line="300" w:lineRule="auto"/>
      </w:pPr>
      <w:r>
        <w:rPr>
          <w:rFonts w:ascii="Calibri" w:hAnsi="Calibri" w:eastAsia="Microsoft YaHei"/>
          <w:b w:val="0"/>
          <w:i w:val="0"/>
          <w:color w:val="1F2937"/>
          <w:sz w:val="21"/>
        </w:rPr>
        <w:t>本节覆盖源代码目录中的 Python 文件；自动化测试以“测试该目录对应的契约、服务或模块行为”归类，具体测试名可直接按路径查看。</w:t>
      </w:r>
    </w:p>
    <w:tbl>
      <w:tblPr>
        <w:tblStyle w:val="TableGrid"/>
        <w:tblW w:type="dxa" w:w="9360"/>
        <w:jc w:val="left"/>
        <w:tblLayout w:type="fixed"/>
        <w:tblLook w:firstColumn="1" w:firstRow="1" w:lastColumn="0" w:lastRow="0" w:noHBand="0" w:noVBand="1" w:val="04A0"/>
        <w:tblInd w:w="120" w:type="dxa"/>
      </w:tblPr>
      <w:tblGrid>
        <w:gridCol w:w="4450"/>
        <w:gridCol w:w="4910"/>
      </w:tblGrid>
      <w:tr>
        <w:trPr>
          <w:tblHeader w:val="true"/>
          <w:cantSplit/>
        </w:trPr>
        <w:tc>
          <w:tcPr>
            <w:tcW w:type="dxa" w:w="445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源文件</w:t>
            </w:r>
          </w:p>
        </w:tc>
        <w:tc>
          <w:tcPr>
            <w:tcW w:type="dxa" w:w="491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职责</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configs/pi05/constants.py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训练/运行配置与参数定义。</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configs/pi05/train_config.py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训练/运行配置与参数定义。</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scripts/check_repository_hygiene.py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scripts/evaluate_detection_map.py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scripts/frozen_input_verifier.py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scripts/generate_golden_episode.py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scripts/pi05/canonical_v1.py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scripts/pi05/compute_norm_stats.py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scripts/pi05/convert_openpi.py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scripts/pi05/provenance_context.py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scripts/pi05/smoke_lerobot_loader.py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scripts/pi05/train.py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scripts/run_keyboard_teleop_preflight.py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scripts/run_mock_demo.py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scripts/verify_official_baselines.py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scripts/verify_project_frozen_inputs.py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命令行脚本；用于校验、数据处理、训练、转换或演示。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services/__init__.py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services/openvla_oft/handler.py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services/openvla_oft/scripts/build_checkpoint_manifest.py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services/openvla_oft/scripts/convert_canonical_to_rlds.py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services/openvla_oft/scripts/run_service.py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services/openvla_oft/scripts/smoke_real.py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services/openvla_oft/src/openvla_oft/app.py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OpenVLA-OFT HTTP 服务器入口。</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services/openvla_oft/src/openvla_oft/canonical.py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services/openvla_oft/src/openvla_oft/config.py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OpenVLA-OFT 服务配置加载、artifact、CAS 和模型约束。</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services/openvla_oft/src/openvla_oft/dataset.py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services/openvla_oft/src/openvla_oft/exceptions.py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services/openvla_oft/src/openvla_oft/handler.py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services/openvla_oft/src/openvla_oft/model.py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OpenVLA-OFT 官方推理适配与动作输出校验。</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services/openvla_oft/src/openvla_oft/rlds.py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services/openvla_oft/src/openvla_oft/routes.py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OpenVLA-OFT 推理服务 route、缓存、并发、取消和错误映射。</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services/openvla_oft/src/openvla_oft/schemas.py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OpenVLA-OFT health/infer/cancel 合同和 action response 构造。</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services/openvla_oft/src/openvla_oft/utils.py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services/openvla_oft/tests/conftest.py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services/openvla_oft/tests/test_cancel.py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services/openvla_oft/tests/test_canonical_rlds.py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services/openvla_oft/tests/test_contract_schemas.py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services/openvla_oft/tests/test_dataset.py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services/openvla_oft/tests/test_health.py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services/openvla_oft/tests/test_image_cas.py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services/openvla_oft/tests/test_infer.py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services/openvla_oft/tests/test_real_model.py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services/pi05/handler.py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services/pi05/src/action.py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动作输出及过期策略。</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services/pi05/src/base.py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services/pi05/src/observation.py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观测数据结构和图像/状态校验。</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services/pi05/src/openpi_service.py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FastAPI/uvicorn 服务；HTTP 契约和 dummy 模式 WebSocket 兼容。</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services/pi05/src/pi05.py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执行器封装、输入转换、动作块和健康检查。</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services/pi05/src/pi05_client.py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services/pi05/src/pi05_contract_adapter.py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 原生输出到统一 N×7 action chunk 的转换。</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services/yolo/handler.py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services/yolo/scripts/run_service.py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services/yolo/src/yolo_service/__init__.py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services/yolo/src/yolo_service/app.py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HTTP 服务器入口；绑定 /health、/v1/detect、/v1/cancel。</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services/yolo/src/yolo_service/config.py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配置文件与环境变量合并、SHA 和 mock/real 校验。</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services/yolo/src/yolo_service/exceptions.py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services/yolo/src/yolo_service/handler.py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services/yolo/src/yolo_service/model.py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services/yolo/src/yolo_service/resources/__init__.py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services/yolo/src/yolo_service/routes.py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route 服务逻辑、并发、超时、取消和错误映射。</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services/yolo/src/yolo_service/schemas.py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请求/响应 envelope 和字段校验。</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services/yolo/tests/conftest.py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services/yolo/tests/test_deployment_identity.py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services/yolo/tests/test_http_camera_integration.py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services/yolo/tests/test_service.py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自动化测试；覆盖该目录对应的契约、服务或模块行为。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simulation/build_single_bin_scene.py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simulation/isaac_compat.py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simulation/isaac_franka_controller.py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simulation/isaac_gui_keyboard.py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simulation/isaac_rgb_pipeline.py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simulation/keyboard_teleop.py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simulation/rgb_cas_bridge.py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simulation/run_g0_acceptance.py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simulation/run_isaac_adapter_smoke.py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simulation/run_keyboard_teleop_smoke.py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simulation/scene_layout.py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simulation/single_bin_scene_builder.py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simulation/yolo_camera_probe.py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Isaac/仿真场景、相机、控制器或遥操作代码。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src/__init__.py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src/industrial_agent/contracts.py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Task、TaskPlan、Subtask、Postcondition 等核心业务契约和字段校验。</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src/industrial_agent/data/__init__.py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src/industrial_agent/data/padding.py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src/industrial_agent/data/recorder.py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src/industrial_agent/data/replay.py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src/industrial_agent/data/split_registry.py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src/industrial_agent/environment.py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src/industrial_agent/errors.py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src/industrial_agent/executor.py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π0.5/OpenVLA 执行器描述、HTTP 适配器、健康检查、推理和取消。</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src/industrial_agent/fsm.py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Supervisor 显式状态机和允许的状态迁移。</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src/industrial_agent/http_transport.py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带总 deadline、响应上限、连接上限和熔断的 JSON/HTTP transport。</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src/industrial_agent/image_cas.py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共享图像 CAS 的写入、读取、SHA-256 和容量限制。</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src/industrial_agent/isaac_environment.py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src/industrial_agent/isaac_runtime.py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src/industrial_agent/lifecycle.py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冻结任务画像、双臂阶段、令牌顺序和阶段边界。</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src/industrial_agent/mock.py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src/industrial_agent/observation.py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在线观测、白名单字段和 GT 隔离。</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src/industrial_agent/orchestrator.py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A_ONLY -&gt; HANDOFF_VERIFY -&gt; B_ONLY 的固定编排与恢复。</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src/industrial_agent/perception.py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YOLO 感知契约、DetectionPacket、证据记录器和 HTTP 适配器。</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src/industrial_agent/safety.py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动作 NaN/Inf、绝对限幅、工作空间、chunk 长度和安全停机。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src/industrial_agent/service_handlers.py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VLA/YOLO HTTP 请求的公共 CAS guard 和 backend handler。</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src/industrial_agent/service_images.py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服务请求中的 ImageReference 解析和 CAS 图像注入。</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src/industrial_agent/supervisor_main.py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Supervisor CLI/配置加载/执行器和感知适配器组装。</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src/industrial_agent/sync_contract.py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src/industrial_agent/telemetry.py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src/industrial_agent/verifier.py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后置条件、置信度和多帧投票验证。</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tests/__init__.py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tests/pi05/__init__.py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包初始化与公共导出。</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tests/pi05/test_canonical_v1.py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tests/pi05/test_contract_alignment.py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tests/pi05/test_executor.py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tests/pi05/test_openpi_data_pipeline.py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tests/pi05/test_provenance_context.py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tests/pi05/test_service.py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tests/pi05/test_train_config_projection.py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tests/test_canonical_recorder.py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tests/test_config.py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tests/test_contract_alignment.py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tests/test_contracts_and_observation.py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tests/test_data_padding.py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tests/test_document_contracts.py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tests/test_executor_adapters.py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tests/test_executor_health_contract.py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tests/test_four_agent_orchestration.py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tests/test_fsm.py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tests/test_g0_acceptance.py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tests/test_handoff_event_contract.py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tests/test_http_transport.py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tests/test_image_cas.py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tests/test_isaac_compat.py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tests/test_isaac_environment.py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tests/test_isaac_franka_controller.py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tests/test_isaac_gui_keyboard.py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tests/test_isaac_rgb_pipeline.py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tests/test_isaac_runtime.py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tests/test_json_schemas.py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tests/test_keyboard_teleop.py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tests/test_map_evaluator.py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tests/test_mock_scene_alignment.py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tests/test_observation_gt_security.py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tests/test_perception_contracts.py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tests/test_safety.py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tests/test_scene_layout.py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tests/test_service_handlers.py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tests/test_service_images.py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tests/test_split_registry.py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tests/test_supervisor_main.py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tests/test_sync_contract.py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tests/test_telemetry.py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tests/test_verifier.py</w:t>
            </w:r>
          </w:p>
        </w:tc>
        <w:tc>
          <w:tcPr>
            <w:tcW w:type="dxa" w:w="491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tests/test_yolo_camera_probe.py</w:t>
            </w:r>
          </w:p>
        </w:tc>
        <w:tc>
          <w:tcPr>
            <w:tcW w:type="dxa" w:w="491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模块实现；具体职责以文件名、导入关系和相邻 README 为准。</w:t>
            </w:r>
          </w:p>
        </w:tc>
      </w:tr>
      <w:tr>
        <w:trPr>
          <w:cantSplit/>
        </w:trPr>
        <w:tc>
          <w:tcPr>
            <w:tcW w:type="dxa" w:w="4450"/>
          </w:tcPr>
          <w:p>
            <w:r>
              <w:t>simulation/configs/single_bin_scene_v2.json</w:t>
            </w:r>
          </w:p>
        </w:tc>
        <w:tc>
          <w:tcPr>
            <w:tcW w:type="dxa" w:w="4910"/>
          </w:tcPr>
          <w:p>
            <w:r>
              <w:t>V2 场景数值真值：机器人、工件、料箱、相机、频率和安全上限。</w:t>
            </w:r>
          </w:p>
        </w:tc>
      </w:tr>
      <w:tr>
        <w:trPr>
          <w:cantSplit/>
        </w:trPr>
        <w:tc>
          <w:tcPr>
            <w:tcW w:type="dxa" w:w="4450"/>
          </w:tcPr>
          <w:p>
            <w:r>
              <w:t>simulation/v2_scene_contract.py</w:t>
            </w:r>
          </w:p>
        </w:tc>
        <w:tc>
          <w:tcPr>
            <w:tcW w:type="dxa" w:w="4910"/>
          </w:tcPr>
          <w:p>
            <w:r>
              <w:t>加载 V2 配置并校验槽位、姿态、质量、频率和身份合同。</w:t>
            </w:r>
          </w:p>
        </w:tc>
      </w:tr>
      <w:tr>
        <w:trPr>
          <w:cantSplit/>
        </w:trPr>
        <w:tc>
          <w:tcPr>
            <w:tcW w:type="dxa" w:w="4450"/>
          </w:tcPr>
          <w:p>
            <w:r>
              <w:t>simulation/v2_industrial_assets.py</w:t>
            </w:r>
          </w:p>
        </w:tc>
        <w:tc>
          <w:tcPr>
            <w:tcW w:type="dxa" w:w="4910"/>
          </w:tcPr>
          <w:p>
            <w:r>
              <w:t>V2 工业工件与料箱资产构建。</w:t>
            </w:r>
          </w:p>
        </w:tc>
      </w:tr>
      <w:tr>
        <w:trPr>
          <w:cantSplit/>
        </w:trPr>
        <w:tc>
          <w:tcPr>
            <w:tcW w:type="dxa" w:w="4450"/>
          </w:tcPr>
          <w:p>
            <w:r>
              <w:t>simulation/single_bin_scene_v2_builder.py</w:t>
            </w:r>
          </w:p>
        </w:tc>
        <w:tc>
          <w:tcPr>
            <w:tcW w:type="dxa" w:w="4910"/>
          </w:tcPr>
          <w:p>
            <w:r>
              <w:t>构建 single_bin_manual_industrial_v2 场景。</w:t>
            </w:r>
          </w:p>
        </w:tc>
      </w:tr>
      <w:tr>
        <w:trPr>
          <w:cantSplit/>
        </w:trPr>
        <w:tc>
          <w:tcPr>
            <w:tcW w:type="dxa" w:w="4450"/>
          </w:tcPr>
          <w:p>
            <w:r>
              <w:t>simulation/run_v2_keyboard_collection.py</w:t>
            </w:r>
          </w:p>
        </w:tc>
        <w:tc>
          <w:tcPr>
            <w:tcW w:type="dxa" w:w="4910"/>
          </w:tcPr>
          <w:p>
            <w:r>
              <w:t>键盘人工控制与 Canonical Episode 采集入口。</w:t>
            </w:r>
          </w:p>
        </w:tc>
      </w:tr>
      <w:tr>
        <w:trPr>
          <w:cantSplit/>
        </w:trPr>
        <w:tc>
          <w:tcPr>
            <w:tcW w:type="dxa" w:w="4450"/>
          </w:tcPr>
          <w:p>
            <w:r>
              <w:t>simulation/v2_collection_preflight.py</w:t>
            </w:r>
          </w:p>
        </w:tc>
        <w:tc>
          <w:tcPr>
            <w:tcW w:type="dxa" w:w="4910"/>
          </w:tcPr>
          <w:p>
            <w:r>
              <w:t>无 GUI 采集前合同预检。</w:t>
            </w:r>
          </w:p>
        </w:tc>
      </w:tr>
      <w:tr>
        <w:trPr>
          <w:cantSplit/>
        </w:trPr>
        <w:tc>
          <w:tcPr>
            <w:tcW w:type="dxa" w:w="4450"/>
          </w:tcPr>
          <w:p>
            <w:r>
              <w:t>simulation/v2_collection_state.py</w:t>
            </w:r>
          </w:p>
        </w:tc>
        <w:tc>
          <w:tcPr>
            <w:tcW w:type="dxa" w:w="4910"/>
          </w:tcPr>
          <w:p>
            <w:r>
              <w:t>V2 采集状态与 provenance 管理。</w:t>
            </w:r>
          </w:p>
        </w:tc>
      </w:tr>
      <w:tr>
        <w:trPr>
          <w:cantSplit/>
        </w:trPr>
        <w:tc>
          <w:tcPr>
            <w:tcW w:type="dxa" w:w="4450"/>
          </w:tcPr>
          <w:p>
            <w:r>
              <w:t>simulation/pink_franka_adapter.py</w:t>
            </w:r>
          </w:p>
        </w:tc>
        <w:tc>
          <w:tcPr>
            <w:tcW w:type="dxa" w:w="4910"/>
          </w:tcPr>
          <w:p>
            <w:r>
              <w:t>Pink/Franka IK 适配与关节命令边界。</w:t>
            </w:r>
          </w:p>
        </w:tc>
      </w:tr>
    </w:tbl>
    <w:p>
      <w:pPr>
        <w:spacing w:after="40"/>
      </w:pPr>
    </w:p>
    <w:p>
      <w:pPr>
        <w:pStyle w:val="Heading1"/>
        <w:keepNext/>
        <w:spacing w:before="360" w:after="180" w:line="264" w:lineRule="auto"/>
      </w:pPr>
      <w:r>
        <w:rPr>
          <w:rFonts w:ascii="Calibri" w:hAnsi="Calibri" w:eastAsia="Microsoft YaHei"/>
          <w:b/>
          <w:i w:val="0"/>
          <w:color w:val="1F4E79"/>
          <w:sz w:val="32"/>
        </w:rPr>
        <w:t>8. 文档与资料逐文件说明</w:t>
      </w:r>
    </w:p>
    <w:p>
      <w:pPr>
        <w:spacing w:before="0" w:after="120" w:line="300" w:lineRule="auto"/>
      </w:pPr>
      <w:r>
        <w:rPr>
          <w:rFonts w:ascii="Calibri" w:hAnsi="Calibri" w:eastAsia="Microsoft YaHei"/>
          <w:b w:val="0"/>
          <w:i w:val="0"/>
          <w:color w:val="1F2937"/>
          <w:sz w:val="21"/>
        </w:rPr>
        <w:t>下表覆盖 docs/ 下的 Markdown、PDF、DOCX 和图像/SVG 资产。PDF/DOCX 作为需求或方案资料，不是运行时接口真源；运行接口以代码与 schemas/ 为准。</w:t>
      </w:r>
    </w:p>
    <w:tbl>
      <w:tblPr>
        <w:tblStyle w:val="TableGrid"/>
        <w:tblW w:type="dxa" w:w="9360"/>
        <w:jc w:val="left"/>
        <w:tblLayout w:type="fixed"/>
        <w:tblLook w:firstColumn="1" w:firstRow="1" w:lastColumn="0" w:lastRow="0" w:noHBand="0" w:noVBand="1" w:val="04A0"/>
        <w:tblInd w:w="120" w:type="dxa"/>
      </w:tblPr>
      <w:tblGrid>
        <w:gridCol w:w="3900"/>
        <w:gridCol w:w="700"/>
        <w:gridCol w:w="4760"/>
      </w:tblGrid>
      <w:tr>
        <w:trPr>
          <w:tblHeader w:val="true"/>
          <w:cantSplit/>
        </w:trPr>
        <w:tc>
          <w:tcPr>
            <w:tcW w:type="dxa" w:w="39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文件</w:t>
            </w:r>
          </w:p>
        </w:tc>
        <w:tc>
          <w:tcPr>
            <w:tcW w:type="dxa" w:w="7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类型</w:t>
            </w:r>
          </w:p>
        </w:tc>
        <w:tc>
          <w:tcPr>
            <w:tcW w:type="dxa" w:w="47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具体作用</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docs/architecture/ADR-0002-four-agent-yolo-gate.md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架构决策记录；解释为什么采用四 Agent 以及 YOLO gate/sidecar 设计。</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docs/architecture/ADR-0003-yolo-scoring-sidecar.md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架构决策记录；解释 YOLO 只做同步评分证据、不阻断 VLA 控制的原因。</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docs/architecture/ADR-0004-shared-image-cas.md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架构决策记录；解释跨服务共享图像 CAS、SHA 校验和 fail-closed 的约束。</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docs/architecture/agent-framework.md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四 Agent 总体架构；说明 Supervisor、π0.5、OpenVLA-OFT、YOLO 的职责和固定串行流程。</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docs/architecture/assets/four-agent-fixed-dual-vla-architecture-v4-zh.png</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架构、场景或团队角色图；用于快速理解系统边界和视觉验收。</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docs/architecture/assets/four-agent-single-bin-static-handoff-framework-v3.png</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架构、场景或团队角色图；用于快速理解系统边界和视觉验收。</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docs/architecture/assets/four-agent-single-bin-static-handoff-framework-v3.svg</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svg</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可编辑架构/场景图资产；用于评审和方案展示。</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docs/architecture/assets/isaac-sim-single-bin-annotated-platform-v1.png</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架构、场景或团队角色图；用于快速理解系统边界和视觉验收。</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docs/architecture/assets/isaac-sim-single-bin-pack-position-v6.png</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架构、场景或团队角色图；用于快速理解系统边界和视觉验收。</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docs/architecture/assets/isaac-sim-single-bin-static-handoff-layout-v2.png</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架构、场景或团队角色图；用于快速理解系统边界和视觉验收。</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docs/architecture/assets/isaac-sim-single-bin-static-handoff-layout-v2.svg</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svg</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可编辑架构/场景图资产；用于评审和方案展示。</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docs/architecture/final-frozen-scene-and-flow.md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最终冻结场景与运行流程；说明单料箱、双 Franka、交接验证和失败恢复。</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docs/architecture/interface-contracts.md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跨进程接口总契约；定义健康检查、推理、检测、取消、超时、错误和 CAS 图像引用。</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docs/architecture/single-bin-static-handoff-scene-v2.md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单料箱静态交接场景定义；记录对象、区域、相机和动作边界。</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docs/assets/README.md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架构图资产说明；介绍冻结架构图和团队角色图的用途。</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docs/assets/system-architecture-frozen.png</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架构、场景或团队角色图；用于快速理解系统边界和视觉验收。</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docs/assets/team-roles-frozen.png</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png</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架构、场景或团队角色图；用于快速理解系统边界和视觉验收。</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docs/official/README.md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官方材料目录；说明官方 PDF 是需求与验收的唯一真源。</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docs/official/XH-202607_competition_spec.pdf</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pdf</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官方 PDF 原件；用于需求、规则和验收依据，保持原样，不在代码中修改。</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docs/official/XH-202607_official_QA.pdf</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pdf</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官方 PDF 原件；用于需求、规则和验收依据，保持原样，不在代码中修改。</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docs/project-management/daily/2026-07-24-D00-kickoff.md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文档资料；按所在目录主题使用。</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docs/project-management/daily/2026-07-25-D01.md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文档资料；按所在目录主题使用。</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docs/project-management/daily/README.md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日报索引；说明每日任务公告和交付记录。</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docs/project-management/daily-plan.md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D01-D40 日计划；记录里程碑、Gate、交付和降级点。</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docs/project-management/daily-task-automation.md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每日任务自动化规范；定义 09:00 发布、17:00 交付、18:00 集成规则。</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docs/project-management/daily-task-template.md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日报模板；用于创建统一格式的每日任务记录。</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docs/project-management/dashboard.md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项目看板；汇总当前完成度、证据和缺口。</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docs/project-management/data-collection-and-five-member-execution-guide.md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数据采集和五人执行指南；说明采集、QA、训练、评测和提交分工。</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docs/project-management/github-collaboration-guide.md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GitHub 协作指南；说明 Issue、分支、提交、PR 和冲突处理。</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docs/project-management/project-management-guide.md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项目管理执行指南；定义 Issue、DoD、审查和集成纪律。</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docs/project-management/README.md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项目管理文档入口；汇总计划、WBS、风险、日报和协作规则。</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docs/project-management/risk-register.md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风险登记册；记录模型、数据、接口、仿真和提交风险及回退。</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docs/project-management/wbs.md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工作分解结构；把项目拆成 Epic、User Story、Task 和责任人。</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docs/README.md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文档总入口；说明各类文档的位置和阅读顺序。</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docs/repository-structure.md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仓库目录规范；说明代码、配置、数据、模型、报告的存放边界。</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docs/requirements/official-requirements-baseline.md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官方需求基线；把竞赛要求、验收点和不可变约束整理成可执行基线。</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docs/simulation/isaac-execution-adapter.md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Isaac 执行适配器说明；定义仿真控制器、动作转换、夹爪和安全边界。</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docs/simulation/keyboard-teleop-smoke.md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键盘遥操作冒烟测试；用于验证 Isaac 场景、相机和控制器基础链路。</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docs/simulation/member-b-catch-up-guide.md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成员 B 追赶指南；提供仿真、控制器、headless 和验收的上手路径。</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docs/simulation/platform-gate.md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仿真平台 Gate；定义平台依赖、运行前置条件和验收命令。</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docs/simulation/platform-inventory.md</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仿真平台资产清单；记录 Isaac/Franka/相机/资源版本和路径。</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docs/source/README.md</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md</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源资料入口；说明初版方案文档仅作参考，代码与冻结契约优先。</w:t>
            </w:r>
          </w:p>
        </w:tc>
      </w:tr>
      <w:tr>
        <w:trPr>
          <w:cantSplit/>
        </w:trPr>
        <w:tc>
          <w:tcPr>
            <w:tcW w:type="dxa" w:w="39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docs/source/source-code-parameter-and-documentation-guide.docx</w:t>
            </w:r>
          </w:p>
        </w:tc>
        <w:tc>
          <w:tcPr>
            <w:tcW w:type="dxa" w:w="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docx</w:t>
            </w:r>
          </w:p>
        </w:tc>
        <w:tc>
          <w:tcPr>
            <w:tcW w:type="dxa" w:w="47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初版方案 DOCX；提供背景和方案参考，最终实现以冻结代码/合同为准。</w:t>
            </w:r>
          </w:p>
        </w:tc>
      </w:tr>
      <w:tr>
        <w:trPr>
          <w:cantSplit/>
        </w:trPr>
        <w:tc>
          <w:tcPr>
            <w:tcW w:type="dxa" w:w="39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docs/source/XH-202607_initial_plan_v1.0.docx</w:t>
            </w:r>
          </w:p>
        </w:tc>
        <w:tc>
          <w:tcPr>
            <w:tcW w:type="dxa" w:w="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docx</w:t>
            </w:r>
          </w:p>
        </w:tc>
        <w:tc>
          <w:tcPr>
            <w:tcW w:type="dxa" w:w="47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初版方案 DOCX；提供背景和方案参考，最终实现以冻结代码/合同为准。</w:t>
            </w:r>
          </w:p>
        </w:tc>
      </w:tr>
      <w:tr>
        <w:trPr>
          <w:cantSplit/>
        </w:trPr>
        <w:tc>
          <w:tcPr>
            <w:tcW w:type="dxa" w:w="3900"/>
          </w:tcPr>
          <w:p>
            <w:r>
              <w:t>docs/v2-manual-industrial-collection.md</w:t>
            </w:r>
          </w:p>
        </w:tc>
        <w:tc>
          <w:tcPr>
            <w:tcW w:type="dxa" w:w="700"/>
          </w:tcPr>
          <w:p>
            <w:r>
              <w:t>md</w:t>
            </w:r>
          </w:p>
        </w:tc>
        <w:tc>
          <w:tcPr>
            <w:tcW w:type="dxa" w:w="4760"/>
          </w:tcPr>
          <w:p>
            <w:r>
              <w:t>当前 V2 人工工业采集入口、参数与验收状态说明。</w:t>
            </w:r>
          </w:p>
        </w:tc>
      </w:tr>
    </w:tbl>
    <w:p>
      <w:pPr>
        <w:spacing w:after="40"/>
      </w:pPr>
    </w:p>
    <w:p>
      <w:pPr>
        <w:pStyle w:val="Heading1"/>
        <w:keepNext/>
        <w:spacing w:before="360" w:after="180" w:line="264" w:lineRule="auto"/>
      </w:pPr>
      <w:r>
        <w:rPr>
          <w:rFonts w:ascii="Calibri" w:hAnsi="Calibri" w:eastAsia="Microsoft YaHei"/>
          <w:b/>
          <w:i w:val="0"/>
          <w:color w:val="1F4E79"/>
          <w:sz w:val="32"/>
        </w:rPr>
        <w:t>9. 脚本、训练与仿真入口</w:t>
      </w:r>
    </w:p>
    <w:tbl>
      <w:tblPr>
        <w:tblStyle w:val="TableGrid"/>
        <w:tblW w:type="dxa" w:w="9360"/>
        <w:jc w:val="left"/>
        <w:tblLayout w:type="fixed"/>
        <w:tblLook w:firstColumn="1" w:firstRow="1" w:lastColumn="0" w:lastRow="0" w:noHBand="0" w:noVBand="1" w:val="04A0"/>
        <w:tblInd w:w="120" w:type="dxa"/>
      </w:tblPr>
      <w:tblGrid>
        <w:gridCol w:w="3200"/>
        <w:gridCol w:w="3900"/>
        <w:gridCol w:w="2260"/>
      </w:tblGrid>
      <w:tr>
        <w:trPr>
          <w:tblHeader w:val="true"/>
          <w:cantSplit/>
        </w:trPr>
        <w:tc>
          <w:tcPr>
            <w:tcW w:type="dxa" w:w="32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入口</w:t>
            </w:r>
          </w:p>
        </w:tc>
        <w:tc>
          <w:tcPr>
            <w:tcW w:type="dxa" w:w="39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作用</w:t>
            </w:r>
          </w:p>
        </w:tc>
        <w:tc>
          <w:tcPr>
            <w:tcW w:type="dxa" w:w="22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主要用于</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scripts/run_mock_demo.py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无第三方模型的固定双 VLA 编排演示。</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验证合同、阶段切换和恢复。</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scripts/run_g0_linux.sh</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Linux G0 基线入口。</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快速运行基础验收。</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scripts/verify_official_baselines.py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校验官方 PDF 基线。</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确认需求/官方材料未被破坏。</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scripts/verify_project_frozen_inputs.py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校验冻结架构图和初版方案快照。</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保护不可变输入。</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scripts/check_repository_hygiene.py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仓库卫生检查。</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阻止权重、密钥、缓存、私有路径等进入提交。</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scripts/generate_golden_episode.py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生成 Golden Episode。</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构造离线验证样本。</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scripts/evaluate_detection_map.py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离线检测 mAP 评估。</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读取离线 GT 和 YOLO 证据；GT 不进入在线 Agent。</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scripts/frozen_input_verifier.py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冻结输入验证工具。</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校验指定资产的摘要和结构。</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scripts/pi05/canonical_v1.py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Canonical Episode -&gt; π0.5 输入映射。</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唯一的 Canonical reader/mapper 适配层。</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scripts/pi05/convert_openpi.py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Canonical -&gt; LeRobot/OpenPI 数据转换。</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生产训练数据转换和 provenance。</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scripts/pi05/smoke_lerobot_loader.py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离线 Loader 冒烟。</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验证数据可被 OpenPI/LeRobot 正确读取。</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scripts/pi05/compute_norm_stats.py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仅对 Train split 计算 norm stats。</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生成可审计的归一化统计。</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scripts/pi05/train.py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 训练入口。</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读取训练配置并执行训练/评估。</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simulation/build_single_bin_scene.py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构建单料箱场景。</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生成固定场景资产。</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simulation/run_g0_acceptance.py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仿真 G0 验收。</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检查最小闭环和安全边界。</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simulation/run_isaac_adapter_smoke.py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Isaac 适配器冒烟。</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验证仿真执行适配。</w:t>
            </w:r>
          </w:p>
        </w:tc>
      </w:tr>
      <w:tr>
        <w:trPr>
          <w:cantSplit/>
        </w:trPr>
        <w:tc>
          <w:tcPr>
            <w:tcW w:type="dxa" w:w="32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simulation/run_keyboard_teleop_smoke.py</w:t>
            </w:r>
          </w:p>
        </w:tc>
        <w:tc>
          <w:tcPr>
            <w:tcW w:type="dxa" w:w="39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键盘遥操作冒烟。</w:t>
            </w:r>
          </w:p>
        </w:tc>
        <w:tc>
          <w:tcPr>
            <w:tcW w:type="dxa" w:w="22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验证人工控制链路。</w:t>
            </w:r>
          </w:p>
        </w:tc>
      </w:tr>
      <w:tr>
        <w:trPr>
          <w:cantSplit/>
        </w:trPr>
        <w:tc>
          <w:tcPr>
            <w:tcW w:type="dxa" w:w="32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simulation/yolo_camera_probe.py</w:t>
            </w:r>
          </w:p>
        </w:tc>
        <w:tc>
          <w:tcPr>
            <w:tcW w:type="dxa" w:w="39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 相机探针。</w:t>
            </w:r>
          </w:p>
        </w:tc>
        <w:tc>
          <w:tcPr>
            <w:tcW w:type="dxa" w:w="22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验证相机帧和检测服务连接。</w:t>
            </w:r>
          </w:p>
        </w:tc>
      </w:tr>
      <w:tr>
        <w:trPr>
          <w:cantSplit/>
        </w:trPr>
        <w:tc>
          <w:tcPr>
            <w:tcW w:type="dxa" w:w="3200"/>
          </w:tcPr>
          <w:p>
            <w:r>
              <w:t>simulation/v2_collection_preflight.py</w:t>
            </w:r>
          </w:p>
        </w:tc>
        <w:tc>
          <w:tcPr>
            <w:tcW w:type="dxa" w:w="3900"/>
          </w:tcPr>
          <w:p>
            <w:r>
              <w:t>V2 采集前静态预检。</w:t>
            </w:r>
          </w:p>
        </w:tc>
        <w:tc>
          <w:tcPr>
            <w:tcW w:type="dxa" w:w="2260"/>
          </w:tcPr>
          <w:p>
            <w:r>
              <w:t>合同结果与失败原因。</w:t>
            </w:r>
          </w:p>
        </w:tc>
      </w:tr>
      <w:tr>
        <w:trPr>
          <w:cantSplit/>
        </w:trPr>
        <w:tc>
          <w:tcPr>
            <w:tcW w:type="dxa" w:w="3200"/>
          </w:tcPr>
          <w:p>
            <w:r>
              <w:t>simulation/run_v2_scene_acceptance.py</w:t>
            </w:r>
          </w:p>
        </w:tc>
        <w:tc>
          <w:tcPr>
            <w:tcW w:type="dxa" w:w="3900"/>
          </w:tcPr>
          <w:p>
            <w:r>
              <w:t>V2 静态合同、资产和质量预算检查。</w:t>
            </w:r>
          </w:p>
        </w:tc>
        <w:tc>
          <w:tcPr>
            <w:tcW w:type="dxa" w:w="2260"/>
          </w:tcPr>
          <w:p>
            <w:r>
              <w:t>无 Isaac Sim 的合同结果。</w:t>
            </w:r>
          </w:p>
        </w:tc>
      </w:tr>
      <w:tr>
        <w:trPr>
          <w:cantSplit/>
        </w:trPr>
        <w:tc>
          <w:tcPr>
            <w:tcW w:type="dxa" w:w="3200"/>
          </w:tcPr>
          <w:p>
            <w:r>
              <w:t>simulation/run_v2_home_acceptance.py</w:t>
            </w:r>
          </w:p>
        </w:tc>
        <w:tc>
          <w:tcPr>
            <w:tcW w:type="dxa" w:w="3900"/>
          </w:tcPr>
          <w:p>
            <w:r>
              <w:t>验证双臂 HOME 与手指初值。</w:t>
            </w:r>
          </w:p>
        </w:tc>
        <w:tc>
          <w:tcPr>
            <w:tcW w:type="dxa" w:w="2260"/>
          </w:tcPr>
          <w:p>
            <w:r>
              <w:t>关节和复位证据。</w:t>
            </w:r>
          </w:p>
        </w:tc>
      </w:tr>
      <w:tr>
        <w:trPr>
          <w:cantSplit/>
        </w:trPr>
        <w:tc>
          <w:tcPr>
            <w:tcW w:type="dxa" w:w="3200"/>
          </w:tcPr>
          <w:p>
            <w:r>
              <w:t>simulation/run_v2_ik_reachability_acceptance.py</w:t>
            </w:r>
          </w:p>
        </w:tc>
        <w:tc>
          <w:tcPr>
            <w:tcW w:type="dxa" w:w="3900"/>
          </w:tcPr>
          <w:p>
            <w:r>
              <w:t>验证关键目标 IK 可达性。</w:t>
            </w:r>
          </w:p>
        </w:tc>
        <w:tc>
          <w:tcPr>
            <w:tcW w:type="dxa" w:w="2260"/>
          </w:tcPr>
          <w:p>
            <w:r>
              <w:t>IK 结果与失败点。</w:t>
            </w:r>
          </w:p>
        </w:tc>
      </w:tr>
      <w:tr>
        <w:trPr>
          <w:cantSplit/>
        </w:trPr>
        <w:tc>
          <w:tcPr>
            <w:tcW w:type="dxa" w:w="3200"/>
          </w:tcPr>
          <w:p>
            <w:r>
              <w:t>simulation/run_v2_dual_arm_micro_motion_acceptance.py</w:t>
            </w:r>
          </w:p>
        </w:tc>
        <w:tc>
          <w:tcPr>
            <w:tcW w:type="dxa" w:w="3900"/>
          </w:tcPr>
          <w:p>
            <w:r>
              <w:t>执行有界微动检查。</w:t>
            </w:r>
          </w:p>
        </w:tc>
        <w:tc>
          <w:tcPr>
            <w:tcW w:type="dxa" w:w="2260"/>
          </w:tcPr>
          <w:p>
            <w:r>
              <w:t>运动、安全和回位证据。</w:t>
            </w:r>
          </w:p>
        </w:tc>
      </w:tr>
      <w:tr>
        <w:trPr>
          <w:cantSplit/>
        </w:trPr>
        <w:tc>
          <w:tcPr>
            <w:tcW w:type="dxa" w:w="3200"/>
          </w:tcPr>
          <w:p>
            <w:r>
              <w:t>simulation/run_v2_keyboard_collection.py</w:t>
            </w:r>
          </w:p>
        </w:tc>
        <w:tc>
          <w:tcPr>
            <w:tcW w:type="dxa" w:w="3900"/>
          </w:tcPr>
          <w:p>
            <w:r>
              <w:t>人工键盘示教与 Episode 采集。</w:t>
            </w:r>
          </w:p>
        </w:tc>
        <w:tc>
          <w:tcPr>
            <w:tcW w:type="dxa" w:w="2260"/>
          </w:tcPr>
          <w:p>
            <w:r>
              <w:t>Canonical Episode 与 provenance。</w:t>
            </w:r>
          </w:p>
        </w:tc>
      </w:tr>
      <w:tr>
        <w:trPr>
          <w:cantSplit/>
        </w:trPr>
        <w:tc>
          <w:tcPr>
            <w:tcW w:type="dxa" w:w="3200"/>
          </w:tcPr>
          <w:p>
            <w:r>
              <w:t>simulation/run_v2_gui_scene_acceptance.py</w:t>
            </w:r>
          </w:p>
        </w:tc>
        <w:tc>
          <w:tcPr>
            <w:tcW w:type="dxa" w:w="3900"/>
          </w:tcPr>
          <w:p>
            <w:r>
              <w:t>可见 GUI、USD 和相机图验收。</w:t>
            </w:r>
          </w:p>
        </w:tc>
        <w:tc>
          <w:tcPr>
            <w:tcW w:type="dxa" w:w="2260"/>
          </w:tcPr>
          <w:p>
            <w:r>
              <w:t>场景外观与相机证据。</w:t>
            </w:r>
          </w:p>
        </w:tc>
      </w:tr>
    </w:tbl>
    <w:p>
      <w:pPr>
        <w:spacing w:after="40"/>
      </w:pPr>
    </w:p>
    <w:p>
      <w:pPr>
        <w:pStyle w:val="Heading1"/>
        <w:keepNext/>
        <w:spacing w:before="360" w:after="180" w:line="264" w:lineRule="auto"/>
      </w:pPr>
      <w:r>
        <w:rPr>
          <w:rFonts w:ascii="Calibri" w:hAnsi="Calibri" w:eastAsia="Microsoft YaHei"/>
          <w:b/>
          <w:i w:val="0"/>
          <w:color w:val="1F4E79"/>
          <w:sz w:val="32"/>
        </w:rPr>
        <w:t>10. 测试与验收建议</w:t>
      </w:r>
    </w:p>
    <w:p>
      <w:pPr>
        <w:pStyle w:val="ListBullet"/>
        <w:spacing w:before="0" w:after="80" w:line="276" w:lineRule="auto"/>
        <w:ind w:left="540" w:hanging="271"/>
      </w:pPr>
      <w:r>
        <w:rPr>
          <w:rFonts w:ascii="Calibri" w:hAnsi="Calibri" w:eastAsia="Microsoft YaHei"/>
          <w:b w:val="0"/>
          <w:i w:val="0"/>
          <w:color w:val="1F2937"/>
          <w:sz w:val="21"/>
        </w:rPr>
        <w:t>配置/合同：pytest tests/test_config.py tests/test_json_schemas.py tests/test_contract_alignment.py。</w:t>
      </w:r>
    </w:p>
    <w:p>
      <w:pPr>
        <w:pStyle w:val="ListBullet"/>
        <w:spacing w:before="0" w:after="80" w:line="276" w:lineRule="auto"/>
        <w:ind w:left="540" w:hanging="271"/>
      </w:pPr>
      <w:r>
        <w:rPr>
          <w:rFonts w:ascii="Calibri" w:hAnsi="Calibri" w:eastAsia="Microsoft YaHei"/>
          <w:b w:val="0"/>
          <w:i w:val="0"/>
          <w:color w:val="1F2937"/>
          <w:sz w:val="21"/>
        </w:rPr>
        <w:t>Supervisor：pytest tests/test_four_agent_orchestration.py tests/test_fsm.py tests/test_safety.py tests/test_verifier.py。</w:t>
      </w:r>
    </w:p>
    <w:p>
      <w:pPr>
        <w:pStyle w:val="ListBullet"/>
        <w:spacing w:before="0" w:after="80" w:line="276" w:lineRule="auto"/>
        <w:ind w:left="540" w:hanging="271"/>
      </w:pPr>
      <w:r>
        <w:rPr>
          <w:rFonts w:ascii="Calibri" w:hAnsi="Calibri" w:eastAsia="Microsoft YaHei"/>
          <w:b w:val="0"/>
          <w:i w:val="0"/>
          <w:color w:val="1F2937"/>
          <w:sz w:val="21"/>
        </w:rPr>
        <w:t>服务：pytest services/yolo/tests services/openvla_oft/tests tests/pi05。</w:t>
      </w:r>
    </w:p>
    <w:p>
      <w:pPr>
        <w:pStyle w:val="ListBullet"/>
        <w:spacing w:before="0" w:after="80" w:line="276" w:lineRule="auto"/>
        <w:ind w:left="540" w:hanging="271"/>
      </w:pPr>
      <w:r>
        <w:rPr>
          <w:rFonts w:ascii="Calibri" w:hAnsi="Calibri" w:eastAsia="Microsoft YaHei"/>
          <w:b w:val="0"/>
          <w:i w:val="0"/>
          <w:color w:val="1F2937"/>
          <w:sz w:val="21"/>
        </w:rPr>
        <w:t>格式和静态检查：python -m ruff format --check . 与 python -m ruff check .。</w:t>
      </w:r>
    </w:p>
    <w:p>
      <w:pPr>
        <w:pStyle w:val="ListBullet"/>
        <w:spacing w:before="0" w:after="80" w:line="276" w:lineRule="auto"/>
        <w:ind w:left="540" w:hanging="271"/>
      </w:pPr>
      <w:r>
        <w:rPr>
          <w:rFonts w:ascii="Calibri" w:hAnsi="Calibri" w:eastAsia="Microsoft YaHei"/>
          <w:b w:val="0"/>
          <w:i w:val="0"/>
          <w:color w:val="1F2937"/>
          <w:sz w:val="21"/>
        </w:rPr>
        <w:t>官方与冻结输入：python scripts/verify_official_baselines.py 与 python scripts/verify_project_frozen_inputs.py。</w:t>
      </w:r>
    </w:p>
    <w:p>
      <w:pPr>
        <w:pStyle w:val="ListBullet"/>
        <w:spacing w:before="0" w:after="80" w:line="276" w:lineRule="auto"/>
        <w:ind w:left="540" w:hanging="271"/>
      </w:pPr>
      <w:r>
        <w:rPr>
          <w:rFonts w:ascii="Calibri" w:hAnsi="Calibri" w:eastAsia="Microsoft YaHei"/>
          <w:b w:val="0"/>
          <w:i w:val="0"/>
          <w:color w:val="1F2937"/>
          <w:sz w:val="21"/>
        </w:rPr>
        <w:t>仓库卫生：python scripts/check_repository_hygiene.py；提交前再执行 git diff --check。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CE"/>
            <w:tcMar>
              <w:top w:w="80" w:type="dxa"/>
              <w:start w:w="120" w:type="dxa"/>
              <w:bottom w:w="80" w:type="dxa"/>
              <w:end w:w="120" w:type="dxa"/>
            </w:tcMar>
            <w:vAlign w:val="center"/>
          </w:tcPr>
          <w:p>
            <w:pPr>
              <w:spacing w:before="0" w:after="0" w:line="276" w:lineRule="auto"/>
            </w:pPr>
            <w:r>
              <w:rPr>
                <w:rFonts w:ascii="Calibri" w:hAnsi="Calibri" w:eastAsia="Microsoft YaHei"/>
                <w:b/>
                <w:i w:val="0"/>
                <w:color w:val="1F4E79"/>
                <w:sz w:val="21"/>
              </w:rPr>
              <w:t xml:space="preserve">真实部署前检查  </w:t>
            </w:r>
            <w:r>
              <w:rPr>
                <w:rFonts w:ascii="Calibri" w:hAnsi="Calibri" w:eastAsia="Microsoft YaHei"/>
                <w:b w:val="0"/>
                <w:i w:val="0"/>
                <w:color w:val="1F2937"/>
                <w:sz w:val="21"/>
              </w:rPr>
              <w:t>把三类服务的真实权重、norm stats、class map、服务配置和上游 commit 摘要固定下来；确认 CAS 可读、服务 /health 的 SHA 与 Supervisor 配置逐项一致；确认 real 模式没有 fallback 到 dummy。</w:t>
            </w:r>
          </w:p>
        </w:tc>
      </w:tr>
    </w:tbl>
    <w:p>
      <w:pPr>
        <w:spacing w:after="40"/>
      </w:pPr>
    </w:p>
    <w:p>
      <w:pPr>
        <w:pStyle w:val="ListBullet"/>
      </w:pPr>
      <w:r>
        <w:t>V2 建议验收：先运行 simulation/v2_collection_preflight.py 和 simulation/run_v2_scene_acceptance.py；再在 Isaac Sim 5.1 中依次执行 run_v2_gui_scene_acceptance.py、run_v2_home_acceptance.py、run_v2_ik_reachability_acceptance.py、run_v2_dual_arm_micro_motion_acceptance.py，最后人工采集并核验 Episode provenance。</w:t>
      </w:r>
    </w:p>
    <w:p>
      <w:pPr>
        <w:pStyle w:val="Heading1"/>
        <w:keepNext/>
        <w:spacing w:before="360" w:after="180" w:line="264" w:lineRule="auto"/>
      </w:pPr>
      <w:r>
        <w:rPr>
          <w:rFonts w:ascii="Calibri" w:hAnsi="Calibri" w:eastAsia="Microsoft YaHei"/>
          <w:b/>
          <w:i w:val="0"/>
          <w:color w:val="1F4E79"/>
          <w:sz w:val="32"/>
        </w:rPr>
        <w:t>11. 当前发现的缺口与维护规则</w:t>
      </w:r>
    </w:p>
    <w:tbl>
      <w:tblPr>
        <w:tblStyle w:val="TableGrid"/>
        <w:tblW w:type="dxa" w:w="9360"/>
        <w:jc w:val="left"/>
        <w:tblLayout w:type="fixed"/>
        <w:tblLook w:firstColumn="1" w:firstRow="1" w:lastColumn="0" w:lastRow="0" w:noHBand="0" w:noVBand="1" w:val="04A0"/>
        <w:tblInd w:w="120" w:type="dxa"/>
      </w:tblPr>
      <w:tblGrid>
        <w:gridCol w:w="2800"/>
        <w:gridCol w:w="3200"/>
        <w:gridCol w:w="3360"/>
      </w:tblGrid>
      <w:tr>
        <w:trPr>
          <w:tblHeader w:val="true"/>
          <w:cantSplit/>
        </w:trPr>
        <w:tc>
          <w:tcPr>
            <w:tcW w:type="dxa" w:w="28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发现</w:t>
            </w:r>
          </w:p>
        </w:tc>
        <w:tc>
          <w:tcPr>
            <w:tcW w:type="dxa" w:w="32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影响</w:t>
            </w:r>
          </w:p>
        </w:tc>
        <w:tc>
          <w:tcPr>
            <w:tcW w:type="dxa" w:w="33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建议</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configs/agent.default.json 仍有 REPLACE_WITH_PINNED_SHA。</w:t>
            </w:r>
          </w:p>
        </w:tc>
        <w:tc>
          <w:tcPr>
            <w:tcW w:type="dxa" w:w="32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Supervisor 生产启动/适配器构造会拒绝未固定摘要。</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部署流水线生成并写入完整 sha256:&lt;64hex&gt;，不要提交权重本体。</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OpenVLA 默认配置含零 SHA 占位。</w:t>
            </w:r>
          </w:p>
        </w:tc>
        <w:tc>
          <w:tcPr>
            <w:tcW w:type="dxa" w:w="32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只能作为 mock/模板，不能作为真实部署身份。</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替换 checkpoint、norm stats、dataset/config manifest 摘要。</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 real 运行需要显式 PI05_SERVICE_MODE=real。</w:t>
            </w:r>
          </w:p>
        </w:tc>
        <w:tc>
          <w:tcPr>
            <w:tcW w:type="dxa" w:w="32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未显式设置会启动失败，避免隐式 dummy。</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容器/启动编排中显式设置，并记录服务身份。</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π0.5 保留旧 WebSocket 兼容入口。</w:t>
            </w:r>
          </w:p>
        </w:tc>
        <w:tc>
          <w:tcPr>
            <w:tcW w:type="dxa" w:w="32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协议可能与冻结 HTTP 合同混用。</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real 模式统一使用 HTTP /v1/infer；WS 仅用于 dummy 本地兼容。</w:t>
            </w:r>
          </w:p>
        </w:tc>
      </w:tr>
      <w:tr>
        <w:trPr>
          <w:cantSplit/>
        </w:trPr>
        <w:tc>
          <w:tcPr>
            <w:tcW w:type="dxa" w:w="28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上层 D:\industrial-agent-vla 不是 Git 根。</w:t>
            </w:r>
          </w:p>
        </w:tc>
        <w:tc>
          <w:tcPr>
            <w:tcW w:type="dxa" w:w="32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在上层执行 git 命令会得到 not a repository。</w:t>
            </w:r>
          </w:p>
        </w:tc>
        <w:tc>
          <w:tcPr>
            <w:tcW w:type="dxa" w:w="3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进入 D:\industrial-agent-vla\industrial-agent-vla 操作仓库。</w:t>
            </w:r>
          </w:p>
        </w:tc>
      </w:tr>
      <w:tr>
        <w:trPr>
          <w:cantSplit/>
        </w:trPr>
        <w:tc>
          <w:tcPr>
            <w:tcW w:type="dxa" w:w="28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6"/>
              </w:rPr>
              <w:t>README/部分文件在终端显示为乱码。</w:t>
            </w:r>
          </w:p>
        </w:tc>
        <w:tc>
          <w:tcPr>
            <w:tcW w:type="dxa" w:w="32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通常是 PowerShell 输出编码问题，不代表文件内容损坏。</w:t>
            </w:r>
          </w:p>
        </w:tc>
        <w:tc>
          <w:tcPr>
            <w:tcW w:type="dxa" w:w="3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读取/写入文档时统一 UTF-8；不要以终端乱码直接修改源文件。</w:t>
            </w:r>
          </w:p>
        </w:tc>
      </w:tr>
    </w:tbl>
    <w:p>
      <w:pPr>
        <w:spacing w:after="40"/>
      </w:pPr>
    </w:p>
    <w:p>
      <w:pPr>
        <w:pStyle w:val="Heading1"/>
      </w:pPr>
      <w:r>
        <w:t>12. 当前 V2 人工工业场景（2026-08-18）</w:t>
      </w:r>
    </w:p>
    <w:p>
      <w:pPr/>
      <w:r>
        <w:t>当前场景标识为 single_bin_manual_industrial_v2；数值真值来自 simulation/configs/single_bin_scene_v2.json，派生约束与一致性检查来自 simulation/v2_scene_contract.py。</w:t>
      </w:r>
    </w:p>
    <w:p>
      <w:pPr>
        <w:pStyle w:val="ListBullet"/>
      </w:pPr>
      <w:r>
        <w:t>两台 Franka 分别位于 Arm_A=(-0.55,-0.30,0.75) 与 Arm_B=(0.50,-0.30,0.75)，显式 HOME 关节向量为 [0.01199996,-0.56927347,0.00000009,-2.81087494,0.00000669,3.03692675,0.741]，两指初值均为 0.04。</w:t>
      </w:r>
    </w:p>
    <w:p>
      <w:pPr>
        <w:pStyle w:val="ListBullet"/>
      </w:pPr>
      <w:r>
        <w:t>A/B/C/D 四区各放 2 件，共 P01-P04、N01-N02、W01-W02 八件；P03/P04 初始倒立。2×4 槽位固定为 S11=P01、S12=P03、S13=N01、S14=W01、S21=P02、S22=P04、S23=N02、S24=W02。</w:t>
      </w:r>
    </w:p>
    <w:p>
      <w:pPr>
        <w:pStyle w:val="ListBullet"/>
      </w:pPr>
      <w:r>
        <w:t>料箱尺寸为 0.30×0.22×0.09 m，空箱 0.5 kg、工件合计 0.5 kg、满载 1.0 kg；把手为 Carry_Handle / BIN_CARRY_TCP，净空 0.064 m，设计/硬质量上限分别为 1.2/1.5 kg。</w:t>
      </w:r>
    </w:p>
    <w:p>
      <w:pPr>
        <w:pStyle w:val="ListBullet"/>
      </w:pPr>
      <w:r>
        <w:t>CAM_A_TOP、CAM_HANDOFF、CAM_B_TOP 均为 1280×720、HFOV 82°；物理/控制/渲染频率分别为 120/60/30 Hz，有效采样 10 Hz。</w:t>
      </w:r>
    </w:p>
    <w:p>
      <w:pPr>
        <w:pStyle w:val="ListBullet"/>
      </w:pPr>
      <w:r>
        <w:t>采集前先运行 python simulation/v2_collection_preflight.py；Isaac Sim 验收按静态、HOME、IK、微动顺序执行；正式采集入口为 python simulation/run_v2_keyboard_collection.py --output-dir &lt;目录&gt;。</w:t>
      </w:r>
    </w:p>
    <w:p>
      <w:pPr/>
      <w:r>
        <w:t>目前只能据实声明 V2 静态合同与代码级检查状态；GUI、物理稳定性、IK、抓取和满载搬运必须在实际运行并保存证据后才能标记为通过。V1 的四工件、2×3 料箱和冻结自动指令不得机械替换为 V2 值。</w:t>
      </w:r>
    </w:p>
    <w:p>
      <w:pPr>
        <w:pStyle w:val="Heading1"/>
        <w:keepNext/>
        <w:spacing w:before="360" w:after="180" w:line="264" w:lineRule="auto"/>
      </w:pPr>
      <w:r>
        <w:t>13. 主要公共函数/方法参数</w:t>
      </w:r>
    </w:p>
    <w:p>
      <w:pPr>
        <w:spacing w:before="0" w:after="120" w:line="300" w:lineRule="auto"/>
      </w:pPr>
      <w:r>
        <w:rPr>
          <w:rFonts w:ascii="Calibri" w:hAnsi="Calibri" w:eastAsia="Microsoft YaHei"/>
          <w:b w:val="0"/>
          <w:i w:val="0"/>
          <w:color w:val="1F2937"/>
          <w:sz w:val="21"/>
        </w:rPr>
        <w:t>本节补充源码中的主要跨模块调用签名。Python 内部局部变量和仅供实现细节使用的私有函数参数不作为外部配置项；需要联调或替换实现时，优先关注以下公共边界。</w:t>
      </w:r>
    </w:p>
    <w:tbl>
      <w:tblPr>
        <w:tblStyle w:val="TableGrid"/>
        <w:tblW w:type="dxa" w:w="9360"/>
        <w:jc w:val="left"/>
        <w:tblLayout w:type="fixed"/>
        <w:tblLook w:firstColumn="1" w:firstRow="1" w:lastColumn="0" w:lastRow="0" w:noHBand="0" w:noVBand="1" w:val="04A0"/>
        <w:tblInd w:w="120" w:type="dxa"/>
      </w:tblPr>
      <w:tblGrid>
        <w:gridCol w:w="3600"/>
        <w:gridCol w:w="2700"/>
        <w:gridCol w:w="3060"/>
      </w:tblGrid>
      <w:tr>
        <w:trPr>
          <w:tblHeader w:val="true"/>
          <w:cantSplit/>
        </w:trPr>
        <w:tc>
          <w:tcPr>
            <w:tcW w:type="dxa" w:w="36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调用签名</w:t>
            </w:r>
          </w:p>
        </w:tc>
        <w:tc>
          <w:tcPr>
            <w:tcW w:type="dxa" w:w="27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文件</w:t>
            </w:r>
          </w:p>
        </w:tc>
        <w:tc>
          <w:tcPr>
            <w:tcW w:type="dxa" w:w="30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5"/>
              </w:rPr>
              <w:t>参数含义</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build_executors_from_config(config, transport_factory)</w:t>
            </w:r>
          </w:p>
        </w:tc>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src/industrial_agent/executor.py</w:t>
            </w:r>
          </w:p>
        </w:tc>
        <w:tc>
          <w:tcPr>
            <w:tcW w:type="dxa" w:w="30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config=agent 配置对象；transport_factory(service_name, base_url) 返回独立服务 transport；构造 π0.5/OpenVLA 适配器。</w:t>
            </w:r>
          </w:p>
        </w:tc>
      </w:tr>
      <w:tr>
        <w:trPr>
          <w:cantSplit/>
        </w:trPr>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build_perception_from_config(config, transport_factory)</w:t>
            </w:r>
          </w:p>
        </w:tc>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src/industrial_agent/perception.py</w:t>
            </w:r>
          </w:p>
        </w:tc>
        <w:tc>
          <w:tcPr>
            <w:tcW w:type="dxa" w:w="30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config=agent 配置对象；transport_factory(service_name, base_url) 返回 YOLO transport；绑定 checkpoint/class_map/config SHA。</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ProcessTransport.request(route, payload, timeout_ms)</w:t>
            </w:r>
          </w:p>
        </w:tc>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src/industrial_agent/executor.py</w:t>
            </w:r>
          </w:p>
        </w:tc>
        <w:tc>
          <w:tcPr>
            <w:tcW w:type="dxa" w:w="30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route 为 /health、/v1/infer 或 /v1/cancel；payload 为 JSON 对象；timeout_ms 为总 deadline。</w:t>
            </w:r>
          </w:p>
        </w:tc>
      </w:tr>
      <w:tr>
        <w:trPr>
          <w:cantSplit/>
        </w:trPr>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PerceptionTransport.request(route, payload, timeout_ms)</w:t>
            </w:r>
          </w:p>
        </w:tc>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src/industrial_agent/perception.py</w:t>
            </w:r>
          </w:p>
        </w:tc>
        <w:tc>
          <w:tcPr>
            <w:tcW w:type="dxa" w:w="30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与 VLA transport 同样的调用边界，但 route 主要为 /health、/v1/detect、/v1/cancel。</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Executor.health()</w:t>
            </w:r>
          </w:p>
        </w:tc>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src/industrial_agent/executor.py</w:t>
            </w:r>
          </w:p>
        </w:tc>
        <w:tc>
          <w:tcPr>
            <w:tcW w:type="dxa" w:w="30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无参数；向服务 /health 发起 1000 ms 健康校验。</w:t>
            </w:r>
          </w:p>
        </w:tc>
      </w:tr>
      <w:tr>
        <w:trPr>
          <w:cantSplit/>
        </w:trPr>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Executor.plan(task, observation, context)</w:t>
            </w:r>
          </w:p>
        </w:tc>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src/industrial_agent/executor.py</w:t>
            </w:r>
          </w:p>
        </w:tc>
        <w:tc>
          <w:tcPr>
            <w:tcW w:type="dxa" w:w="30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task=TaskSchema；observation=在线观测；context=trace/step/deadline/阶段上下文；返回统一 ActionChunk。</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Executor.cancel(task_id, reason)</w:t>
            </w:r>
          </w:p>
        </w:tc>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src/industrial_agent/executor.py</w:t>
            </w:r>
          </w:p>
        </w:tc>
        <w:tc>
          <w:tcPr>
            <w:tcW w:type="dxa" w:w="30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task_id 为任务标识；reason 为取消原因；best-effort 清理远端上下文。</w:t>
            </w:r>
          </w:p>
        </w:tc>
      </w:tr>
      <w:tr>
        <w:trPr>
          <w:cantSplit/>
        </w:trPr>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PerceptionAgent.detect(context)</w:t>
            </w:r>
          </w:p>
        </w:tc>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src/industrial_agent/perception.py</w:t>
            </w:r>
          </w:p>
        </w:tc>
        <w:tc>
          <w:tcPr>
            <w:tcW w:type="dxa" w:w="30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context 包含 run/task/subtask/step/observation/image 引用和 timeout；返回 DetectionPacket。</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PerceptionAgent.cancel(task_id, reason)</w:t>
            </w:r>
          </w:p>
        </w:tc>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src/industrial_agent/perception.py</w:t>
            </w:r>
          </w:p>
        </w:tc>
        <w:tc>
          <w:tcPr>
            <w:tcW w:type="dxa" w:w="30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按 task_id 取消 YOLO 检测；不改变 Supervisor 生命周期令牌。</w:t>
            </w:r>
          </w:p>
        </w:tc>
      </w:tr>
      <w:tr>
        <w:trPr>
          <w:cantSplit/>
        </w:trPr>
        <w:tc>
          <w:tcPr>
            <w:tcW w:type="dxa" w:w="3600"/>
            <w:shd w:fill="F2F4F7"/>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YoloService.health()/detect(payload)/cancel(payload)</w:t>
            </w:r>
          </w:p>
        </w:tc>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services/yolo/src/yolo_service/routes.py</w:t>
            </w:r>
          </w:p>
        </w:tc>
        <w:tc>
          <w:tcPr>
            <w:tcW w:type="dxa" w:w="30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服务内部 route 分发；detect/cancel 参数为 JSON payload，返回 (HTTP 状态码, JSON body)。</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OpenVLAOFTService.health()/infer(payload)/cancel(payload)</w:t>
            </w:r>
          </w:p>
        </w:tc>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services/openvla_oft/src/openvla_oft/routes.py</w:t>
            </w:r>
          </w:p>
        </w:tc>
        <w:tc>
          <w:tcPr>
            <w:tcW w:type="dxa" w:w="30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infer 严格校验 S02、CAS、SHA 和 7D state；返回 (HTTP 状态码, JSON body)。</w:t>
            </w:r>
          </w:p>
        </w:tc>
      </w:tr>
      <w:tr>
        <w:trPr>
          <w:cantSplit/>
        </w:trPr>
        <w:tc>
          <w:tcPr>
            <w:tcW w:type="dxa" w:w="36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IndustrialAgent.from_config(config, ...)</w:t>
            </w:r>
          </w:p>
        </w:tc>
        <w:tc>
          <w:tcPr>
            <w:tcW w:type="dxa" w:w="27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src/industrial_agent/__init__.py; supervisor_main.py</w:t>
            </w:r>
          </w:p>
        </w:tc>
        <w:tc>
          <w:tcPr>
            <w:tcW w:type="dxa" w:w="30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以配置构造 Supervisor；具体可选依赖和 transport 工厂以源码签名为准。</w:t>
            </w:r>
          </w:p>
        </w:tc>
      </w:tr>
      <w:tr>
        <w:trPr>
          <w:cantSplit/>
        </w:trPr>
        <w:tc>
          <w:tcPr>
            <w:tcW w:type="dxa" w:w="3600"/>
            <w:tcMar>
              <w:top w:w="80" w:type="dxa"/>
              <w:start w:w="120" w:type="dxa"/>
              <w:bottom w:w="80" w:type="dxa"/>
              <w:end w:w="120" w:type="dxa"/>
            </w:tcMar>
            <w:vAlign w:val="center"/>
          </w:tcPr>
          <w:p>
            <w:pPr>
              <w:spacing w:before="0" w:after="0" w:line="240" w:lineRule="auto"/>
            </w:pPr>
            <w:r>
              <w:rPr>
                <w:rFonts w:ascii="Consolas" w:hAnsi="Consolas" w:eastAsia="Microsoft YaHei"/>
                <w:b w:val="0"/>
                <w:i w:val="0"/>
                <w:color w:val="1F2937"/>
                <w:sz w:val="15"/>
              </w:rPr>
              <w:t>CanonicalEpisodeReader / CanonicalPi05StateMapper</w:t>
            </w:r>
          </w:p>
        </w:tc>
        <w:tc>
          <w:tcPr>
            <w:tcW w:type="dxa" w:w="27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src/industrial_agent/data/; scripts/pi05/canonical_v1.py</w:t>
            </w:r>
          </w:p>
        </w:tc>
        <w:tc>
          <w:tcPr>
            <w:tcW w:type="dxa" w:w="30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5"/>
              </w:rPr>
              <w:t>按 canonical episode、physics_tick、Split Registry 和 provenance 读取/映射训练数据。</w:t>
            </w:r>
          </w:p>
        </w:tc>
      </w:tr>
    </w:tbl>
    <w:p>
      <w:pPr>
        <w:spacing w:after="40"/>
      </w:pPr>
    </w:p>
    <w:p>
      <w:pPr>
        <w:pStyle w:val="Heading1"/>
        <w:keepNext/>
        <w:spacing w:before="360" w:after="180" w:line="264" w:lineRule="auto"/>
      </w:pPr>
      <w:r>
        <w:rPr>
          <w:rFonts w:ascii="Calibri" w:hAnsi="Calibri" w:eastAsia="Microsoft YaHei"/>
          <w:b/>
          <w:i w:val="0"/>
          <w:color w:val="1F4E79"/>
          <w:sz w:val="32"/>
        </w:rPr>
        <w:t>附录 A：最常用路径速查</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要找的内容</w:t>
            </w:r>
          </w:p>
        </w:tc>
        <w:tc>
          <w:tcPr>
            <w:tcW w:type="dxa" w:w="6360"/>
            <w:shd w:fill="1F4E79"/>
            <w:tcMar>
              <w:top w:w="80" w:type="dxa"/>
              <w:start w:w="120" w:type="dxa"/>
              <w:bottom w:w="80" w:type="dxa"/>
              <w:end w:w="120" w:type="dxa"/>
            </w:tcMar>
            <w:vAlign w:val="center"/>
          </w:tcPr>
          <w:p>
            <w:pPr>
              <w:spacing w:before="0" w:after="0" w:line="240" w:lineRule="auto"/>
              <w:jc w:val="left"/>
            </w:pPr>
            <w:r>
              <w:rPr>
                <w:rFonts w:ascii="Calibri" w:hAnsi="Calibri" w:eastAsia="Microsoft YaHei"/>
                <w:b/>
                <w:i w:val="0"/>
                <w:color w:val="FFFFFF"/>
                <w:sz w:val="16"/>
              </w:rPr>
              <w:t>直接打开</w:t>
            </w:r>
          </w:p>
        </w:tc>
      </w:tr>
      <w:tr>
        <w:trPr>
          <w:cantSplit/>
        </w:trPr>
        <w:tc>
          <w:tcPr>
            <w:tcW w:type="dxa" w:w="3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Supervisor 主入口</w:t>
            </w:r>
          </w:p>
        </w:tc>
        <w:tc>
          <w:tcPr>
            <w:tcW w:type="dxa" w:w="6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src/industrial_agent/supervisor_main.py</w:t>
            </w:r>
          </w:p>
        </w:tc>
      </w:tr>
      <w:tr>
        <w:trPr>
          <w:cantSplit/>
        </w:trPr>
        <w:tc>
          <w:tcPr>
            <w:tcW w:type="dxa" w:w="3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固定阶段和令牌</w:t>
            </w:r>
          </w:p>
        </w:tc>
        <w:tc>
          <w:tcPr>
            <w:tcW w:type="dxa" w:w="6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src/industrial_agent/lifecycle.py; src/industrial_agent/orchestrator.py</w:t>
            </w:r>
          </w:p>
        </w:tc>
      </w:tr>
      <w:tr>
        <w:trPr>
          <w:cantSplit/>
        </w:trPr>
        <w:tc>
          <w:tcPr>
            <w:tcW w:type="dxa" w:w="3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统一动作合同</w:t>
            </w:r>
          </w:p>
        </w:tc>
        <w:tc>
          <w:tcPr>
            <w:tcW w:type="dxa" w:w="6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schemas/action-chunk.schema.json; services/openvla_oft/configs/action_contract.template.json</w:t>
            </w:r>
          </w:p>
        </w:tc>
      </w:tr>
      <w:tr>
        <w:trPr>
          <w:cantSplit/>
        </w:trPr>
        <w:tc>
          <w:tcPr>
            <w:tcW w:type="dxa" w:w="3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VLA API</w:t>
            </w:r>
          </w:p>
        </w:tc>
        <w:tc>
          <w:tcPr>
            <w:tcW w:type="dxa" w:w="6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schemas/executor-infer.schema.json; services/openvla_oft/src/openvla_oft/app.py; services/pi05/src/openpi_service.py</w:t>
            </w:r>
          </w:p>
        </w:tc>
      </w:tr>
      <w:tr>
        <w:trPr>
          <w:cantSplit/>
        </w:trPr>
        <w:tc>
          <w:tcPr>
            <w:tcW w:type="dxa" w:w="3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YOLO API</w:t>
            </w:r>
          </w:p>
        </w:tc>
        <w:tc>
          <w:tcPr>
            <w:tcW w:type="dxa" w:w="6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schemas/perception-detect.schema.json; services/yolo/src/yolo_service/app.py</w:t>
            </w:r>
          </w:p>
        </w:tc>
      </w:tr>
      <w:tr>
        <w:trPr>
          <w:cantSplit/>
        </w:trPr>
        <w:tc>
          <w:tcPr>
            <w:tcW w:type="dxa" w:w="3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默认 Supervisor 配置</w:t>
            </w:r>
          </w:p>
        </w:tc>
        <w:tc>
          <w:tcPr>
            <w:tcW w:type="dxa" w:w="6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configs/agent.default.json</w:t>
            </w:r>
          </w:p>
        </w:tc>
      </w:tr>
      <w:tr>
        <w:trPr>
          <w:cantSplit/>
        </w:trPr>
        <w:tc>
          <w:tcPr>
            <w:tcW w:type="dxa" w:w="3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任务输入示例</w:t>
            </w:r>
          </w:p>
        </w:tc>
        <w:tc>
          <w:tcPr>
            <w:tcW w:type="dxa" w:w="6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configs/task.single_bin.example.json</w:t>
            </w:r>
          </w:p>
        </w:tc>
      </w:tr>
      <w:tr>
        <w:trPr>
          <w:cantSplit/>
        </w:trPr>
        <w:tc>
          <w:tcPr>
            <w:tcW w:type="dxa" w:w="3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共享图像 CAS</w:t>
            </w:r>
          </w:p>
        </w:tc>
        <w:tc>
          <w:tcPr>
            <w:tcW w:type="dxa" w:w="6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src/industrial_agent/image_cas.py; src/industrial_agent/service_images.py</w:t>
            </w:r>
          </w:p>
        </w:tc>
      </w:tr>
      <w:tr>
        <w:trPr>
          <w:cantSplit/>
        </w:trPr>
        <w:tc>
          <w:tcPr>
            <w:tcW w:type="dxa" w:w="300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跨服务总契约</w:t>
            </w:r>
          </w:p>
        </w:tc>
        <w:tc>
          <w:tcPr>
            <w:tcW w:type="dxa" w:w="6360"/>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docs/architecture/interface-contracts.md</w:t>
            </w:r>
          </w:p>
        </w:tc>
      </w:tr>
      <w:tr>
        <w:trPr>
          <w:cantSplit/>
        </w:trPr>
        <w:tc>
          <w:tcPr>
            <w:tcW w:type="dxa" w:w="300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文档总入口</w:t>
            </w:r>
          </w:p>
        </w:tc>
        <w:tc>
          <w:tcPr>
            <w:tcW w:type="dxa" w:w="6360"/>
            <w:shd w:fill="F2F4F7"/>
            <w:tcMar>
              <w:top w:w="80" w:type="dxa"/>
              <w:start w:w="120" w:type="dxa"/>
              <w:bottom w:w="80" w:type="dxa"/>
              <w:end w:w="120" w:type="dxa"/>
            </w:tcMar>
            <w:vAlign w:val="center"/>
          </w:tcPr>
          <w:p>
            <w:pPr>
              <w:spacing w:before="0" w:after="0" w:line="240" w:lineRule="auto"/>
            </w:pPr>
            <w:r>
              <w:rPr>
                <w:rFonts w:ascii="Calibri" w:hAnsi="Calibri" w:eastAsia="Microsoft YaHei"/>
                <w:b w:val="0"/>
                <w:i w:val="0"/>
                <w:color w:val="1F2937"/>
                <w:sz w:val="16"/>
              </w:rPr>
              <w:t>docs/README.md</w:t>
            </w:r>
          </w:p>
        </w:tc>
      </w:tr>
    </w:tbl>
    <w:p>
      <w:pPr>
        <w:spacing w:after="40"/>
      </w:pPr>
    </w:p>
    <w:sectPr w:rsidR="00FC693F" w:rsidRPr="0006063C" w:rsidSect="00034616">
      <w:footerReference w:type="default" r:id="rId9"/>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B6770"/>
        <w:sz w:val="18"/>
      </w:rPr>
      <w:t xml:space="preserve">源代码参数与文档说明 | </w:t>
    </w:r>
    <w:r>
      <w:rPr>
        <w:rFonts w:ascii="Calibri" w:hAnsi="Calibri" w:eastAsia="Microsoft YaHei"/>
        <w:b w:val="0"/>
        <w:i w:val="0"/>
        <w:color w:val="5B677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15B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源代码参数、接口 API 与文档职责说明</dc:title>
  <dc:subject>industrial-agent-vla source code reference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