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28090"/>
          <w:sz w:val="20"/>
          <w:szCs w:val="20"/>
        </w:rPr>
        <w:t xml:space="preserve">ANALYTICS PORTFOLIO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021E2B"/>
          <w:sz w:val="44"/>
          <w:szCs w:val="44"/>
        </w:rPr>
        <w:t xml:space="preserve">Which Content &amp; Timing Drive Engagement?</w:t>
      </w:r>
    </w:p>
    <w:p>
      <w:pPr>
        <w:spacing w:after="400"/>
      </w:pPr>
      <w:r>
        <w:rPr>
          <w:i/>
          <w:iCs/>
          <w:color w:val="5C7A80"/>
          <w:sz w:val="22"/>
          <w:szCs w:val="22"/>
        </w:rPr>
        <w:t xml:space="preserve">A Social Media Analytics Project  |  Rupak  |  VertexMind Internship</w:t>
      </w:r>
    </w:p>
    <w:p>
      <w:pPr>
        <w:pStyle w:val="Heading1"/>
      </w:pPr>
      <w:r>
        <w:t xml:space="preserve">1. The Problem</w:t>
      </w:r>
    </w:p>
    <w:p>
      <w:pPr>
        <w:spacing w:after="160"/>
      </w:pPr>
      <w:r>
        <w:t xml:space="preserve">Social media teams often post on instinct rather than evidence — publishing whenever content is ready, without a clear view of which content types or timing windows actually drive engagement. This project set out to answer a specific business question with data:</w:t>
      </w:r>
    </w:p>
    <w:p>
      <w:pPr>
        <w:spacing w:after="300" w:before="100"/>
      </w:pPr>
      <w:r>
        <w:rPr>
          <w:i/>
          <w:iCs/>
          <w:color w:val="028090"/>
          <w:sz w:val="24"/>
          <w:szCs w:val="24"/>
        </w:rPr>
        <w:t xml:space="preserve">“Which content type and posting time drive the highest engagement rate, and how should we adjust posting strategy accordingly?”</w:t>
      </w:r>
    </w:p>
    <w:p>
      <w:pPr>
        <w:spacing w:after="160"/>
      </w:pPr>
      <w:r>
        <w:t xml:space="preserve">Answering this required moving beyond “what feels right” to a quantified, evidence-based posting strategy that a marketing team could act on immediately.</w:t>
      </w:r>
    </w:p>
    <w:p>
      <w:pPr>
        <w:pStyle w:val="Heading1"/>
      </w:pPr>
      <w:r>
        <w:t xml:space="preserve">2. Data &amp; Method</w:t>
      </w:r>
    </w:p>
    <w:p>
      <w:pPr>
        <w:pStyle w:val="Heading2"/>
      </w:pPr>
      <w:r>
        <w:t xml:space="preserve">Dataset</w:t>
      </w:r>
    </w:p>
    <w:p>
      <w:pPr>
        <w:spacing w:after="160"/>
      </w:pPr>
      <w:r>
        <w:t xml:space="preserve">5,000 social media posts spanning six platforms — Instagram, TikTok, YouTube, Twitter, Facebook, and LinkedIn — collected over 2024–2025. Each record includes content category, platform, posting hour and day, sentiment, follower count, and resulting engagement metrics (likes, comments, shares, saves, and a calculated Engagement_Rate).</w:t>
      </w:r>
    </w:p>
    <w:p>
      <w:pPr>
        <w:pStyle w:val="Heading2"/>
      </w:pPr>
      <w:r>
        <w:t xml:space="preserve">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— data cleaning, aggregation, and group-by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/ Google Sheets — pivot tables, formula-driven summaries, and charting</w:t>
      </w:r>
    </w:p>
    <w:p>
      <w:pPr>
        <w:pStyle w:val="Heading2"/>
      </w:pPr>
      <w:r>
        <w:t xml:space="preserve">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Validated the dataset: confirmed 5,000 complete rows with no missing engagement values or duplicate post 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Grouped average engagement rate by Category, Platform, Hour of Day, Day of Week, and Sentiment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Cross-tabulated Category × Hour to verify the timing effect held within top-performing categories specifically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pivot tables and bar/line charts to visualize each relationship clearly</w:t>
      </w:r>
    </w:p>
    <w:p>
      <w:pPr>
        <w:pStyle w:val="Heading1"/>
      </w:pPr>
      <w:r>
        <w:t xml:space="preserve">3. Key Findings</w:t>
      </w:r>
    </w:p>
    <w:p>
      <w:pPr>
        <w:pStyle w:val="Heading2"/>
      </w:pPr>
      <w:r>
        <w:t xml:space="preserve">Finding 1 — Content category drives nearly 2x variation in engagement</w:t>
      </w:r>
    </w:p>
    <w:p>
      <w:pPr>
        <w:spacing w:after="160"/>
      </w:pPr>
      <w:r>
        <w:t xml:space="preserve">Entertainment (6.84%) and Gaming (6.29%) posts earned close to double the engagement rate of Business (3.21%) and Education (3.74%) content.</w:t>
      </w:r>
    </w:p>
    <w:p>
      <w:pPr>
        <w:pStyle w:val="Heading2"/>
      </w:pPr>
      <w:r>
        <w:t xml:space="preserve">Finding 2 — Evening and weekend posting outperforms</w:t>
      </w:r>
    </w:p>
    <w:p>
      <w:pPr>
        <w:spacing w:after="160"/>
      </w:pPr>
      <w:r>
        <w:t xml:space="preserve">The top-performing hours were 9 PM (7.58%), 8 PM (7.52%), 6 PM (7.47%), and 7 PM (7.42%), forming a clear evening peak. By day, Saturday (5.75%) and Friday (5.42%) led, while Monday (4.10%) and Tuesday (4.29%) lagged.</w:t>
      </w:r>
    </w:p>
    <w:p>
      <w:pPr>
        <w:pStyle w:val="Heading2"/>
      </w:pPr>
      <w:r>
        <w:t xml:space="preserve">Finding 3 — Platform choice matters as much as content</w:t>
      </w:r>
    </w:p>
    <w:p>
      <w:pPr>
        <w:spacing w:after="160"/>
      </w:pPr>
      <w:r>
        <w:t xml:space="preserve">TikTok (7.26%) and Instagram (6.09%) significantly outperformed LinkedIn (3.02%) and Facebook (3.61%), even though average follower counts were broadly similar across platforms — indicating the gap is driven by platform dynamics, not audience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02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02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Overall average engagement rate (5,000 posts)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4.91%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Top category — Entertainment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6.84%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Lowest category — Business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96167"/>
              </w:rPr>
              <w:t xml:space="preserve">3.21%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Top platform — TikTok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7.26%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Top posting hour — 9 PM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7.58%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Top posting day — Saturday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5.75%</w:t>
            </w:r>
          </w:p>
        </w:tc>
      </w:tr>
      <w:tr>
        <w:tc>
          <w:tcPr>
            <w:tcW w:type="dxa" w:w="624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Positive vs. negative sentiment gap</w:t>
            </w:r>
          </w:p>
        </w:tc>
        <w:tc>
          <w:tcPr>
            <w:tcW w:type="dxa" w:w="3120"/>
            <w:tcBorders>
              <w:top w:val="single" w:color="DCEAE8" w:sz="4"/>
              <w:left w:val="single" w:color="DCEAE8" w:sz="4"/>
              <w:bottom w:val="single" w:color="DCEAE8" w:sz="4"/>
              <w:right w:val="single" w:color="DCEAE8" w:sz="4"/>
            </w:tcBorders>
            <w:shd w:fill="EAF7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28090"/>
              </w:rPr>
              <w:t xml:space="preserve">+1.63 pts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 content mix toward Entertainment, Gaming, and Food — these categories average 5.8–6.8% engagement vs. 3.2–3.7% for Business/Education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flagship posts for 6–9 PM on Friday or Saturday — this window combines the strongest hourly and daily effects found in the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 platform investment toward TikTok and Instagram, which outperform LinkedIn by more than 2x at similar follower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 positive-sentiment, media-rich posts as a baseline lever — positive sentiment posts outperformed negative-sentiment posts by 1.63 percentage points.</w:t>
      </w:r>
    </w:p>
    <w:p>
      <w:pPr>
        <w:pStyle w:val="Heading1"/>
      </w:pPr>
      <w:r>
        <w:t xml:space="preserve">5. Limitations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Findings are correlational, not causal — a controlled A/B test is needed to confirm timing/category effects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 rate alone doesn’t capture downstream business outcomes like conversions or sentiment of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Category × Hour combinations have small sample sizes (n&lt;15) and should be treated as directional, not conclusive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next step: run a 2-week A/B test posting Entertainment/Gaming content at 7 PM on Fridays against the current schedule, and measure the engagement lift directly</w:t>
      </w:r>
    </w:p>
    <w:p>
      <w:pPr>
        <w:pStyle w:val="Heading1"/>
      </w:pPr>
      <w:r>
        <w:t xml:space="preserve">6. Deliverables</w:t>
      </w:r>
    </w:p>
    <w:p>
      <w:pPr>
        <w:spacing w:after="160"/>
      </w:pPr>
      <w:r>
        <w:t xml:space="preserve">This portfolio is accompanied by two supporting files: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social_media_analytics.xlsx — full dataset, data cleaning log, formula-driven pivot analysis, and charts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social_media_strategy_deck.pptx — 7-slide presentation summarizing findings and recommendations for stakeholders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color w:val="021E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2026-06-20T06:32:34.285Z</dcterms:created>
  <dcterms:modified xsi:type="dcterms:W3CDTF">2026-06-20T06:32:34.286Z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