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2A9D8F"/>
          <w:spacing w:val="60"/>
          <w:sz w:val="18"/>
          <w:szCs w:val="18"/>
        </w:rPr>
        <w:t xml:space="preserve">DATA SCIENCE PROJECT REPORT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Customer Segmentation using RFM and K-Means</w:t>
      </w:r>
    </w:p>
    <w:p>
      <w:pPr>
        <w:pBdr>
          <w:bottom w:val="single" w:color="2A9D8F" w:sz="12" w:space="6"/>
        </w:pBdr>
        <w:spacing w:after="160"/>
      </w:pPr>
      <w:r>
        <w:rPr>
          <w:rFonts w:ascii="Calibri" w:cs="Calibri" w:eastAsia="Calibri" w:hAnsi="Calibri"/>
          <w:color w:val="5A6472"/>
          <w:sz w:val="22"/>
          <w:szCs w:val="22"/>
        </w:rPr>
        <w:t xml:space="preserve">From raw order data to actionable customer segments, a predictive model and a scoring application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Rupjit Das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7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DataCo Supply Chain dataset: 180,519 order-item rows aggregated to 20,652 customers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Techniques</w:t>
            </w:r>
          </w:p>
        </w:tc>
        <w:tc>
          <w:tcPr>
            <w:tcW w:type="dxa" w:w="7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RFM feature engineering, EDA, K-Means clustering, Random Forest classification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7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(Pandas, scikit-learn, Matplotlib, Seaborn), FastAPI, Streamlit</w:t>
            </w:r>
          </w:p>
        </w:tc>
      </w:tr>
    </w:tbl>
    <w:p>
      <w:pPr>
        <w:pStyle w:val="Heading1"/>
        <w:keepNext/>
        <w:pBdr>
          <w:bottom w:val="single" w:color="2A9D8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Order-level data was converted into a customer-level dataset and clustered into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five segments</w:t>
      </w:r>
      <w:r>
        <w:rPr>
          <w:rFonts w:ascii="Calibri" w:cs="Calibri" w:eastAsia="Calibri" w:hAnsi="Calibri"/>
          <w:sz w:val="21"/>
          <w:szCs w:val="21"/>
        </w:rPr>
        <w:t xml:space="preserve"> across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20,652 customers</w:t>
      </w:r>
      <w:r>
        <w:rPr>
          <w:rFonts w:ascii="Calibri" w:cs="Calibri" w:eastAsia="Calibri" w:hAnsi="Calibri"/>
          <w:sz w:val="21"/>
          <w:szCs w:val="21"/>
        </w:rPr>
        <w:t xml:space="preserve">. A classifier reproduces the segments so new customers can be scored instantly through an API and web app.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Profit is concentrated.</w:t>
      </w:r>
      <w:r>
        <w:rPr>
          <w:rFonts w:ascii="Calibri" w:cs="Calibri" w:eastAsia="Calibri" w:hAnsi="Calibri"/>
          <w:sz w:val="21"/>
          <w:szCs w:val="21"/>
        </w:rPr>
        <w:t xml:space="preserve"> High-Value Profitable customers are 19.5% of the base but generate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71.0% of profit</w:t>
      </w:r>
      <w:r>
        <w:rPr>
          <w:rFonts w:ascii="Calibri" w:cs="Calibri" w:eastAsia="Calibri" w:hAnsi="Calibri"/>
          <w:sz w:val="21"/>
          <w:szCs w:val="21"/>
        </w:rPr>
        <w:t xml:space="preserve"> at a 16.7% margin.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Margin is the biggest opportunity.</w:t>
      </w:r>
      <w:r>
        <w:rPr>
          <w:rFonts w:ascii="Calibri" w:cs="Calibri" w:eastAsia="Calibri" w:hAnsi="Calibri"/>
          <w:sz w:val="21"/>
          <w:szCs w:val="21"/>
        </w:rPr>
        <w:t xml:space="preserve"> Regular Mid-Value customers (27.2% of customers, 37.3% of revenue) earn only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3.2% margin</w:t>
      </w:r>
      <w:r>
        <w:rPr>
          <w:rFonts w:ascii="Calibri" w:cs="Calibri" w:eastAsia="Calibri" w:hAnsi="Calibri"/>
          <w:sz w:val="21"/>
          <w:szCs w:val="21"/>
        </w:rPr>
        <w:t xml:space="preserve">; lifting it to the company average (10.8%) would add about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1.04M profit</w:t>
      </w:r>
      <w:r>
        <w:rPr>
          <w:rFonts w:ascii="Calibri" w:cs="Calibri" w:eastAsia="Calibri" w:hAnsi="Calibri"/>
          <w:sz w:val="21"/>
          <w:szCs w:val="21"/>
        </w:rPr>
        <w:t xml:space="preserve"> (~26% of the total).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Segments are stable and predictable.</w:t>
      </w:r>
      <w:r>
        <w:rPr>
          <w:rFonts w:ascii="Calibri" w:cs="Calibri" w:eastAsia="Calibri" w:hAnsi="Calibri"/>
          <w:sz w:val="21"/>
          <w:szCs w:val="21"/>
        </w:rPr>
        <w:t xml:space="preserve"> Re-clustering with other seeds gives an adjusted Rand index of 0.998 or higher, and a Random Forest reproduces the segments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98.4% accuracy</w:t>
      </w:r>
      <w:r>
        <w:rPr>
          <w:rFonts w:ascii="Calibri" w:cs="Calibri" w:eastAsia="Calibri" w:hAnsi="Calibri"/>
          <w:sz w:val="21"/>
          <w:szCs w:val="21"/>
        </w:rPr>
        <w:t xml:space="preserve"> (macro F1 0.98).</w:t>
      </w:r>
    </w:p>
    <w:p>
      <w:pPr>
        <w:pStyle w:val="Heading1"/>
        <w:keepNext/>
        <w:pBdr>
          <w:bottom w:val="single" w:color="2A9D8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Data and Features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Eight columns of the order data were used and aggregated to one row per customer (joined explicitly on Customer Id; no duplicates or missing values). Six features feed the model; average order value was calculated but excluded because it is a ratio of Monetary and Frequency.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138"/>
      </w:tblGrid>
      <w:tr>
        <w:trPr>
          <w:cantSplit/>
          <w:tblHeader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Aggregation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Recency</w:t>
            </w:r>
          </w:p>
        </w:tc>
        <w:tc>
          <w:tcPr>
            <w:tcW w:type="dxa" w:w="4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Days from last order to snapshot date (latest order + 1 day)</w:t>
            </w:r>
          </w:p>
        </w:tc>
        <w:tc>
          <w:tcPr>
            <w:tcW w:type="dxa" w:w="3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snapshot − max(order date)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Frequency</w:t>
            </w:r>
          </w:p>
        </w:tc>
        <w:tc>
          <w:tcPr>
            <w:tcW w:type="dxa" w:w="4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Number of distinct orders</w:t>
            </w:r>
          </w:p>
        </w:tc>
        <w:tc>
          <w:tcPr>
            <w:tcW w:type="dxa" w:w="3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nunique(Order Id)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Monetary</w:t>
            </w:r>
          </w:p>
        </w:tc>
        <w:tc>
          <w:tcPr>
            <w:tcW w:type="dxa" w:w="4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sales value</w:t>
            </w:r>
          </w:p>
        </w:tc>
        <w:tc>
          <w:tcPr>
            <w:tcW w:type="dxa" w:w="3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sum(Sales)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Avg. discount rate</w:t>
            </w:r>
          </w:p>
        </w:tc>
        <w:tc>
          <w:tcPr>
            <w:tcW w:type="dxa" w:w="4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Average item discount rate</w:t>
            </w:r>
          </w:p>
        </w:tc>
        <w:tc>
          <w:tcPr>
            <w:tcW w:type="dxa" w:w="3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mean(Discount Rate)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Product categories</w:t>
            </w:r>
          </w:p>
        </w:tc>
        <w:tc>
          <w:tcPr>
            <w:tcW w:type="dxa" w:w="4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Distinct departments purchased from</w:t>
            </w:r>
          </w:p>
        </w:tc>
        <w:tc>
          <w:tcPr>
            <w:tcW w:type="dxa" w:w="3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nunique(Department)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Total profit</w:t>
            </w:r>
          </w:p>
        </w:tc>
        <w:tc>
          <w:tcPr>
            <w:tcW w:type="dxa" w:w="4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Profit from the customer (can be negative)</w:t>
            </w:r>
          </w:p>
        </w:tc>
        <w:tc>
          <w:tcPr>
            <w:tcW w:type="dxa" w:w="3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sum(Profit per Order)</w:t>
            </w:r>
          </w:p>
        </w:tc>
      </w:tr>
    </w:tbl>
    <w:p>
      <w:pPr>
        <w:pStyle w:val="Heading1"/>
        <w:keepNext/>
        <w:pBdr>
          <w:bottom w:val="single" w:color="2A9D8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Exploratory Analysis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dist.png" descr="dist.png" title="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Figure 1. Feature distributions (dashed line = median)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43% of customers bought once</w:t>
      </w:r>
      <w:r>
        <w:rPr>
          <w:rFonts w:ascii="Calibri" w:cs="Calibri" w:eastAsia="Calibri" w:hAnsi="Calibri"/>
          <w:sz w:val="21"/>
          <w:szCs w:val="21"/>
        </w:rPr>
        <w:t xml:space="preserve">, and the top 20% by spend generate about 50% of revenue.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Recency is right-skewed</w:t>
      </w:r>
      <w:r>
        <w:rPr>
          <w:rFonts w:ascii="Calibri" w:cs="Calibri" w:eastAsia="Calibri" w:hAnsi="Calibri"/>
          <w:sz w:val="21"/>
          <w:szCs w:val="21"/>
        </w:rPr>
        <w:t xml:space="preserve"> (median 160 days, mean 221);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19.7% of customers are loss-making</w:t>
      </w:r>
      <w:r>
        <w:rPr>
          <w:rFonts w:ascii="Calibri" w:cs="Calibri" w:eastAsia="Calibri" w:hAnsi="Calibri"/>
          <w:sz w:val="21"/>
          <w:szCs w:val="21"/>
        </w:rPr>
        <w:t xml:space="preserve">, with profit ranging from −3,869 to +2,442.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Revenue is only a moderate proxy for profit</w:t>
      </w:r>
      <w:r>
        <w:rPr>
          <w:rFonts w:ascii="Calibri" w:cs="Calibri" w:eastAsia="Calibri" w:hAnsi="Calibri"/>
          <w:sz w:val="21"/>
          <w:szCs w:val="21"/>
        </w:rPr>
        <w:t xml:space="preserve"> (r = 0.46), so profit is clustered as its own feature. Frequency and Monetary overlap strongly (r = 0.93), and discount rate is uncorrelated with everything else (|r| ≤ 0.01).</w:t>
      </w:r>
    </w:p>
    <w:p>
      <w:pPr>
        <w:pStyle w:val="Heading1"/>
        <w:keepNext/>
        <w:pBdr>
          <w:bottom w:val="single" w:color="2A9D8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Segmentation Model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Features were standardised (StandardScaler) and clustered with K-Means (n_init = 10, random_state = 42). The elbow is gradual and the silhouette score is 0.367 at k = 5, similar to neighbouring values, so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 = 5</w:t>
      </w:r>
      <w:r>
        <w:rPr>
          <w:rFonts w:ascii="Calibri" w:cs="Calibri" w:eastAsia="Calibri" w:hAnsi="Calibri"/>
          <w:sz w:val="21"/>
          <w:szCs w:val="21"/>
        </w:rPr>
        <w:t xml:space="preserve"> was chosen because fewer clusters could not separate profit from spend and each of the five segments leads to a distinct action. A silhouette near 0.37 indicates moderate separation: groups are real but their edges overlap.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685925"/>
            <wp:effectExtent t="0" r="0" b="0" l="0"/>
            <wp:docPr id="1" name="k.png" descr="k.png" title="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Figure 2. Elbow and silhouette scores for k = 2 to 10 (k = 5 circled)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866900"/>
            <wp:effectExtent t="0" r="0" b="0" l="0"/>
            <wp:docPr id="1" name="profile.png" descr="profile.png" title="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Figure 3. Average standardised feature values per segment (red = above average, blue = below)</w:t>
      </w:r>
    </w:p>
    <w:p>
      <w:pPr>
        <w:pStyle w:val="Heading1"/>
        <w:keepNext/>
        <w:pBdr>
          <w:bottom w:val="single" w:color="2A9D8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Segment Results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Total revenue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36.78M</w:t>
      </w:r>
      <w:r>
        <w:rPr>
          <w:rFonts w:ascii="Calibri" w:cs="Calibri" w:eastAsia="Calibri" w:hAnsi="Calibri"/>
          <w:sz w:val="21"/>
          <w:szCs w:val="21"/>
        </w:rPr>
        <w:t xml:space="preserve"> and total profit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3.97M</w:t>
      </w:r>
      <w:r>
        <w:rPr>
          <w:rFonts w:ascii="Calibri" w:cs="Calibri" w:eastAsia="Calibri" w:hAnsi="Calibri"/>
          <w:sz w:val="21"/>
          <w:szCs w:val="21"/>
        </w:rPr>
        <w:t xml:space="preserve"> (overall margin 10.8%).</w:t>
      </w:r>
    </w:p>
    <w:tbl>
      <w:tblPr>
        <w:tblW w:type="dxa" w:w="85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780"/>
        <w:gridCol w:w="1000"/>
        <w:gridCol w:w="760"/>
        <w:gridCol w:w="800"/>
        <w:gridCol w:w="800"/>
        <w:gridCol w:w="1298"/>
      </w:tblGrid>
      <w:tr>
        <w:trPr>
          <w:cantSplit/>
          <w:tblHeader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7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cust.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 (M)</w:t>
            </w:r>
          </w:p>
        </w:tc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rev.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profit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29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Loss-making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High-Value Profitable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4,021</w:t>
            </w:r>
          </w:p>
        </w:tc>
        <w:tc>
          <w:tcPr>
            <w:tcW w:type="dxa" w:w="7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19.5%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16.88</w:t>
            </w:r>
          </w:p>
        </w:tc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45.9%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71.0%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16.7%</w:t>
            </w:r>
          </w:p>
        </w:tc>
        <w:tc>
          <w:tcPr>
            <w:tcW w:type="dxa" w:w="129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Regular Mid-Value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5,615</w:t>
            </w:r>
          </w:p>
        </w:tc>
        <w:tc>
          <w:tcPr>
            <w:tcW w:type="dxa" w:w="7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27.2%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13.72</w:t>
            </w:r>
          </w:p>
        </w:tc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37.3%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129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33.9%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At-Risk / Inactive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2,351</w:t>
            </w:r>
          </w:p>
        </w:tc>
        <w:tc>
          <w:tcPr>
            <w:tcW w:type="dxa" w:w="7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3.47</w:t>
            </w:r>
          </w:p>
        </w:tc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11.9%</w:t>
            </w:r>
          </w:p>
        </w:tc>
        <w:tc>
          <w:tcPr>
            <w:tcW w:type="dxa" w:w="129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19.5%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Recent Low-Value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4,788</w:t>
            </w:r>
          </w:p>
        </w:tc>
        <w:tc>
          <w:tcPr>
            <w:tcW w:type="dxa" w:w="7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23.2%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4.1%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11.9%</w:t>
            </w:r>
          </w:p>
        </w:tc>
        <w:tc>
          <w:tcPr>
            <w:tcW w:type="dxa" w:w="129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18.8%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New / Discount-Sensitive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3,877</w:t>
            </w:r>
          </w:p>
        </w:tc>
        <w:tc>
          <w:tcPr>
            <w:tcW w:type="dxa" w:w="7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18.8%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1.22</w:t>
            </w:r>
          </w:p>
        </w:tc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3.3%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10.2%</w:t>
            </w:r>
          </w:p>
        </w:tc>
        <w:tc>
          <w:tcPr>
            <w:tcW w:type="dxa" w:w="129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19.0%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Table 1. Segment contribution (loss-making = % of customers with negative profit)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50"/>
        <w:gridCol w:w="800"/>
        <w:gridCol w:w="950"/>
        <w:gridCol w:w="950"/>
        <w:gridCol w:w="930"/>
        <w:gridCol w:w="1000"/>
        <w:gridCol w:w="958"/>
      </w:tblGrid>
      <w:tr>
        <w:trPr>
          <w:cantSplit/>
          <w:tblHeader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Recency (days)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Avg. spend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Avg. order value</w:t>
            </w:r>
          </w:p>
        </w:tc>
        <w:tc>
          <w:tcPr>
            <w:tcW w:type="dxa" w:w="9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Categories</w:t>
            </w:r>
          </w:p>
        </w:tc>
        <w:tc>
          <w:tcPr>
            <w:tcW w:type="dxa" w:w="95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Profit / cust.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High-Value Profitable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251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6.6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4,198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647</w:t>
            </w:r>
          </w:p>
        </w:tc>
        <w:tc>
          <w:tcPr>
            <w:tcW w:type="dxa" w:w="9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  <w:tc>
          <w:tcPr>
            <w:tcW w:type="dxa" w:w="95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Regular Mid-Value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260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2,443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581</w:t>
            </w:r>
          </w:p>
        </w:tc>
        <w:tc>
          <w:tcPr>
            <w:tcW w:type="dxa" w:w="9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4.1</w:t>
            </w:r>
          </w:p>
        </w:tc>
        <w:tc>
          <w:tcPr>
            <w:tcW w:type="dxa" w:w="95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At-Risk / Inactive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638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1,476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573</w:t>
            </w:r>
          </w:p>
        </w:tc>
        <w:tc>
          <w:tcPr>
            <w:tcW w:type="dxa" w:w="9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3.3</w:t>
            </w:r>
          </w:p>
        </w:tc>
        <w:tc>
          <w:tcPr>
            <w:tcW w:type="dxa" w:w="95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Recent Low-Value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312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303</w:t>
            </w:r>
          </w:p>
        </w:tc>
        <w:tc>
          <w:tcPr>
            <w:tcW w:type="dxa" w:w="9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95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New / Discount-Sensitive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314</w:t>
            </w:r>
          </w:p>
        </w:tc>
        <w:tc>
          <w:tcPr>
            <w:tcW w:type="dxa" w:w="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302</w:t>
            </w:r>
          </w:p>
        </w:tc>
        <w:tc>
          <w:tcPr>
            <w:tcW w:type="dxa" w:w="9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17%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95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Table 2. Average customer profile per segment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781175"/>
            <wp:effectExtent t="0" r="0" b="0" l="0"/>
            <wp:docPr id="1" name="share.png" descr="share.png" title="sh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Figure 4. Share of customers, revenue and profit by segment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A9D8F"/>
          <w:sz w:val="22"/>
          <w:szCs w:val="22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Same behaviour, very different profit.</w:t>
      </w:r>
      <w:r>
        <w:rPr>
          <w:rFonts w:ascii="Calibri" w:cs="Calibri" w:eastAsia="Calibri" w:hAnsi="Calibri"/>
          <w:sz w:val="21"/>
          <w:szCs w:val="21"/>
        </w:rPr>
        <w:t xml:space="preserve"> High-Value Profitable and Regular Mid-Value customers have similar recency, discount rate (10%) and order value (647 vs. 581), yet profit per customer is 700 vs. 78. Product mix, pricing or fulfilment cost are the likely causes and need a product-level drill-down.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At-Risk customers are recoverable value:</w:t>
      </w:r>
      <w:r>
        <w:rPr>
          <w:rFonts w:ascii="Calibri" w:cs="Calibri" w:eastAsia="Calibri" w:hAnsi="Calibri"/>
          <w:sz w:val="21"/>
          <w:szCs w:val="21"/>
        </w:rPr>
        <w:t xml:space="preserve"> 638 days since last order on average, but 3.47M in revenue and 0.41M in profit at a 11.9% margin.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Discounts cost less than expected.</w:t>
      </w:r>
      <w:r>
        <w:rPr>
          <w:rFonts w:ascii="Calibri" w:cs="Calibri" w:eastAsia="Calibri" w:hAnsi="Calibri"/>
          <w:sz w:val="21"/>
          <w:szCs w:val="21"/>
        </w:rPr>
        <w:t xml:space="preserve"> Discount-Sensitive customers use 17% discounts vs. 5% for Recent Low-Value, yet margin is only 1.7 points lower. The two single-order segments are 42% of customers but 7% of revenue.</w:t>
      </w:r>
    </w:p>
    <w:p>
      <w:pPr>
        <w:pStyle w:val="Heading1"/>
        <w:keepNext/>
        <w:pBdr>
          <w:bottom w:val="single" w:color="2A9D8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Predictive Model and Application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Random Forest (200 trees) predicts the segment from the six standardised features using a stratified 80/20 split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16,521 train / 4,131 test</w:t>
      </w:r>
      <w:r>
        <w:rPr>
          <w:rFonts w:ascii="Calibri" w:cs="Calibri" w:eastAsia="Calibri" w:hAnsi="Calibri"/>
          <w:sz w:val="21"/>
          <w:szCs w:val="21"/>
        </w:rPr>
        <w:t xml:space="preserve">). Accuracy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98.4%</w:t>
      </w:r>
      <w:r>
        <w:rPr>
          <w:rFonts w:ascii="Calibri" w:cs="Calibri" w:eastAsia="Calibri" w:hAnsi="Calibri"/>
          <w:sz w:val="21"/>
          <w:szCs w:val="21"/>
        </w:rPr>
        <w:t xml:space="preserve">, with precision and recall of 0.96 or higher in every segment. Discount rate (0.268) and recency (0.226) are the most important features.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981200"/>
            <wp:effectExtent t="0" r="0" b="0" l="0"/>
            <wp:docPr id="1" name="rf.png" descr="rf.png" title="r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Figure 5. Test-set confusion matrix (left) and feature importance (right)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Because the labels come from K-Means on the same features, this accuracy shows the classifier reproduces the clustering, not that the segments are independently validated. The saved scaler, K-Means and Random Forest were checked for consistency: refitting K-Means reproduces the saved labels exactly.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Application.</w:t>
      </w:r>
      <w:r>
        <w:rPr>
          <w:rFonts w:ascii="Calibri" w:cs="Calibri" w:eastAsia="Calibri" w:hAnsi="Calibri"/>
          <w:sz w:val="21"/>
          <w:szCs w:val="21"/>
        </w:rPr>
        <w:t xml:space="preserve"> A FastAPI backend loads the saved artefacts and exposes POST /predict (returns segment, description and recommended action) and GET /health. A Streamlit interface lets a user enter the six values and view the predicted segment and next action.</w:t>
      </w:r>
    </w:p>
    <w:p>
      <w:pPr>
        <w:pStyle w:val="Heading1"/>
        <w:keepNext/>
        <w:pBdr>
          <w:bottom w:val="single" w:color="2A9D8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6. Recommendations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00"/>
        <w:gridCol w:w="1300"/>
        <w:gridCol w:w="1138"/>
      </w:tblGrid>
      <w:tr>
        <w:trPr>
          <w:cantSplit/>
          <w:tblHeader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5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1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High-Value Profitable</w:t>
            </w:r>
          </w:p>
        </w:tc>
        <w:tc>
          <w:tcPr>
            <w:tcW w:type="dxa" w:w="5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Loyalty rewards and personalised offers; avoid unnecessary discounts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Retain</w:t>
            </w:r>
          </w:p>
        </w:tc>
        <w:tc>
          <w:tcPr>
            <w:tcW w:type="dxa" w:w="1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 (High)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Regular Mid-Value</w:t>
            </w:r>
          </w:p>
        </w:tc>
        <w:tc>
          <w:tcPr>
            <w:tcW w:type="dxa" w:w="5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Product-level margin review; check pricing, shipping and order costs; set discount limits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Fix margin</w:t>
            </w:r>
          </w:p>
        </w:tc>
        <w:tc>
          <w:tcPr>
            <w:tcW w:type="dxa" w:w="1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 (High)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At-Risk / Inactive</w:t>
            </w:r>
          </w:p>
        </w:tc>
        <w:tc>
          <w:tcPr>
            <w:tcW w:type="dxa" w:w="5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Win-back campaign, starting with the highest past spenders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Re-activate</w:t>
            </w:r>
          </w:p>
        </w:tc>
        <w:tc>
          <w:tcPr>
            <w:tcW w:type="dxa" w:w="1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 (High)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Recent Low-Value</w:t>
            </w:r>
          </w:p>
        </w:tc>
        <w:tc>
          <w:tcPr>
            <w:tcW w:type="dxa" w:w="5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Second-purchase nudges: follow-ups, cross-sell, loyalty sign-up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Grow</w:t>
            </w:r>
          </w:p>
        </w:tc>
        <w:tc>
          <w:tcPr>
            <w:tcW w:type="dxa" w:w="1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 (Medium)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New / Discount-Sensitive</w:t>
            </w:r>
          </w:p>
        </w:tc>
        <w:tc>
          <w:tcPr>
            <w:tcW w:type="dxa" w:w="5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Replace blanket discounts with targeted offers and bundles; test lower discounts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Reduce discounting</w:t>
            </w:r>
          </w:p>
        </w:tc>
        <w:tc>
          <w:tcPr>
            <w:tcW w:type="dxa" w:w="11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 (Medium)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2A9D8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7. Limitations and Next Steps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Moderate separation (silhouette 0.37).</w:t>
      </w:r>
      <w:r>
        <w:rPr>
          <w:rFonts w:ascii="Calibri" w:cs="Calibri" w:eastAsia="Calibri" w:hAnsi="Calibri"/>
          <w:sz w:val="21"/>
          <w:szCs w:val="21"/>
        </w:rPr>
        <w:t xml:space="preserve"> Test Gaussian mixtures and log-transformed features, and confirm on a later time period.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Validate commercially.</w:t>
      </w:r>
      <w:r>
        <w:rPr>
          <w:rFonts w:ascii="Calibri" w:cs="Calibri" w:eastAsia="Calibri" w:hAnsi="Calibri"/>
          <w:sz w:val="21"/>
          <w:szCs w:val="21"/>
        </w:rPr>
        <w:t xml:space="preserve"> Test the recommended actions with a holdout group, and explain the Regular Mid-Value margin gap by product and department.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Keep names and clusters in sync.</w:t>
      </w:r>
      <w:r>
        <w:rPr>
          <w:rFonts w:ascii="Calibri" w:cs="Calibri" w:eastAsia="Calibri" w:hAnsi="Calibri"/>
          <w:sz w:val="21"/>
          <w:szCs w:val="21"/>
        </w:rPr>
        <w:t xml:space="preserve"> Segment names are mapped to cluster numbers in code and must be rechecked after every retrain; the Streamlit playbook should use the same names as the backend.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Refresh periodically</w:t>
      </w:r>
      <w:r>
        <w:rPr>
          <w:rFonts w:ascii="Calibri" w:cs="Calibri" w:eastAsia="Calibri" w:hAnsi="Calibri"/>
          <w:sz w:val="21"/>
          <w:szCs w:val="21"/>
        </w:rPr>
        <w:t xml:space="preserve"> and track customer movement between segments over time.</w:t>
      </w:r>
    </w:p>
    <w:sectPr>
      <w:headerReference w:type="default" r:id="rId7"/>
      <w:footerReference w:type="default" r:id="rId8"/>
      <w:pgSz w:w="11906" w:h="16838" w:orient="portrait"/>
      <w:pgMar w:top="1000" w:right="1134" w:bottom="9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2"/>
        <w:sz w:val="17"/>
        <w:szCs w:val="17"/>
      </w:rPr>
      <w:t xml:space="preserve">Page </w:t>
    </w:r>
    <w:r>
      <w:rPr>
        <w:rFonts w:ascii="Calibri" w:cs="Calibri" w:eastAsia="Calibri" w:hAnsi="Calibri"/>
        <w:color w:val="5A6472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7"/>
        <w:szCs w:val="17"/>
      </w:rPr>
      <w:t xml:space="preserve"> of </w:t>
    </w:r>
    <w:r>
      <w:rPr>
        <w:rFonts w:ascii="Calibri" w:cs="Calibri" w:eastAsia="Calibri" w:hAnsi="Calibri"/>
        <w:color w:val="5A6472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tabs>
        <w:tab w:val="right" w:pos="9638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Customer Segmentation using RFM and K-Means</w:t>
    </w:r>
    <w:r>
      <w:rPr>
        <w:rFonts w:ascii="Calibri" w:cs="Calibri" w:eastAsia="Calibri" w:hAnsi="Calibri"/>
        <w:color w:val="5A6472"/>
        <w:sz w:val="17"/>
        <w:szCs w:val="17"/>
      </w:rPr>
      <w:t xml:space="preserve">	Rupjit 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A9D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adc8491151c862496c4a9f830d12a132ab0a39.png"/><Relationship Id="rId10" Type="http://schemas.openxmlformats.org/officeDocument/2006/relationships/image" Target="media/4e23b9c471be529b87792e2185933fce7b967b75.png"/><Relationship Id="rId11" Type="http://schemas.openxmlformats.org/officeDocument/2006/relationships/image" Target="media/4998e8ef08acee7a963a631aa2d94ec274bc405c.png"/><Relationship Id="rId12" Type="http://schemas.openxmlformats.org/officeDocument/2006/relationships/image" Target="media/c068c0c8d755df718c12e7dddf8a8b588456d31f.png"/><Relationship Id="rId13" Type="http://schemas.openxmlformats.org/officeDocument/2006/relationships/image" Target="media/e2f97d4d76727e9d240441edf1f39ceb54c174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Segmentation using RFM and K-Means</dc:title>
  <dc:creator>Rupjit Das</dc:creator>
  <cp:lastModifiedBy>Un-named</cp:lastModifiedBy>
  <cp:revision>1</cp:revision>
  <dcterms:created xsi:type="dcterms:W3CDTF">2026-10-17T14:08:44.202Z</dcterms:created>
  <dcterms:modified xsi:type="dcterms:W3CDTF">2026-10-17T14:08:44.240Z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