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left"/>
        <w:rPr>
          <w:rFonts w:ascii="Arial Black" w:hAnsi="Arial Black" w:eastAsia="Arial Black" w:cs="Arial Black"/>
          <w:sz w:val="28"/>
          <w:szCs w:val="28"/>
          <w:highlight w:val="none"/>
        </w:rPr>
      </w:pPr>
      <w:r>
        <w:rPr>
          <w:rFonts w:ascii="Arial Black" w:hAnsi="Arial Black" w:eastAsia="Arial Black" w:cs="Arial Black"/>
          <w:sz w:val="28"/>
          <w:szCs w:val="28"/>
          <w:highlight w:val="none"/>
        </w:rPr>
      </w:r>
      <w:r>
        <w:rPr>
          <w:rFonts w:ascii="Arial Black" w:hAnsi="Arial Black" w:eastAsia="Arial Black" w:cs="Arial Black"/>
          <w:sz w:val="28"/>
          <w:szCs w:val="28"/>
          <w:highlight w:val="none"/>
        </w:rPr>
      </w:r>
      <w:r>
        <w:rPr>
          <w:rFonts w:ascii="Arial Black" w:hAnsi="Arial Black" w:eastAsia="Arial Black" w:cs="Arial Black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Arial Black" w:hAnsi="Arial Black" w:eastAsia="Arial Black" w:cs="Arial Black"/>
          <w:sz w:val="28"/>
          <w:szCs w:val="28"/>
          <w:highlight w:val="none"/>
        </w:rPr>
      </w:pPr>
      <w:r>
        <w:rPr>
          <w:rFonts w:ascii="Arial Black" w:hAnsi="Arial Black" w:eastAsia="Arial Black" w:cs="Arial Black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01489" cy="190146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7433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19134" t="-2360" r="12678" b="2360"/>
                        <a:stretch/>
                      </pic:blipFill>
                      <pic:spPr bwMode="auto">
                        <a:xfrm flipH="0" flipV="0">
                          <a:off x="0" y="0"/>
                          <a:ext cx="1801488" cy="1901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1.85pt;height:149.72pt;mso-wrap-distance-left:0.00pt;mso-wrap-distance-top:0.00pt;mso-wrap-distance-right:0.00pt;mso-wrap-distance-bottom:0.00pt;z-index:1;" stroked="false">
                <v:imagedata r:id="rId9" o:title="" croptop="-1546f" cropleft="12540f" cropbottom="1547f" cropright="8309f"/>
                <o:lock v:ext="edit" rotation="t"/>
              </v:shape>
            </w:pict>
          </mc:Fallback>
        </mc:AlternateContent>
      </w:r>
      <w:r>
        <w:rPr>
          <w:rFonts w:ascii="Arial Black" w:hAnsi="Arial Black" w:eastAsia="Arial Black" w:cs="Arial Black"/>
          <w:sz w:val="28"/>
          <w:szCs w:val="28"/>
          <w:highlight w:val="none"/>
        </w:rPr>
      </w:r>
      <w:r/>
      <w:r>
        <w:rPr>
          <w:rFonts w:ascii="Arial Black" w:hAnsi="Arial Black" w:eastAsia="Arial Black" w:cs="Arial Black"/>
          <w:sz w:val="28"/>
          <w:szCs w:val="28"/>
          <w:highlight w:val="none"/>
        </w:rPr>
      </w:r>
      <w:r/>
      <w:r>
        <w:rPr>
          <w:rFonts w:ascii="Arial Black" w:hAnsi="Arial Black" w:eastAsia="Arial Black" w:cs="Arial Black"/>
          <w:sz w:val="28"/>
          <w:szCs w:val="28"/>
          <w:highlight w:val="none"/>
        </w:rPr>
      </w:r>
      <w:r/>
      <w:r>
        <w:rPr>
          <w:rFonts w:ascii="Arial Black" w:hAnsi="Arial Black" w:eastAsia="Arial Black" w:cs="Arial Black"/>
          <w:sz w:val="28"/>
          <w:szCs w:val="28"/>
          <w:highlight w:val="none"/>
        </w:rPr>
      </w:r>
      <w:r>
        <w:rPr>
          <w:rFonts w:ascii="Arial Black" w:hAnsi="Arial Black" w:eastAsia="Arial Black" w:cs="Arial Black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Arial Black" w:hAnsi="Arial Black" w:eastAsia="Arial Black" w:cs="Arial Black"/>
          <w:sz w:val="28"/>
          <w:szCs w:val="28"/>
          <w:highlight w:val="none"/>
        </w:rPr>
      </w:pPr>
      <w:r>
        <w:rPr>
          <w:rFonts w:ascii="Arial Black" w:hAnsi="Arial Black" w:eastAsia="Arial Black" w:cs="Arial Black"/>
          <w:sz w:val="28"/>
          <w:szCs w:val="28"/>
          <w:highlight w:val="none"/>
        </w:rPr>
      </w:r>
      <w:r>
        <w:rPr>
          <w:rFonts w:ascii="Arial Black" w:hAnsi="Arial Black" w:eastAsia="Arial Black" w:cs="Arial Black"/>
          <w:sz w:val="28"/>
          <w:szCs w:val="28"/>
          <w:highlight w:val="none"/>
        </w:rPr>
      </w:r>
      <w:r>
        <w:rPr>
          <w:rFonts w:ascii="Arial Black" w:hAnsi="Arial Black" w:eastAsia="Arial Black" w:cs="Arial Black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Arial Black" w:hAnsi="Arial Black" w:eastAsia="Arial Black" w:cs="Arial Black"/>
          <w:sz w:val="28"/>
          <w:szCs w:val="28"/>
          <w:highlight w:val="none"/>
        </w:rPr>
      </w:pPr>
      <w:r/>
      <w:bookmarkStart w:id="0" w:name="_GoBack"/>
      <w:r/>
      <w:bookmarkEnd w:id="0"/>
      <w:r>
        <w:rPr>
          <w:rFonts w:ascii="Arial Black" w:hAnsi="Arial Black" w:eastAsia="Arial Black" w:cs="Arial Black"/>
          <w:sz w:val="28"/>
          <w:szCs w:val="28"/>
        </w:rPr>
        <w:t xml:space="preserve">ANÁLISE DE AMBIENTE</w:t>
      </w:r>
      <w:r>
        <w:rPr>
          <w:rFonts w:ascii="Arial Black" w:hAnsi="Arial Black" w:cs="Arial Black"/>
          <w:sz w:val="28"/>
          <w:szCs w:val="28"/>
        </w:rPr>
      </w:r>
      <w:r>
        <w:rPr>
          <w:rFonts w:ascii="Arial Black" w:hAnsi="Arial Black" w:eastAsia="Arial Black" w:cs="Arial Black"/>
          <w:sz w:val="28"/>
          <w:szCs w:val="28"/>
          <w:highlight w:val="none"/>
        </w:rPr>
      </w:r>
    </w:p>
    <w:p>
      <w:pPr>
        <w:pStyle w:val="899"/>
        <w:numPr>
          <w:ilvl w:val="0"/>
          <w:numId w:val="1"/>
        </w:numPr>
        <w:pBdr/>
        <w:spacing w:line="360" w:lineRule="auto"/>
        <w:ind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Análise detalhada do ambiente: </w:t>
      </w: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 w:line="360" w:lineRule="auto"/>
        <w:ind w:firstLine="0" w:left="709"/>
        <w:jc w:val="left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O termo agronegócio vem do inglês </w:t>
      </w:r>
      <w:r>
        <w:rPr>
          <w:rFonts w:ascii="Arial" w:hAnsi="Arial" w:eastAsia="Arial" w:cs="Arial"/>
          <w:i/>
          <w:iCs/>
          <w:sz w:val="24"/>
          <w:szCs w:val="24"/>
          <w:highlight w:val="none"/>
        </w:rPr>
        <w:t xml:space="preserve">“agribusiness” 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 criado em 1957, e é a soma de: 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Style w:val="899"/>
        <w:numPr>
          <w:ilvl w:val="0"/>
          <w:numId w:val="2"/>
        </w:numPr>
        <w:pBdr/>
        <w:spacing w:line="360" w:lineRule="auto"/>
        <w:ind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Todas as operações envolvidas na fabricação e distribuição de suprimentos agrícolas;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99"/>
        <w:numPr>
          <w:ilvl w:val="0"/>
          <w:numId w:val="2"/>
        </w:numPr>
        <w:pBdr/>
        <w:spacing w:line="360" w:lineRule="auto"/>
        <w:ind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Operação de produtos na fazenda;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99"/>
        <w:numPr>
          <w:ilvl w:val="0"/>
          <w:numId w:val="2"/>
        </w:numPr>
        <w:pBdr/>
        <w:spacing w:line="360" w:lineRule="auto"/>
        <w:ind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Armazenamento, processamento e distribuição.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line="360" w:lineRule="auto"/>
        <w:ind w:right="0" w:firstLine="0" w:left="709"/>
        <w:jc w:val="left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O agronegócio engloba o conjunto de inovação e gestão de múltiplas cadeias de valor que entregam bens e serviços relacionados a alimentos, fibras e recursos naturais.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709"/>
        <w:jc w:val="left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O agronegócio refere-se também as atividades produtivas ligadas direta ou indiretamente á agricultura e à pecuária.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Style w:val="899"/>
        <w:numPr>
          <w:ilvl w:val="0"/>
          <w:numId w:val="3"/>
        </w:numPr>
        <w:pBdr/>
        <w:spacing w:line="360" w:lineRule="auto"/>
        <w:ind w:right="0"/>
        <w:jc w:val="left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Os três grandes setores: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 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Style w:val="899"/>
        <w:numPr>
          <w:ilvl w:val="0"/>
          <w:numId w:val="5"/>
        </w:numPr>
        <w:pBdr/>
        <w:spacing w:line="360" w:lineRule="auto"/>
        <w:ind w:right="0"/>
        <w:jc w:val="left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Setor primário (produção pecuária);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Style w:val="899"/>
        <w:numPr>
          <w:ilvl w:val="0"/>
          <w:numId w:val="5"/>
        </w:numPr>
        <w:pBdr/>
        <w:spacing w:line="360" w:lineRule="auto"/>
        <w:ind w:right="0"/>
        <w:jc w:val="left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Setor secundário (produção industrial);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Style w:val="899"/>
        <w:numPr>
          <w:ilvl w:val="0"/>
          <w:numId w:val="5"/>
        </w:numPr>
        <w:pBdr/>
        <w:spacing w:line="360" w:lineRule="auto"/>
        <w:ind w:right="0"/>
        <w:jc w:val="left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Setor terciário (comercio e serviços).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709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Agronegócio Brasileiro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707" w:left="709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No Brasil, o agronegócio é um dos vetores mais importantes da economia, sendo responsável por quase 30% do PIB do país, e gera renda e emprego.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Além de atender o mercador interno, o agronegócio também possui relevância para o mundo.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707" w:left="709"/>
        <w:jc w:val="left"/>
        <w:rPr>
          <w:rFonts w:ascii="Arial" w:hAnsi="Arial" w:eastAsia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E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stima-se que os produtores brasileiros fornecem alimento para 800 milhões de pessoas, ou seja, 10% da população do planeta. Recentemente temos em destaque no Brasil, grandes culturas como soja, milho e frutas. E na produção animal, bovinos, suínos e aves. 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 w:right="0" w:firstLine="707" w:left="709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A</w:t>
      </w:r>
      <w:r>
        <w:rPr>
          <w:b w:val="0"/>
          <w:bCs w:val="0"/>
          <w:sz w:val="24"/>
          <w:szCs w:val="24"/>
        </w:rPr>
        <w:t xml:space="preserve">tualmente </w:t>
      </w:r>
      <w:r>
        <w:rPr>
          <w:b w:val="0"/>
          <w:bCs w:val="0"/>
          <w:sz w:val="24"/>
          <w:szCs w:val="24"/>
        </w:rPr>
        <w:t xml:space="preserve">o Brasil é líder mundial de exportação de soja, açúcar, carne de frango, milho, café, celulose, tabaco, carne bovina, e algodão.</w:t>
      </w:r>
      <w:r>
        <w:rPr>
          <w:b/>
          <w:bCs/>
          <w:sz w:val="24"/>
          <w:szCs w:val="24"/>
        </w:rPr>
        <w:t xml:space="preserve">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709"/>
        <w:jc w:val="left"/>
        <w:rPr>
          <w:rFonts w:ascii="Arial" w:hAnsi="Arial" w:eastAsia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O que são agtechs?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 w:right="0" w:firstLine="707" w:left="709"/>
        <w:jc w:val="left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Também chamadas de agrotechs ou startups do agronegócio, as agtechs são startups especializadas em buscar soluções inovadoras para esse setor.</w:t>
      </w:r>
      <w:r>
        <w:rPr>
          <w:b w:val="0"/>
          <w:bCs w:val="0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707" w:left="709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São as agtechs que apresentam novas soluções de softwares de gestão e monitoramento, aplicabilidade de ferramentas de automação, inteligência artificial (IA) e big data. Consequentemente, essas empresas estão diretamente conectadas a maiores níveis de compe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titividade e qualidade da produção e a previsões mais eficientes das safras.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709"/>
        <w:jc w:val="left"/>
        <w:rPr>
          <w:rFonts w:ascii="Arial" w:hAnsi="Arial" w:eastAsia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Qual é o potencial das agtechs no Brasil?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 w:right="0" w:firstLine="707" w:left="709"/>
        <w:jc w:val="left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Devido às proporções do agronegócio brasileiro, há muito espaço e possibilidades para o trabalho das agtechs. Por ser uma tendência global, esse tipo de negócio tem conquistado os fundos de investimento e a credibilidade do mercado.</w:t>
      </w:r>
      <w:r>
        <w:rPr>
          <w:b w:val="0"/>
          <w:bCs w:val="0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707" w:left="709"/>
        <w:jc w:val="left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O ritmo de crescimento e aceitação ainda não é o mesmo, se comparado aos países em que essa inovação chegou antes. Mesmo assim, o Brasil tem se destacado no setor, mostrando seu potencial inventivo e se adequando a essa transformação.</w:t>
      </w:r>
      <w:r>
        <w:rPr>
          <w:b w:val="0"/>
          <w:bCs w:val="0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707" w:left="709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O interior paulista, por exemplo, tem conquistado excelentes resultados em pesquisas agrárias, graças à união de forças de parcerias públicas e privadas. De acordo com o Censo AgTech Startups Brasil, levantamento feito pela AgTech Garage junto à ESALQ-USP,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46% das agtechs brasileiras estão no estado de São Paulo.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709"/>
        <w:jc w:val="left"/>
        <w:rPr>
          <w:rFonts w:ascii="Arial" w:hAnsi="Arial" w:eastAsia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Quais são as áreas de atuação das agtechs?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709"/>
        <w:jc w:val="left"/>
        <w:rPr/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Alguns exemplos de atuação são:</w:t>
      </w:r>
      <w:r/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/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Style w:val="899"/>
        <w:numPr>
          <w:ilvl w:val="0"/>
          <w:numId w:val="14"/>
        </w:numPr>
        <w:pBdr/>
        <w:spacing w:line="360" w:lineRule="auto"/>
        <w:ind w:right="0"/>
        <w:jc w:val="left"/>
        <w:rPr/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Biotecnologia – análise genética para criação de melhores sementes, desenvolvimento de biofertilizantes e controle e manejo de pragas;</w:t>
      </w:r>
      <w:r/>
    </w:p>
    <w:p>
      <w:pPr>
        <w:pStyle w:val="899"/>
        <w:numPr>
          <w:ilvl w:val="0"/>
          <w:numId w:val="14"/>
        </w:numPr>
        <w:pBdr/>
        <w:spacing w:line="360" w:lineRule="auto"/>
        <w:ind w:right="0"/>
        <w:jc w:val="left"/>
        <w:rPr/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Robotização – uso de máquinas que não precisam ser operadas por pessoas;</w:t>
      </w:r>
      <w:r/>
    </w:p>
    <w:p>
      <w:pPr>
        <w:pStyle w:val="899"/>
        <w:numPr>
          <w:ilvl w:val="0"/>
          <w:numId w:val="14"/>
        </w:numPr>
        <w:pBdr/>
        <w:spacing w:line="360" w:lineRule="auto"/>
        <w:ind w:right="0"/>
        <w:jc w:val="left"/>
        <w:rPr/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Programação – criação de softwares de monitoramento e análise de dados;</w:t>
      </w:r>
      <w:r/>
    </w:p>
    <w:p>
      <w:pPr>
        <w:pStyle w:val="899"/>
        <w:numPr>
          <w:ilvl w:val="0"/>
          <w:numId w:val="14"/>
        </w:numPr>
        <w:pBdr/>
        <w:spacing w:line="360" w:lineRule="auto"/>
        <w:ind w:right="0"/>
        <w:jc w:val="left"/>
        <w:rPr/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Vendas online – produtores rurais podem fazer transações via marketplace;</w:t>
      </w:r>
      <w:r/>
    </w:p>
    <w:p>
      <w:pPr>
        <w:pStyle w:val="899"/>
        <w:numPr>
          <w:ilvl w:val="0"/>
          <w:numId w:val="14"/>
        </w:numPr>
        <w:pBdr/>
        <w:spacing w:line="360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Segurança – rastreabilidade via satélite e transações financeiras via aplicativos</w:t>
      </w:r>
      <w:r/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283"/>
        <w:jc w:val="left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 Black" w:hAnsi="Arial Black" w:eastAsia="Arial Black" w:cs="Arial Black"/>
          <w:sz w:val="24"/>
          <w:szCs w:val="24"/>
          <w:highlight w:val="none"/>
        </w:rPr>
        <w:t xml:space="preserve">B) 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Identificar tendencias e oportunidade de negócio: 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283"/>
        <w:jc w:val="left"/>
        <w:rPr>
          <w:rFonts w:ascii="Arial" w:hAnsi="Arial" w:eastAsia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Digitalização e agricultura de precisão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283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ab/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A digitalização está transformando a forma como as atividades agrícolas são planejadas, monitoradas e executadas, a partir do uso de tecnologias como internet das coisas, drones, sensores e análise de dados.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O uso da internet das coisas envolve a interconexão de dispositivos e sistemas, como: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Style w:val="899"/>
        <w:numPr>
          <w:ilvl w:val="0"/>
          <w:numId w:val="7"/>
        </w:numPr>
        <w:pBdr/>
        <w:spacing w:line="360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Verificação da saúde de plantas e animais;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Style w:val="899"/>
        <w:numPr>
          <w:ilvl w:val="0"/>
          <w:numId w:val="7"/>
        </w:numPr>
        <w:pBdr/>
        <w:spacing w:line="360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Monitoramento de condições climáticas;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Style w:val="899"/>
        <w:numPr>
          <w:ilvl w:val="0"/>
          <w:numId w:val="7"/>
        </w:numPr>
        <w:pBdr/>
        <w:spacing w:line="360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Observação da qualidade do ar;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Style w:val="899"/>
        <w:numPr>
          <w:ilvl w:val="0"/>
          <w:numId w:val="7"/>
        </w:numPr>
        <w:pBdr/>
        <w:spacing w:line="360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Análise da umidade do solo.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425" w:left="283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Segundo dados do relatório d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a Grand View Research, o mercado global de agricultura de precisão foi avaliado em US$ 10,5 Bilhões em 2023, e em 2025 está estimado em US$ 14,18 Bilhões. Essa evolução se dá devido ao aumento da demanda por alimentos e uso de tecnologias de digitalização.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283" w:left="0"/>
        <w:jc w:val="left"/>
        <w:rPr>
          <w:rFonts w:ascii="Arial" w:hAnsi="Arial" w:eastAsia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Desafios e oportunidades no agronegócio 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</w:p>
    <w:p>
      <w:pPr>
        <w:pStyle w:val="899"/>
        <w:numPr>
          <w:ilvl w:val="0"/>
          <w:numId w:val="9"/>
        </w:numPr>
        <w:pBdr/>
        <w:spacing w:line="360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Conectividade no campo: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 A conectividade no meio rural ainda é um desafio em algumas regiões do país.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O 5G irá ampliar sua abrangência, aumentando também as possibilidades para a inovação, mas a implementação em todo o território nacional está programada apenas para 2029.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Style w:val="899"/>
        <w:numPr>
          <w:ilvl w:val="0"/>
          <w:numId w:val="9"/>
        </w:numPr>
        <w:pBdr/>
        <w:spacing w:line="360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Serviços financeiros: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 O agronegócio apresenta possibilidades em termos de inovação em serviços financeiros como: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Style w:val="899"/>
        <w:numPr>
          <w:ilvl w:val="0"/>
          <w:numId w:val="10"/>
        </w:numPr>
        <w:pBdr/>
        <w:spacing w:line="360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desenvolvimento de soluções de financiamento agrícola baseadas em tecnologia; </w:t>
      </w:r>
      <w:r/>
      <w:r/>
    </w:p>
    <w:p>
      <w:pPr>
        <w:pStyle w:val="899"/>
        <w:numPr>
          <w:ilvl w:val="0"/>
          <w:numId w:val="10"/>
        </w:numPr>
        <w:pBdr/>
        <w:spacing w:line="360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ferramentas de gestão de riscos e investimentos para agricultores;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Style w:val="899"/>
        <w:numPr>
          <w:ilvl w:val="0"/>
          <w:numId w:val="10"/>
        </w:numPr>
        <w:pBdr/>
        <w:spacing w:line="360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plataformas de seguros agrícolas digitais.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709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Nesse contexto, as startups que operam no modelo de negócio voltado para agfintech podem democratizar o acesso ao crédito e aos serviços financeiros para agricultores de pequeno e médio porte.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/>
    </w:p>
    <w:p>
      <w:pPr>
        <w:pBdr/>
        <w:spacing w:line="360" w:lineRule="auto"/>
        <w:ind w:right="0" w:firstLine="0" w:left="283"/>
        <w:jc w:val="left"/>
        <w:rPr/>
      </w:pPr>
      <w:r>
        <w:rPr>
          <w:rFonts w:ascii="Arial Black" w:hAnsi="Arial Black" w:eastAsia="Arial Black" w:cs="Arial Black"/>
          <w:sz w:val="24"/>
          <w:szCs w:val="24"/>
          <w:highlight w:val="none"/>
        </w:rPr>
        <w:t xml:space="preserve">C) 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Analisar os fatores políticos, econômicos, sociais, tecnológicos e legais que podem </w:t>
      </w:r>
      <w:r/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afetar o sucesso da startup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: </w:t>
      </w:r>
      <w:r>
        <w:rPr>
          <w:rFonts w:ascii="Arial" w:hAnsi="Arial" w:eastAsia="Arial" w:cs="Arial"/>
          <w:sz w:val="24"/>
          <w:szCs w:val="24"/>
          <w:highlight w:val="none"/>
        </w:rPr>
      </w:r>
      <w:r/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283"/>
        <w:jc w:val="left"/>
        <w:rPr>
          <w:rFonts w:ascii="Arial" w:hAnsi="Arial" w:eastAsia="Arial" w:cs="Arial"/>
          <w:b/>
          <w:bCs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Por que tantas Startups do agronegócio falham?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</w:p>
    <w:p>
      <w:pPr>
        <w:pBdr/>
        <w:spacing w:line="360" w:lineRule="auto"/>
        <w:ind w:right="0" w:firstLine="425" w:left="283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Diferente de outros segmentos, o agro tem particularidades que demandam um conhecimento técnico e prático do dia a dia do campo.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Style w:val="899"/>
        <w:numPr>
          <w:ilvl w:val="0"/>
          <w:numId w:val="12"/>
        </w:numPr>
        <w:pBdr/>
        <w:spacing w:line="360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Quatro fatores que podem causar o 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insucesso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 da Rural Link: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Style w:val="899"/>
        <w:numPr>
          <w:ilvl w:val="0"/>
          <w:numId w:val="13"/>
        </w:numPr>
        <w:pBdr/>
        <w:spacing w:line="360" w:lineRule="auto"/>
        <w:ind w:right="0" w:hanging="283" w:left="1276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Falta de conhecimento profundo do setor agrícola: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Muitas startups do agronegócio são criadas por empreendedores de tecnologia que não compreendem as necessidades reais do produtor rural.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</w:p>
    <w:p>
      <w:pPr>
        <w:pStyle w:val="899"/>
        <w:numPr>
          <w:ilvl w:val="0"/>
          <w:numId w:val="13"/>
        </w:numPr>
        <w:pBdr/>
        <w:spacing w:line="360" w:lineRule="auto"/>
        <w:ind w:right="0" w:hanging="283" w:left="1276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Produto sem Fit com o Mercado: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Muitas Agtechs desenvolvem soluções sofisticadas que não resolvem um problema real do produtor rural ou que não são viáveis economicamente. No agronegócio, a adoção de tecnologia é pautada pelo retorno sobre o investimento (ROI). Se a solução não agrega val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or de forma clara, ela não será adotada.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Style w:val="899"/>
        <w:numPr>
          <w:ilvl w:val="0"/>
          <w:numId w:val="13"/>
        </w:numPr>
        <w:pBdr/>
        <w:spacing w:line="360" w:lineRule="auto"/>
        <w:ind w:right="0" w:hanging="283" w:left="1276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Dificuldade na Adoção pelo Produtor Rural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: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Muitos produtores ainda preferem métodos tradicionais, e a introdução de novas tecnologias pode ser vista como algo complexo ou desnecessário.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Style w:val="899"/>
        <w:numPr>
          <w:ilvl w:val="0"/>
          <w:numId w:val="13"/>
        </w:numPr>
        <w:pBdr/>
        <w:spacing w:line="360" w:lineRule="auto"/>
        <w:ind w:right="0" w:hanging="283" w:left="1276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Falta de um Conselho Consultivo Experiente</w:t>
      </w:r>
      <w:r>
        <w:rPr>
          <w:rFonts w:ascii="Arial" w:hAnsi="Arial" w:eastAsia="Arial" w:cs="Arial"/>
          <w:b/>
          <w:bCs/>
          <w:sz w:val="24"/>
          <w:szCs w:val="24"/>
          <w:highlight w:val="none"/>
        </w:rPr>
        <w:t xml:space="preserve">: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A falta de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orientação especializada pode ser fatal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, ocasionando na 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  <w:t xml:space="preserve">tomada de decisões baseadas apenas no feeling dos fundadores, podendo ocasionar erros estratégicos irreversíveis.</w:t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1276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p>
      <w:pPr>
        <w:pBdr/>
        <w:spacing w:line="360" w:lineRule="auto"/>
        <w:ind w:right="0" w:firstLine="0" w:left="0"/>
        <w:jc w:val="center"/>
        <w:rPr>
          <w:rFonts w:ascii="Arial" w:hAnsi="Arial" w:eastAsia="Arial" w:cs="Arial"/>
          <w:b/>
          <w:bCs/>
          <w:sz w:val="20"/>
          <w:szCs w:val="20"/>
          <w:highlight w:val="none"/>
        </w:rPr>
      </w:pPr>
      <w:r>
        <w:rPr>
          <w:rFonts w:ascii="Arial" w:hAnsi="Arial" w:eastAsia="Arial" w:cs="Arial"/>
          <w:b/>
          <w:bCs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sz w:val="20"/>
          <w:szCs w:val="20"/>
          <w:highlight w:val="none"/>
        </w:rPr>
        <w:t xml:space="preserve">AUTOR(A): Maryana de Freitas Leite </w:t>
      </w:r>
      <w:r>
        <w:rPr>
          <w:rFonts w:ascii="Arial" w:hAnsi="Arial" w:eastAsia="Arial" w:cs="Arial"/>
          <w:b/>
          <w:bCs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sz w:val="20"/>
          <w:szCs w:val="20"/>
          <w:highlight w:val="none"/>
        </w:rPr>
      </w:r>
    </w:p>
    <w:p>
      <w:pPr>
        <w:pBdr/>
        <w:spacing w:line="360" w:lineRule="auto"/>
        <w:ind w:right="0" w:firstLine="0" w:left="0"/>
        <w:jc w:val="center"/>
        <w:rPr>
          <w:rFonts w:ascii="Arial" w:hAnsi="Arial" w:eastAsia="Arial" w:cs="Arial"/>
          <w:b/>
          <w:bCs/>
          <w:sz w:val="20"/>
          <w:szCs w:val="20"/>
          <w:highlight w:val="none"/>
        </w:rPr>
      </w:pPr>
      <w:r>
        <w:rPr>
          <w:rFonts w:ascii="Arial" w:hAnsi="Arial" w:eastAsia="Arial" w:cs="Arial"/>
          <w:b/>
          <w:bCs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sz w:val="20"/>
          <w:szCs w:val="20"/>
          <w:highlight w:val="none"/>
        </w:rPr>
        <w:t xml:space="preserve">DATA: 05/05/2025</w:t>
      </w:r>
      <w:r>
        <w:rPr>
          <w:rFonts w:ascii="Arial" w:hAnsi="Arial" w:eastAsia="Arial" w:cs="Arial"/>
          <w:b/>
          <w:bCs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sz w:val="20"/>
          <w:szCs w:val="20"/>
          <w:highlight w:val="none"/>
        </w:rPr>
      </w:r>
    </w:p>
    <w:p>
      <w:pPr>
        <w:pBdr/>
        <w:spacing w:line="360" w:lineRule="auto"/>
        <w:ind w:right="0" w:firstLine="0" w:left="709"/>
        <w:jc w:val="left"/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09"/>
      </w:pPr>
      <w:rPr>
        <w:rFonts w:ascii="Arial Black" w:hAnsi="Arial Black" w:eastAsia="Arial Black" w:cs="Arial Black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2126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2126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4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6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28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0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2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4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6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88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992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992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992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170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42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14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86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58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30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02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74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46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1">
    <w:name w:val="Table Grid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Table Grid Light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1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2"/>
    <w:basedOn w:val="89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1"/>
    <w:basedOn w:val="895"/>
    <w:next w:val="895"/>
    <w:link w:val="8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8">
    <w:name w:val="Heading 2"/>
    <w:basedOn w:val="895"/>
    <w:next w:val="895"/>
    <w:link w:val="84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9">
    <w:name w:val="Heading 3"/>
    <w:basedOn w:val="895"/>
    <w:next w:val="895"/>
    <w:link w:val="84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0">
    <w:name w:val="Heading 4"/>
    <w:basedOn w:val="895"/>
    <w:next w:val="895"/>
    <w:link w:val="85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1">
    <w:name w:val="Heading 5"/>
    <w:basedOn w:val="895"/>
    <w:next w:val="895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2">
    <w:name w:val="Heading 6"/>
    <w:basedOn w:val="895"/>
    <w:next w:val="895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3">
    <w:name w:val="Heading 7"/>
    <w:basedOn w:val="895"/>
    <w:next w:val="895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4">
    <w:name w:val="Heading 8"/>
    <w:basedOn w:val="895"/>
    <w:next w:val="895"/>
    <w:link w:val="8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Heading 9"/>
    <w:basedOn w:val="895"/>
    <w:next w:val="895"/>
    <w:link w:val="8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6" w:default="1">
    <w:name w:val="Default Paragraph Font"/>
    <w:uiPriority w:val="1"/>
    <w:semiHidden/>
    <w:unhideWhenUsed/>
    <w:pPr>
      <w:pBdr/>
      <w:spacing/>
      <w:ind/>
    </w:pPr>
  </w:style>
  <w:style w:type="character" w:styleId="847">
    <w:name w:val="Heading 1 Char"/>
    <w:basedOn w:val="846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8">
    <w:name w:val="Heading 2 Char"/>
    <w:basedOn w:val="846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9">
    <w:name w:val="Heading 3 Char"/>
    <w:basedOn w:val="846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0">
    <w:name w:val="Heading 4 Char"/>
    <w:basedOn w:val="846"/>
    <w:link w:val="8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1">
    <w:name w:val="Heading 5 Char"/>
    <w:basedOn w:val="846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2">
    <w:name w:val="Heading 6 Char"/>
    <w:basedOn w:val="846"/>
    <w:link w:val="8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3">
    <w:name w:val="Heading 7 Char"/>
    <w:basedOn w:val="846"/>
    <w:link w:val="8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4">
    <w:name w:val="Heading 8 Char"/>
    <w:basedOn w:val="846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5">
    <w:name w:val="Heading 9 Char"/>
    <w:basedOn w:val="846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6">
    <w:name w:val="Title"/>
    <w:basedOn w:val="895"/>
    <w:next w:val="895"/>
    <w:link w:val="8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7">
    <w:name w:val="Title Char"/>
    <w:basedOn w:val="846"/>
    <w:link w:val="8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8">
    <w:name w:val="Subtitle"/>
    <w:basedOn w:val="895"/>
    <w:next w:val="895"/>
    <w:link w:val="8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Subtitle Char"/>
    <w:basedOn w:val="846"/>
    <w:link w:val="8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0">
    <w:name w:val="Quote"/>
    <w:basedOn w:val="895"/>
    <w:next w:val="895"/>
    <w:link w:val="8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1">
    <w:name w:val="Quote Char"/>
    <w:basedOn w:val="846"/>
    <w:link w:val="86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Emphasis"/>
    <w:basedOn w:val="84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5"/>
    <w:next w:val="895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846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84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6">
    <w:name w:val="Subtle Emphasis"/>
    <w:basedOn w:val="84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Emphasis"/>
    <w:basedOn w:val="846"/>
    <w:uiPriority w:val="20"/>
    <w:qFormat/>
    <w:pPr>
      <w:pBdr/>
      <w:spacing/>
      <w:ind/>
    </w:pPr>
    <w:rPr>
      <w:i/>
      <w:iCs/>
    </w:rPr>
  </w:style>
  <w:style w:type="character" w:styleId="868">
    <w:name w:val="Strong"/>
    <w:basedOn w:val="846"/>
    <w:uiPriority w:val="22"/>
    <w:qFormat/>
    <w:pPr>
      <w:pBdr/>
      <w:spacing/>
      <w:ind/>
    </w:pPr>
    <w:rPr>
      <w:b/>
      <w:bCs/>
    </w:rPr>
  </w:style>
  <w:style w:type="character" w:styleId="869">
    <w:name w:val="Subtle Reference"/>
    <w:basedOn w:val="84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0">
    <w:name w:val="Book Title"/>
    <w:basedOn w:val="84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1">
    <w:name w:val="Header"/>
    <w:basedOn w:val="895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Header Char"/>
    <w:basedOn w:val="846"/>
    <w:link w:val="871"/>
    <w:uiPriority w:val="99"/>
    <w:pPr>
      <w:pBdr/>
      <w:spacing/>
      <w:ind/>
    </w:pPr>
  </w:style>
  <w:style w:type="paragraph" w:styleId="873">
    <w:name w:val="Footer"/>
    <w:basedOn w:val="895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Footer Char"/>
    <w:basedOn w:val="846"/>
    <w:link w:val="873"/>
    <w:uiPriority w:val="99"/>
    <w:pPr>
      <w:pBdr/>
      <w:spacing/>
      <w:ind/>
    </w:pPr>
  </w:style>
  <w:style w:type="paragraph" w:styleId="875">
    <w:name w:val="Caption"/>
    <w:basedOn w:val="895"/>
    <w:next w:val="89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6">
    <w:name w:val="footnote text"/>
    <w:basedOn w:val="895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Footnote Text Char"/>
    <w:basedOn w:val="846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foot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paragraph" w:styleId="879">
    <w:name w:val="endnote text"/>
    <w:basedOn w:val="895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Endnote Text Char"/>
    <w:basedOn w:val="846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endnote reference"/>
    <w:basedOn w:val="846"/>
    <w:uiPriority w:val="99"/>
    <w:semiHidden/>
    <w:unhideWhenUsed/>
    <w:pPr>
      <w:pBdr/>
      <w:spacing/>
      <w:ind/>
    </w:pPr>
    <w:rPr>
      <w:vertAlign w:val="superscript"/>
    </w:rPr>
  </w:style>
  <w:style w:type="character" w:styleId="882">
    <w:name w:val="Hyperlink"/>
    <w:basedOn w:val="84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3">
    <w:name w:val="FollowedHyperlink"/>
    <w:basedOn w:val="84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4">
    <w:name w:val="toc 1"/>
    <w:basedOn w:val="895"/>
    <w:next w:val="895"/>
    <w:uiPriority w:val="39"/>
    <w:unhideWhenUsed/>
    <w:pPr>
      <w:pBdr/>
      <w:spacing w:after="100"/>
      <w:ind/>
    </w:pPr>
  </w:style>
  <w:style w:type="paragraph" w:styleId="885">
    <w:name w:val="toc 2"/>
    <w:basedOn w:val="895"/>
    <w:next w:val="895"/>
    <w:uiPriority w:val="39"/>
    <w:unhideWhenUsed/>
    <w:pPr>
      <w:pBdr/>
      <w:spacing w:after="100"/>
      <w:ind w:left="220"/>
    </w:pPr>
  </w:style>
  <w:style w:type="paragraph" w:styleId="886">
    <w:name w:val="toc 3"/>
    <w:basedOn w:val="895"/>
    <w:next w:val="895"/>
    <w:uiPriority w:val="39"/>
    <w:unhideWhenUsed/>
    <w:pPr>
      <w:pBdr/>
      <w:spacing w:after="100"/>
      <w:ind w:left="440"/>
    </w:pPr>
  </w:style>
  <w:style w:type="paragraph" w:styleId="887">
    <w:name w:val="toc 4"/>
    <w:basedOn w:val="895"/>
    <w:next w:val="895"/>
    <w:uiPriority w:val="39"/>
    <w:unhideWhenUsed/>
    <w:pPr>
      <w:pBdr/>
      <w:spacing w:after="100"/>
      <w:ind w:left="660"/>
    </w:pPr>
  </w:style>
  <w:style w:type="paragraph" w:styleId="888">
    <w:name w:val="toc 5"/>
    <w:basedOn w:val="895"/>
    <w:next w:val="895"/>
    <w:uiPriority w:val="39"/>
    <w:unhideWhenUsed/>
    <w:pPr>
      <w:pBdr/>
      <w:spacing w:after="100"/>
      <w:ind w:left="880"/>
    </w:pPr>
  </w:style>
  <w:style w:type="paragraph" w:styleId="889">
    <w:name w:val="toc 6"/>
    <w:basedOn w:val="895"/>
    <w:next w:val="895"/>
    <w:uiPriority w:val="39"/>
    <w:unhideWhenUsed/>
    <w:pPr>
      <w:pBdr/>
      <w:spacing w:after="100"/>
      <w:ind w:left="1100"/>
    </w:pPr>
  </w:style>
  <w:style w:type="paragraph" w:styleId="890">
    <w:name w:val="toc 7"/>
    <w:basedOn w:val="895"/>
    <w:next w:val="895"/>
    <w:uiPriority w:val="39"/>
    <w:unhideWhenUsed/>
    <w:pPr>
      <w:pBdr/>
      <w:spacing w:after="100"/>
      <w:ind w:left="1320"/>
    </w:pPr>
  </w:style>
  <w:style w:type="paragraph" w:styleId="891">
    <w:name w:val="toc 8"/>
    <w:basedOn w:val="895"/>
    <w:next w:val="895"/>
    <w:uiPriority w:val="39"/>
    <w:unhideWhenUsed/>
    <w:pPr>
      <w:pBdr/>
      <w:spacing w:after="100"/>
      <w:ind w:left="1540"/>
    </w:pPr>
  </w:style>
  <w:style w:type="paragraph" w:styleId="892">
    <w:name w:val="toc 9"/>
    <w:basedOn w:val="895"/>
    <w:next w:val="895"/>
    <w:uiPriority w:val="39"/>
    <w:unhideWhenUsed/>
    <w:pPr>
      <w:pBdr/>
      <w:spacing w:after="100"/>
      <w:ind w:left="1760"/>
    </w:pPr>
  </w:style>
  <w:style w:type="paragraph" w:styleId="893">
    <w:name w:val="TOC Heading"/>
    <w:uiPriority w:val="39"/>
    <w:unhideWhenUsed/>
    <w:pPr>
      <w:pBdr/>
      <w:spacing/>
      <w:ind/>
    </w:pPr>
  </w:style>
  <w:style w:type="paragraph" w:styleId="894">
    <w:name w:val="table of figures"/>
    <w:basedOn w:val="895"/>
    <w:next w:val="895"/>
    <w:uiPriority w:val="99"/>
    <w:unhideWhenUsed/>
    <w:pPr>
      <w:pBdr/>
      <w:spacing w:after="0" w:afterAutospacing="0"/>
      <w:ind/>
    </w:pPr>
  </w:style>
  <w:style w:type="paragraph" w:styleId="895" w:default="1">
    <w:name w:val="Normal"/>
    <w:qFormat/>
    <w:pPr>
      <w:pBdr/>
      <w:spacing/>
      <w:ind/>
    </w:pPr>
  </w:style>
  <w:style w:type="table" w:styleId="89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7" w:default="1">
    <w:name w:val="No List"/>
    <w:uiPriority w:val="99"/>
    <w:semiHidden/>
    <w:unhideWhenUsed/>
    <w:pPr>
      <w:pBdr/>
      <w:spacing/>
      <w:ind/>
    </w:pPr>
  </w:style>
  <w:style w:type="paragraph" w:styleId="898">
    <w:name w:val="No Spacing"/>
    <w:basedOn w:val="895"/>
    <w:uiPriority w:val="1"/>
    <w:qFormat/>
    <w:pPr>
      <w:pBdr/>
      <w:spacing w:after="0" w:line="240" w:lineRule="auto"/>
      <w:ind/>
    </w:pPr>
  </w:style>
  <w:style w:type="paragraph" w:styleId="899">
    <w:name w:val="List Paragraph"/>
    <w:basedOn w:val="89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2025-05-06T00:12:33Z</dcterms:modified>
</cp:coreProperties>
</file>