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A6192E"/>
          <w:sz w:val="18"/>
        </w:rPr>
        <w:t>TECHNICAL REFERENCE MANUAL  |  SYSTEMS ARCHITECTURE &amp; CLINICAL PROTOCOL</w:t>
      </w:r>
    </w:p>
    <w:p>
      <w:pPr>
        <w:spacing w:after="80"/>
      </w:pPr>
      <w:r>
        <w:rPr>
          <w:rFonts w:ascii="Arial" w:hAnsi="Arial"/>
          <w:b/>
          <w:color w:val="004F71"/>
          <w:sz w:val="40"/>
        </w:rPr>
        <w:t>RVNA Protocol Version 2.1:</w:t>
        <w:br/>
        <w:t>Pharmacological, Biologic, and Cytokine Compendium</w:t>
      </w:r>
    </w:p>
    <w:p>
      <w:pPr>
        <w:spacing w:after="200"/>
      </w:pPr>
      <w:r>
        <w:rPr>
          <w:rFonts w:ascii="Calibri" w:hAnsi="Calibri"/>
          <w:i/>
          <w:color w:val="5A5A5A"/>
          <w:sz w:val="24"/>
        </w:rPr>
        <w:t>A Technical Reference Directory of Molecular Therapeutics, Targeted Biologics, and Immunomodulatory Agents for Central Lyssavirus Clearance</w:t>
      </w:r>
    </w:p>
    <w:tbl>
      <w:tblPr>
        <w:tblW w:type="auto" w:w="0"/>
        <w:jc w:val="center"/>
        <w:tblLayout w:type="fixed"/>
        <w:tblLook w:firstColumn="1" w:firstRow="1" w:lastColumn="0" w:lastRow="0" w:noHBand="0" w:noVBand="1" w:val="04A0"/>
      </w:tblPr>
      <w:tblGrid>
        <w:gridCol w:w="9360"/>
      </w:tblGrid>
      <w:tr>
        <w:tc>
          <w:tcPr>
            <w:tcW w:type="dxa" w:w="9360"/>
            <w:shd w:fill="F4F8FC"/>
            <w:tcBorders>
              <w:top w:val="single" w:sz="12" w:space="0" w:color="004F71"/>
              <w:left w:val="single" w:sz="12" w:space="0" w:color="004F71"/>
              <w:bottom w:val="single" w:sz="12" w:space="0" w:color="004F71"/>
              <w:right w:val="single" w:sz="12" w:space="0" w:color="004F71"/>
            </w:tcBorders>
          </w:tcPr>
          <w:p>
            <w:pPr>
              <w:spacing w:after="40" w:before="40"/>
            </w:pPr>
            <w:r>
              <w:rPr>
                <w:b/>
              </w:rPr>
              <w:t xml:space="preserve">Consortium: </w:t>
            </w:r>
            <w:r>
              <w:t xml:space="preserve">The RVNA Collaborative    |    </w:t>
            </w:r>
            <w:r>
              <w:rPr>
                <w:b/>
              </w:rPr>
              <w:t xml:space="preserve">Correspondence: </w:t>
            </w:r>
            <w:r>
              <w:t>rvna.protocol@proton.me</w:t>
              <w:br/>
            </w:r>
            <w:r>
              <w:rPr>
                <w:b/>
              </w:rPr>
              <w:t xml:space="preserve">Permanent Digital Object Identifier: </w:t>
            </w:r>
            <w:r>
              <w:t>https://doi.org/10.5281/zenodo.22675931</w:t>
              <w:br/>
            </w:r>
            <w:r>
              <w:rPr>
                <w:b/>
              </w:rPr>
              <w:t xml:space="preserve">Regulatory Status: </w:t>
            </w:r>
            <w:r>
              <w:t>Investigational systems framework for clinical salvage (21 CFR Part 312). Not established medical advice.</w:t>
            </w:r>
          </w:p>
        </w:tc>
      </w:tr>
    </w:tbl>
    <w:p>
      <w:pPr>
        <w:spacing w:after="160"/>
      </w:pPr>
    </w:p>
    <w:p>
      <w:pPr>
        <w:keepNext/>
        <w:spacing w:before="320" w:after="120"/>
      </w:pPr>
      <w:r>
        <w:rPr>
          <w:rFonts w:ascii="Arial" w:hAnsi="Arial"/>
          <w:b/>
          <w:color w:val="004F71"/>
          <w:sz w:val="28"/>
        </w:rPr>
        <w:t>1. Passive Immunological Neutralization: Extracellular and Synaptic Modalities</w:t>
      </w:r>
    </w:p>
    <w:p>
      <w:pPr>
        <w:keepNext/>
        <w:spacing w:before="0" w:after="160"/>
      </w:pPr>
      <w:r>
        <w:rPr>
          <w:rFonts w:ascii="Arial" w:hAnsi="Arial"/>
          <w:color w:val="004F71"/>
          <w:sz w:val="12"/>
        </w:rPr>
        <w:t>━━━━━━━━━━━━━━━━━━━━━━━━━━━━━━━━━━━━━━━━━━━━━━━━━━━━━━━</w:t>
      </w:r>
    </w:p>
    <w:p>
      <w:pPr>
        <w:keepNext/>
        <w:spacing w:before="240" w:after="80"/>
      </w:pPr>
      <w:r>
        <w:rPr>
          <w:rFonts w:ascii="Arial" w:hAnsi="Arial"/>
          <w:b/>
          <w:color w:val="A6192E"/>
          <w:sz w:val="23"/>
        </w:rPr>
        <w:t>SYN023 (Zamerovimab and Mazorelvimab Mixture)</w:t>
      </w:r>
    </w:p>
    <w:p>
      <w:pPr>
        <w:spacing w:after="60" w:line="276" w:lineRule="auto"/>
        <w:ind w:left="288"/>
      </w:pPr>
      <w:r>
        <w:rPr>
          <w:b/>
          <w:color w:val="232323"/>
        </w:rPr>
        <w:t xml:space="preserve">• Therapeutic Class: </w:t>
      </w:r>
      <w:r>
        <w:rPr>
          <w:color w:val="232323"/>
        </w:rPr>
        <w:t>Recombinant humanized IgG1 monoclonal antibody cocktail.</w:t>
      </w:r>
    </w:p>
    <w:p>
      <w:pPr>
        <w:spacing w:after="60" w:line="276" w:lineRule="auto"/>
        <w:ind w:left="288"/>
      </w:pPr>
      <w:r>
        <w:rPr>
          <w:b/>
          <w:color w:val="232323"/>
        </w:rPr>
        <w:t xml:space="preserve">• Molecular Mass &amp; Hydrodynamic Dimensions: </w:t>
      </w:r>
      <w:r>
        <w:rPr>
          <w:color w:val="232323"/>
        </w:rPr>
        <w:t>Approximately 150 kDa; hydrodynamic radius (Rh) ≈ 5.5 nm.</w:t>
      </w:r>
    </w:p>
    <w:p>
      <w:pPr>
        <w:spacing w:after="60" w:line="276" w:lineRule="auto"/>
        <w:ind w:left="288"/>
      </w:pPr>
      <w:r>
        <w:rPr>
          <w:b/>
          <w:color w:val="232323"/>
        </w:rPr>
        <w:t xml:space="preserve">• Target Pathogen: </w:t>
      </w:r>
      <w:r>
        <w:rPr>
          <w:color w:val="232323"/>
        </w:rPr>
        <w:t>Lyssavirus Genotype 1 (Phylogroup I).</w:t>
      </w:r>
    </w:p>
    <w:p>
      <w:pPr>
        <w:spacing w:after="60" w:line="276" w:lineRule="auto"/>
        <w:ind w:left="288"/>
      </w:pPr>
      <w:r>
        <w:rPr>
          <w:b/>
          <w:color w:val="232323"/>
        </w:rPr>
        <w:t xml:space="preserve">• Target Epitope: </w:t>
      </w:r>
      <w:r>
        <w:rPr>
          <w:color w:val="232323"/>
        </w:rPr>
        <w:t>Binds two distinct, non-overlapping conformational epitopes on the rabies virus glycoprotein (RABV-G) ectodomain (antigenic sites I and III).</w:t>
      </w:r>
    </w:p>
    <w:p>
      <w:pPr>
        <w:spacing w:after="60" w:line="276" w:lineRule="auto"/>
        <w:ind w:left="288"/>
      </w:pPr>
      <w:r>
        <w:rPr>
          <w:b/>
          <w:color w:val="232323"/>
        </w:rPr>
        <w:t xml:space="preserve">• Mechanism of Action: </w:t>
      </w:r>
      <w:r>
        <w:rPr>
          <w:color w:val="232323"/>
        </w:rPr>
        <w:t>Provides rapid neutralization of free virions circulating within the bulk interstitial fluid. Steric occupancy of the glycoprotein ectodomain prevents viral attachment to host surface receptors, including nicotinic acetylcholine receptors (nAChR), neural cell adhesion molecules (NCAM), and p75NTR, thereby halting clathrin-dependent endocytosis.</w:t>
      </w:r>
    </w:p>
    <w:p>
      <w:pPr>
        <w:spacing w:after="60" w:line="276" w:lineRule="auto"/>
        <w:ind w:left="288"/>
      </w:pPr>
      <w:r>
        <w:rPr>
          <w:b/>
          <w:color w:val="232323"/>
        </w:rPr>
        <w:t xml:space="preserve">• Delivery Route: </w:t>
      </w:r>
      <w:r>
        <w:rPr>
          <w:color w:val="232323"/>
        </w:rPr>
        <w:t>Stereotactic convection-enhanced delivery (CED) into deep subcortical grey matter channels (thalamus, putamen).</w:t>
      </w:r>
    </w:p>
    <w:p>
      <w:pPr>
        <w:spacing w:after="60" w:line="276" w:lineRule="auto"/>
        <w:ind w:left="288"/>
      </w:pPr>
      <w:r>
        <w:rPr>
          <w:b/>
          <w:color w:val="232323"/>
        </w:rPr>
        <w:t xml:space="preserve">• Biophysical Constraints: </w:t>
      </w:r>
      <w:r>
        <w:rPr>
          <w:color w:val="232323"/>
        </w:rPr>
        <w:t>Excluded from the narrow 20 to 30 nm synaptic cleft due to steric hindrance and dense extracellular matrix proteoglycan networks. Lacks neutralizing efficacy against Phylogroup II lyssaviruses (such as Lagos bat virus and Mokola virus) due to critical amino acid substitutions across the antigenic site III loop.</w:t>
      </w:r>
    </w:p>
    <w:p>
      <w:pPr>
        <w:keepNext/>
        <w:spacing w:before="240" w:after="80"/>
      </w:pPr>
      <w:r>
        <w:rPr>
          <w:rFonts w:ascii="Arial" w:hAnsi="Arial"/>
          <w:b/>
          <w:color w:val="A6192E"/>
          <w:sz w:val="23"/>
        </w:rPr>
        <w:t>Biparatopic Camelid Nanobodies (Rab-E8/H7 Constructs)</w:t>
      </w:r>
    </w:p>
    <w:p>
      <w:pPr>
        <w:spacing w:after="60" w:line="276" w:lineRule="auto"/>
        <w:ind w:left="288"/>
      </w:pPr>
      <w:r>
        <w:rPr>
          <w:b/>
          <w:color w:val="232323"/>
        </w:rPr>
        <w:t xml:space="preserve">• Therapeutic Class: </w:t>
      </w:r>
      <w:r>
        <w:rPr>
          <w:color w:val="232323"/>
        </w:rPr>
        <w:t>Engineered single-domain antibody fragments (VHH).</w:t>
      </w:r>
    </w:p>
    <w:p>
      <w:pPr>
        <w:spacing w:after="60" w:line="276" w:lineRule="auto"/>
        <w:ind w:left="288"/>
      </w:pPr>
      <w:r>
        <w:rPr>
          <w:b/>
          <w:color w:val="232323"/>
        </w:rPr>
        <w:t xml:space="preserve">• Molecular Mass &amp; Hydrodynamic Dimensions: </w:t>
      </w:r>
      <w:r>
        <w:rPr>
          <w:color w:val="232323"/>
        </w:rPr>
        <w:t>Approximately 12 to 15 kDa; hydrodynamic radius (Rh) ≈ 1.5 to 2.0 nm.</w:t>
      </w:r>
    </w:p>
    <w:p>
      <w:pPr>
        <w:spacing w:after="60" w:line="276" w:lineRule="auto"/>
        <w:ind w:left="288"/>
      </w:pPr>
      <w:r>
        <w:rPr>
          <w:b/>
          <w:color w:val="232323"/>
        </w:rPr>
        <w:t xml:space="preserve">• Target Pathogen: </w:t>
      </w:r>
      <w:r>
        <w:rPr>
          <w:color w:val="232323"/>
        </w:rPr>
        <w:t>Broad-spectrum lyssaviruses (engineered for cross-phylogroup conservation).</w:t>
      </w:r>
    </w:p>
    <w:p>
      <w:pPr>
        <w:spacing w:after="60" w:line="276" w:lineRule="auto"/>
        <w:ind w:left="288"/>
      </w:pPr>
      <w:r>
        <w:rPr>
          <w:b/>
          <w:color w:val="232323"/>
        </w:rPr>
        <w:t xml:space="preserve">• Target Epitope: </w:t>
      </w:r>
      <w:r>
        <w:rPr>
          <w:color w:val="232323"/>
        </w:rPr>
        <w:t>Cryptic, conserved structural pockets and fusion-loop domains on the RABV-G trimer.</w:t>
      </w:r>
    </w:p>
    <w:p>
      <w:pPr>
        <w:spacing w:after="60" w:line="276" w:lineRule="auto"/>
        <w:ind w:left="288"/>
      </w:pPr>
      <w:r>
        <w:rPr>
          <w:b/>
          <w:color w:val="232323"/>
        </w:rPr>
        <w:t xml:space="preserve">• Mechanism of Action: </w:t>
      </w:r>
      <w:r>
        <w:rPr>
          <w:color w:val="232323"/>
        </w:rPr>
        <w:t>Acts as an inter-neuronal barrier to arrest cell-to-cell spread. Because its molecular footprint falls well below the 20 to 30 nm limit of the synaptic junction, the nanobody partitions into the synaptic cleft without steric exclusion. It binds progeny virions at the presynaptic active zone as they emerge, neutralizing them before they can engage postsynaptic receptors and preventing trans-synaptic circuit propagation.</w:t>
      </w:r>
    </w:p>
    <w:p>
      <w:pPr>
        <w:spacing w:after="60" w:line="276" w:lineRule="auto"/>
        <w:ind w:left="288"/>
      </w:pPr>
      <w:r>
        <w:rPr>
          <w:b/>
          <w:color w:val="232323"/>
        </w:rPr>
        <w:t xml:space="preserve">• Delivery Route: </w:t>
      </w:r>
      <w:r>
        <w:rPr>
          <w:color w:val="232323"/>
        </w:rPr>
        <w:t>Continuous low-rate micro-infusion via CED (0.2 to 0.5 µL/min) into pontine and medullary autonomic hubs, supplemented by cervical subarachnoid micro-perfusion.</w:t>
      </w:r>
    </w:p>
    <w:p>
      <w:pPr>
        <w:keepNext/>
        <w:spacing w:before="240" w:after="80"/>
      </w:pPr>
      <w:r>
        <w:rPr>
          <w:rFonts w:ascii="Arial" w:hAnsi="Arial"/>
          <w:b/>
          <w:color w:val="A6192E"/>
          <w:sz w:val="23"/>
        </w:rPr>
        <w:t>Multi-Epitope Monoclonal Cocktail (Targeting Sites II, III, and IV)</w:t>
      </w:r>
    </w:p>
    <w:p>
      <w:pPr>
        <w:spacing w:after="60" w:line="276" w:lineRule="auto"/>
        <w:ind w:left="288"/>
      </w:pPr>
      <w:r>
        <w:rPr>
          <w:b/>
          <w:color w:val="232323"/>
        </w:rPr>
        <w:t xml:space="preserve">• Therapeutic Class: </w:t>
      </w:r>
      <w:r>
        <w:rPr>
          <w:color w:val="232323"/>
        </w:rPr>
        <w:t>Chimeric/humanized monoclonal antibody triad (e.g., clones 7A3 targeting site IIa/b, 1E11 targeting site III, and 8A5 targeting site IV).</w:t>
      </w:r>
    </w:p>
    <w:p>
      <w:pPr>
        <w:spacing w:after="60" w:line="276" w:lineRule="auto"/>
        <w:ind w:left="288"/>
      </w:pPr>
      <w:r>
        <w:rPr>
          <w:b/>
          <w:color w:val="232323"/>
        </w:rPr>
        <w:t xml:space="preserve">• Target Pathogen: </w:t>
      </w:r>
      <w:r>
        <w:rPr>
          <w:color w:val="232323"/>
        </w:rPr>
        <w:t>Phylogroups I and II lyssaviruses.</w:t>
      </w:r>
    </w:p>
    <w:p>
      <w:pPr>
        <w:spacing w:after="60" w:line="276" w:lineRule="auto"/>
        <w:ind w:left="288"/>
      </w:pPr>
      <w:r>
        <w:rPr>
          <w:b/>
          <w:color w:val="232323"/>
        </w:rPr>
        <w:t xml:space="preserve">• Mechanism of Action: </w:t>
      </w:r>
      <w:r>
        <w:rPr>
          <w:color w:val="232323"/>
        </w:rPr>
        <w:t>Prevents mutational escape. Monoclonal monotherapies directed against a single site (such as 17C7 against site III) remain vulnerable to neutralization failure through single amino acid substitutions (e.g., at position 330, 333, or 336). Simultaneous binding across sites II, III, and IV locks both pre-fusion and post-fusion glycoprotein conformations, preventing phenotypic escape.</w:t>
      </w:r>
    </w:p>
    <w:p>
      <w:pPr>
        <w:spacing w:after="60" w:line="276" w:lineRule="auto"/>
        <w:ind w:left="288"/>
      </w:pPr>
      <w:r>
        <w:rPr>
          <w:b/>
          <w:color w:val="232323"/>
        </w:rPr>
        <w:t xml:space="preserve">• Delivery Route: </w:t>
      </w:r>
      <w:r>
        <w:rPr>
          <w:color w:val="232323"/>
        </w:rPr>
        <w:t>Supratentorial parenchymal infusion via CED.</w:t>
      </w:r>
    </w:p>
    <w:p>
      <w:pPr>
        <w:keepNext/>
        <w:spacing w:before="320" w:after="120"/>
      </w:pPr>
      <w:r>
        <w:rPr>
          <w:rFonts w:ascii="Arial" w:hAnsi="Arial"/>
          <w:b/>
          <w:color w:val="004F71"/>
          <w:sz w:val="28"/>
        </w:rPr>
        <w:t>2. Intracellular Antiviral and Transcriptional Suppression Agents</w:t>
      </w:r>
    </w:p>
    <w:p>
      <w:pPr>
        <w:keepNext/>
        <w:spacing w:before="0" w:after="160"/>
      </w:pPr>
      <w:r>
        <w:rPr>
          <w:rFonts w:ascii="Arial" w:hAnsi="Arial"/>
          <w:color w:val="004F71"/>
          <w:sz w:val="12"/>
        </w:rPr>
        <w:t>━━━━━━━━━━━━━━━━━━━━━━━━━━━━━━━━━━━━━━━━━━━━━━━━━━━━━━━</w:t>
      </w:r>
    </w:p>
    <w:p>
      <w:pPr>
        <w:keepNext/>
        <w:spacing w:before="240" w:after="80"/>
      </w:pPr>
      <w:r>
        <w:rPr>
          <w:rFonts w:ascii="Arial" w:hAnsi="Arial"/>
          <w:b/>
          <w:color w:val="A6192E"/>
          <w:sz w:val="23"/>
        </w:rPr>
        <w:t>Galidesivir (BCX4430 / Immucillin-A)</w:t>
      </w:r>
    </w:p>
    <w:p>
      <w:pPr>
        <w:spacing w:after="60" w:line="276" w:lineRule="auto"/>
        <w:ind w:left="288"/>
      </w:pPr>
      <w:r>
        <w:rPr>
          <w:b/>
          <w:color w:val="232323"/>
        </w:rPr>
        <w:t xml:space="preserve">• Therapeutic Class: </w:t>
      </w:r>
      <w:r>
        <w:rPr>
          <w:color w:val="232323"/>
        </w:rPr>
        <w:t>Synthetic adenosine C-nucleoside analogue.</w:t>
      </w:r>
    </w:p>
    <w:p>
      <w:pPr>
        <w:spacing w:after="60" w:line="276" w:lineRule="auto"/>
        <w:ind w:left="288"/>
      </w:pPr>
      <w:r>
        <w:rPr>
          <w:b/>
          <w:color w:val="232323"/>
        </w:rPr>
        <w:t xml:space="preserve">• Molecular Mass: </w:t>
      </w:r>
      <w:r>
        <w:rPr>
          <w:color w:val="232323"/>
        </w:rPr>
        <w:t>291.3 Da.</w:t>
      </w:r>
    </w:p>
    <w:p>
      <w:pPr>
        <w:spacing w:after="60" w:line="276" w:lineRule="auto"/>
        <w:ind w:left="288"/>
      </w:pPr>
      <w:r>
        <w:rPr>
          <w:b/>
          <w:color w:val="232323"/>
        </w:rPr>
        <w:t xml:space="preserve">• Target Pathogen: </w:t>
      </w:r>
      <w:r>
        <w:rPr>
          <w:color w:val="232323"/>
        </w:rPr>
        <w:t>Broad-spectrum non-segmented negative-sense RNA viruses (Mononegavirales).</w:t>
      </w:r>
    </w:p>
    <w:p>
      <w:pPr>
        <w:spacing w:after="60" w:line="276" w:lineRule="auto"/>
        <w:ind w:left="288"/>
      </w:pPr>
      <w:r>
        <w:rPr>
          <w:b/>
          <w:color w:val="232323"/>
        </w:rPr>
        <w:t xml:space="preserve">• Mechanism of Action: </w:t>
      </w:r>
      <w:r>
        <w:rPr>
          <w:color w:val="232323"/>
        </w:rPr>
        <w:t>1) Polymerase Chain Termination: Host intracellular kinases convert galidesivir into its active 5'-triphosphate metabolite. The viral RNA-dependent RNA polymerase (L-protein complex) recognizes this congener as an alternative substrate and incorporates it into nascent viral RNA, causing immediate non-obligate chain termination. 2) Autophagic Vacuole Modulation: Attenuates aberrant host autophagy. Rabies virus subverts autophagic vacuoles as protected replication and assembly niches; suppressive modulation of this pathway deprives the pathogen of intracellular replication platforms.</w:t>
      </w:r>
    </w:p>
    <w:p>
      <w:pPr>
        <w:spacing w:after="60" w:line="276" w:lineRule="auto"/>
        <w:ind w:left="288"/>
      </w:pPr>
      <w:r>
        <w:rPr>
          <w:b/>
          <w:color w:val="232323"/>
        </w:rPr>
        <w:t xml:space="preserve">• Pharmacological Advantages over Favipiravir (T-705): </w:t>
      </w:r>
      <w:r>
        <w:rPr>
          <w:color w:val="232323"/>
        </w:rPr>
        <w:t>Demonstrates higher in vitro potency and lower micromolar IC50 values in neuronal lineages across multiple lyssavirus challenge strains. Acts via direct chain termination rather than relying exclusively on lethal viral mutagenesis. Shows minimal neurotoxicity in primary neuronal cultures at concentrations exceeding 200 µM. Displays high aqueous solubility in isotonic artificial cerebrospinal fluid (aCSF), permitting convective infusion without organic co-solvents.</w:t>
      </w:r>
    </w:p>
    <w:p>
      <w:pPr>
        <w:spacing w:after="60" w:line="276" w:lineRule="auto"/>
        <w:ind w:left="288"/>
      </w:pPr>
      <w:r>
        <w:rPr>
          <w:b/>
          <w:color w:val="232323"/>
        </w:rPr>
        <w:t xml:space="preserve">• Delivery Route: </w:t>
      </w:r>
      <w:r>
        <w:rPr>
          <w:color w:val="232323"/>
        </w:rPr>
        <w:t>Direct convective micro-infusion into diencephalic and brainstem parenchymal targets.</w:t>
      </w:r>
    </w:p>
    <w:p>
      <w:pPr>
        <w:keepNext/>
        <w:spacing w:before="240" w:after="80"/>
      </w:pPr>
      <w:r>
        <w:rPr>
          <w:rFonts w:ascii="Arial" w:hAnsi="Arial"/>
          <w:b/>
          <w:color w:val="A6192E"/>
          <w:sz w:val="23"/>
        </w:rPr>
        <w:t>Atorvastatin (Host Lipid Droplet Biosynthesis Antagonist)</w:t>
      </w:r>
    </w:p>
    <w:p>
      <w:pPr>
        <w:spacing w:after="60" w:line="276" w:lineRule="auto"/>
        <w:ind w:left="288"/>
      </w:pPr>
      <w:r>
        <w:rPr>
          <w:b/>
          <w:color w:val="232323"/>
        </w:rPr>
        <w:t xml:space="preserve">• Therapeutic Class: </w:t>
      </w:r>
      <w:r>
        <w:rPr>
          <w:color w:val="232323"/>
        </w:rPr>
        <w:t>Lipophilic 3-hydroxy-3-methylglutaryl-coenzyme A (HMG-CoA) reductase inhibitor.</w:t>
      </w:r>
    </w:p>
    <w:p>
      <w:pPr>
        <w:spacing w:after="60" w:line="276" w:lineRule="auto"/>
        <w:ind w:left="288"/>
      </w:pPr>
      <w:r>
        <w:rPr>
          <w:b/>
          <w:color w:val="232323"/>
        </w:rPr>
        <w:t xml:space="preserve">• Target Mechanism: </w:t>
      </w:r>
      <w:r>
        <w:rPr>
          <w:color w:val="232323"/>
        </w:rPr>
        <w:t>Disruption of host lipid droplet biogenesis and endomembrane assembly platforms.</w:t>
      </w:r>
    </w:p>
    <w:p>
      <w:pPr>
        <w:spacing w:after="60" w:line="276" w:lineRule="auto"/>
        <w:ind w:left="288"/>
      </w:pPr>
      <w:r>
        <w:rPr>
          <w:b/>
          <w:color w:val="232323"/>
        </w:rPr>
        <w:t xml:space="preserve">• Mechanism of Action: </w:t>
      </w:r>
      <w:r>
        <w:rPr>
          <w:color w:val="232323"/>
        </w:rPr>
        <w:t>Lyssavirus morphogenesis requires host lipid droplets as docking platforms for matrix (M) protein alignment and envelope glycoprotein assembly via the NDRG1-DGAT1/2 pathway. By inhibiting HMG-CoA reductase and depleting downstream isoprenoid intermediates, atorvastatin reduces intracellular lipid droplet pools, impairing virion budding without inducing host cytolysis.</w:t>
      </w:r>
    </w:p>
    <w:p>
      <w:pPr>
        <w:spacing w:after="60" w:line="276" w:lineRule="auto"/>
        <w:ind w:left="288"/>
      </w:pPr>
      <w:r>
        <w:rPr>
          <w:b/>
          <w:color w:val="232323"/>
        </w:rPr>
        <w:t xml:space="preserve">• Formulation &amp; Delivery Route: </w:t>
      </w:r>
      <w:r>
        <w:rPr>
          <w:color w:val="232323"/>
        </w:rPr>
        <w:t>Administered enterally or via a separate intravenous channel. If infused locally, it requires dedicated solubilization (e.g., using 2-hydroxypropyl-beta-cyclodextrin) to prevent precipitation upon contact with aqueous protein solutions in small-bore cannulas.</w:t>
      </w:r>
    </w:p>
    <w:p>
      <w:pPr>
        <w:keepNext/>
        <w:spacing w:before="240" w:after="80"/>
      </w:pPr>
      <w:r>
        <w:rPr>
          <w:rFonts w:ascii="Arial" w:hAnsi="Arial"/>
          <w:b/>
          <w:color w:val="A6192E"/>
          <w:sz w:val="23"/>
        </w:rPr>
        <w:t>Phosphorothioate 2'-O-Methoxyethyl (2'-MOE) Antisense Gapmers</w:t>
      </w:r>
    </w:p>
    <w:p>
      <w:pPr>
        <w:spacing w:after="60" w:line="276" w:lineRule="auto"/>
        <w:ind w:left="288"/>
      </w:pPr>
      <w:r>
        <w:rPr>
          <w:b/>
          <w:color w:val="232323"/>
        </w:rPr>
        <w:t xml:space="preserve">• Therapeutic Class: </w:t>
      </w:r>
      <w:r>
        <w:rPr>
          <w:color w:val="232323"/>
        </w:rPr>
        <w:t>Chemically modified single-stranded antisense oligonucleotides (ASOs).</w:t>
      </w:r>
    </w:p>
    <w:p>
      <w:pPr>
        <w:spacing w:after="60" w:line="276" w:lineRule="auto"/>
        <w:ind w:left="288"/>
      </w:pPr>
      <w:r>
        <w:rPr>
          <w:b/>
          <w:color w:val="232323"/>
        </w:rPr>
        <w:t xml:space="preserve">• Target Sequences: </w:t>
      </w:r>
      <w:r>
        <w:rPr>
          <w:color w:val="232323"/>
        </w:rPr>
        <w:t>Conserved sequences within the viral nucleoprotein (N) and RNA-dependent RNA polymerase (L) mRNAs.</w:t>
      </w:r>
    </w:p>
    <w:p>
      <w:pPr>
        <w:spacing w:after="60" w:line="276" w:lineRule="auto"/>
        <w:ind w:left="288"/>
      </w:pPr>
      <w:r>
        <w:rPr>
          <w:b/>
          <w:color w:val="232323"/>
        </w:rPr>
        <w:t xml:space="preserve">• Mechanism of Action: </w:t>
      </w:r>
      <w:r>
        <w:rPr>
          <w:color w:val="232323"/>
        </w:rPr>
        <w:t>Mediates non-cytolytic transcript degradation. Following cellular uptake, the gapmer hybridizes to free viral mRNA transcripts and replicative intermediates within the cytoplasm. The resulting DNA-RNA heteroduplex recruits endogenous nuclear and cytoplasmic RNase H1, which catalytically cleaves the viral transcript without compromising host cell viability. Note: The negative-sense genomic RNA core is encapsidated by viral N protein (one monomer per nine nucleotides) and remains sterically inaccessible; cleavage is restricted to active mRNA transcripts.</w:t>
      </w:r>
    </w:p>
    <w:p>
      <w:pPr>
        <w:spacing w:after="60" w:line="276" w:lineRule="auto"/>
        <w:ind w:left="288"/>
      </w:pPr>
      <w:r>
        <w:rPr>
          <w:b/>
          <w:color w:val="232323"/>
        </w:rPr>
        <w:t xml:space="preserve">• Delivery Route: </w:t>
      </w:r>
      <w:r>
        <w:rPr>
          <w:color w:val="232323"/>
        </w:rPr>
        <w:t>Stereotactic convective parenchymal infusion.</w:t>
      </w:r>
    </w:p>
    <w:p>
      <w:pPr>
        <w:keepNext/>
        <w:spacing w:before="320" w:after="120"/>
      </w:pPr>
      <w:r>
        <w:rPr>
          <w:rFonts w:ascii="Arial" w:hAnsi="Arial"/>
          <w:b/>
          <w:color w:val="004F71"/>
          <w:sz w:val="28"/>
        </w:rPr>
        <w:t>3. Neuroregenerative and Neurotrophic Factors</w:t>
      </w:r>
    </w:p>
    <w:p>
      <w:pPr>
        <w:keepNext/>
        <w:spacing w:before="0" w:after="160"/>
      </w:pPr>
      <w:r>
        <w:rPr>
          <w:rFonts w:ascii="Arial" w:hAnsi="Arial"/>
          <w:color w:val="004F71"/>
          <w:sz w:val="12"/>
        </w:rPr>
        <w:t>━━━━━━━━━━━━━━━━━━━━━━━━━━━━━━━━━━━━━━━━━━━━━━━━━━━━━━━</w:t>
      </w:r>
    </w:p>
    <w:p>
      <w:pPr>
        <w:keepNext/>
        <w:spacing w:before="240" w:after="80"/>
      </w:pPr>
      <w:r>
        <w:rPr>
          <w:rFonts w:ascii="Arial" w:hAnsi="Arial"/>
          <w:b/>
          <w:color w:val="A6192E"/>
          <w:sz w:val="23"/>
        </w:rPr>
        <w:t>Neurotrophin-3 (NT-3)</w:t>
      </w:r>
    </w:p>
    <w:p>
      <w:pPr>
        <w:spacing w:after="60" w:line="276" w:lineRule="auto"/>
        <w:ind w:left="288"/>
      </w:pPr>
      <w:r>
        <w:rPr>
          <w:b/>
          <w:color w:val="232323"/>
        </w:rPr>
        <w:t xml:space="preserve">• Therapeutic Class: </w:t>
      </w:r>
      <w:r>
        <w:rPr>
          <w:color w:val="232323"/>
        </w:rPr>
        <w:t>Recombinant human neurotrophic factor.</w:t>
      </w:r>
    </w:p>
    <w:p>
      <w:pPr>
        <w:spacing w:after="60" w:line="276" w:lineRule="auto"/>
        <w:ind w:left="288"/>
      </w:pPr>
      <w:r>
        <w:rPr>
          <w:b/>
          <w:color w:val="232323"/>
        </w:rPr>
        <w:t xml:space="preserve">• Target Pathology: </w:t>
      </w:r>
      <w:r>
        <w:rPr>
          <w:color w:val="232323"/>
        </w:rPr>
        <w:t>Axonal varicosity, neurofilament fragmentation, and retrograde transport uncoupling.</w:t>
      </w:r>
    </w:p>
    <w:p>
      <w:pPr>
        <w:spacing w:after="60" w:line="276" w:lineRule="auto"/>
        <w:ind w:left="288"/>
      </w:pPr>
      <w:r>
        <w:rPr>
          <w:b/>
          <w:color w:val="232323"/>
        </w:rPr>
        <w:t xml:space="preserve">• Mechanism of Action: </w:t>
      </w:r>
      <w:r>
        <w:rPr>
          <w:color w:val="232323"/>
        </w:rPr>
        <w:t>Binds with high affinity to the TrkC receptor tyrosine kinase, activating downstream ERK/MAPK cascades. Promotes microtubule stabilization, halts axonal beading, and maintains central glial repair states following encephalitic injury.</w:t>
      </w:r>
    </w:p>
    <w:p>
      <w:pPr>
        <w:spacing w:after="60" w:line="276" w:lineRule="auto"/>
        <w:ind w:left="288"/>
      </w:pPr>
      <w:r>
        <w:rPr>
          <w:b/>
          <w:color w:val="232323"/>
        </w:rPr>
        <w:t xml:space="preserve">• Delivery Constraints: </w:t>
      </w:r>
      <w:r>
        <w:rPr>
          <w:color w:val="232323"/>
        </w:rPr>
        <w:t>Introduced only during Phase III structural reconstruction after virological clearance is confirmed (Γ(t) = 1).</w:t>
      </w:r>
    </w:p>
    <w:p>
      <w:pPr>
        <w:keepNext/>
        <w:spacing w:before="240" w:after="80"/>
      </w:pPr>
      <w:r>
        <w:rPr>
          <w:rFonts w:ascii="Arial" w:hAnsi="Arial"/>
          <w:b/>
          <w:color w:val="A6192E"/>
          <w:sz w:val="23"/>
        </w:rPr>
        <w:t>Nerve Growth Factor (NGF)</w:t>
      </w:r>
    </w:p>
    <w:p>
      <w:pPr>
        <w:spacing w:after="60" w:line="276" w:lineRule="auto"/>
        <w:ind w:left="288"/>
      </w:pPr>
      <w:r>
        <w:rPr>
          <w:b/>
          <w:color w:val="232323"/>
        </w:rPr>
        <w:t xml:space="preserve">• Therapeutic Class: </w:t>
      </w:r>
      <w:r>
        <w:rPr>
          <w:color w:val="232323"/>
        </w:rPr>
        <w:t>Recombinant neurotrophic factor.</w:t>
      </w:r>
    </w:p>
    <w:p>
      <w:pPr>
        <w:spacing w:after="60" w:line="276" w:lineRule="auto"/>
        <w:ind w:left="288"/>
      </w:pPr>
      <w:r>
        <w:rPr>
          <w:b/>
          <w:color w:val="232323"/>
        </w:rPr>
        <w:t xml:space="preserve">• Target Pathology: </w:t>
      </w:r>
      <w:r>
        <w:rPr>
          <w:color w:val="232323"/>
        </w:rPr>
        <w:t>Loss of dendritic spines, filamentous actin (F-actin) depolymerization, and p75NTR pathway subversion.</w:t>
      </w:r>
    </w:p>
    <w:p>
      <w:pPr>
        <w:spacing w:after="60" w:line="276" w:lineRule="auto"/>
        <w:ind w:left="288"/>
      </w:pPr>
      <w:r>
        <w:rPr>
          <w:b/>
          <w:color w:val="232323"/>
        </w:rPr>
        <w:t xml:space="preserve">• Mechanism of Action: </w:t>
      </w:r>
      <w:r>
        <w:rPr>
          <w:color w:val="232323"/>
        </w:rPr>
        <w:t>Binds TrkA receptors on receptive neuronal populations, stimulating localized actin polymerization, synaptic vesicle clustering, and post-clearance dendritic arborization. Counteracts the cytoskeletal exhaustion caused by rabies virus hijacking of the p75NTR transport complex.</w:t>
      </w:r>
    </w:p>
    <w:p>
      <w:pPr>
        <w:spacing w:after="60" w:line="276" w:lineRule="auto"/>
        <w:ind w:left="288"/>
      </w:pPr>
      <w:r>
        <w:rPr>
          <w:b/>
          <w:color w:val="232323"/>
        </w:rPr>
        <w:t xml:space="preserve">• Delivery Route: </w:t>
      </w:r>
      <w:r>
        <w:rPr>
          <w:color w:val="232323"/>
        </w:rPr>
        <w:t>Micro-titrated parenchymal infusion during post-clearance maintenance.</w:t>
      </w:r>
    </w:p>
    <w:p>
      <w:pPr>
        <w:keepNext/>
        <w:spacing w:before="240" w:after="80"/>
      </w:pPr>
      <w:r>
        <w:rPr>
          <w:rFonts w:ascii="Arial" w:hAnsi="Arial"/>
          <w:b/>
          <w:color w:val="A6192E"/>
          <w:sz w:val="23"/>
        </w:rPr>
        <w:t>Brain-Derived Neurotrophic Factor (BDNF)</w:t>
      </w:r>
    </w:p>
    <w:p>
      <w:pPr>
        <w:spacing w:after="60" w:line="276" w:lineRule="auto"/>
        <w:ind w:left="288"/>
      </w:pPr>
      <w:r>
        <w:rPr>
          <w:b/>
          <w:color w:val="232323"/>
        </w:rPr>
        <w:t xml:space="preserve">• Therapeutic Class: </w:t>
      </w:r>
      <w:r>
        <w:rPr>
          <w:color w:val="232323"/>
        </w:rPr>
        <w:t>Endogenous neurotrophin targeted for epigenetic derepression.</w:t>
      </w:r>
    </w:p>
    <w:p>
      <w:pPr>
        <w:spacing w:after="60" w:line="276" w:lineRule="auto"/>
        <w:ind w:left="288"/>
      </w:pPr>
      <w:r>
        <w:rPr>
          <w:b/>
          <w:color w:val="232323"/>
        </w:rPr>
        <w:t xml:space="preserve">• Target Pathology: </w:t>
      </w:r>
      <w:r>
        <w:rPr>
          <w:color w:val="232323"/>
        </w:rPr>
        <w:t>Synaptic transmission failure and post-encephalitic circuit disconnection.</w:t>
      </w:r>
    </w:p>
    <w:p>
      <w:pPr>
        <w:spacing w:after="60" w:line="276" w:lineRule="auto"/>
        <w:ind w:left="288"/>
      </w:pPr>
      <w:r>
        <w:rPr>
          <w:b/>
          <w:color w:val="232323"/>
        </w:rPr>
        <w:t xml:space="preserve">• Mechanism of Action: </w:t>
      </w:r>
      <w:r>
        <w:rPr>
          <w:color w:val="232323"/>
        </w:rPr>
        <w:t>Stimulates TrkB-mediated long-term potentiation and spinogenesis across recovering brainstem networks. In pediatric cohorts, endogenous BDNF expression is leveraged by mitigating neuroinflammation-induced promoter hypermethylation and microRNA-mediated repression (miR-1, miR-10b).</w:t>
      </w:r>
    </w:p>
    <w:p>
      <w:pPr>
        <w:keepNext/>
        <w:spacing w:before="320" w:after="120"/>
      </w:pPr>
      <w:r>
        <w:rPr>
          <w:rFonts w:ascii="Arial" w:hAnsi="Arial"/>
          <w:b/>
          <w:color w:val="004F71"/>
          <w:sz w:val="28"/>
        </w:rPr>
        <w:t>4. Immunomodulatory Cytokines and Microvascular Modifiers</w:t>
      </w:r>
    </w:p>
    <w:p>
      <w:pPr>
        <w:keepNext/>
        <w:spacing w:before="0" w:after="160"/>
      </w:pPr>
      <w:r>
        <w:rPr>
          <w:rFonts w:ascii="Arial" w:hAnsi="Arial"/>
          <w:color w:val="004F71"/>
          <w:sz w:val="12"/>
        </w:rPr>
        <w:t>━━━━━━━━━━━━━━━━━━━━━━━━━━━━━━━━━━━━━━━━━━━━━━━━━━━━━━━</w:t>
      </w:r>
    </w:p>
    <w:p>
      <w:pPr>
        <w:keepNext/>
        <w:spacing w:before="240" w:after="80"/>
      </w:pPr>
      <w:r>
        <w:rPr>
          <w:rFonts w:ascii="Arial" w:hAnsi="Arial"/>
          <w:b/>
          <w:color w:val="A6192E"/>
          <w:sz w:val="23"/>
        </w:rPr>
        <w:t>Interferon-Beta (IFN-β)</w:t>
      </w:r>
    </w:p>
    <w:p>
      <w:pPr>
        <w:spacing w:after="60" w:line="276" w:lineRule="auto"/>
        <w:ind w:left="288"/>
      </w:pPr>
      <w:r>
        <w:rPr>
          <w:b/>
          <w:color w:val="232323"/>
        </w:rPr>
        <w:t xml:space="preserve">• Therapeutic Class: </w:t>
      </w:r>
      <w:r>
        <w:rPr>
          <w:color w:val="232323"/>
        </w:rPr>
        <w:t>Recombinant Type I interferon.</w:t>
      </w:r>
    </w:p>
    <w:p>
      <w:pPr>
        <w:spacing w:after="60" w:line="276" w:lineRule="auto"/>
        <w:ind w:left="288"/>
      </w:pPr>
      <w:r>
        <w:rPr>
          <w:b/>
          <w:color w:val="232323"/>
        </w:rPr>
        <w:t xml:space="preserve">• Formulation Requirements: </w:t>
      </w:r>
      <w:r>
        <w:rPr>
          <w:color w:val="232323"/>
        </w:rPr>
        <w:t>Prepared in a preservative-free, endotoxin-free artificial cerebrospinal fluid matrix.</w:t>
      </w:r>
    </w:p>
    <w:p>
      <w:pPr>
        <w:spacing w:after="60" w:line="276" w:lineRule="auto"/>
        <w:ind w:left="288"/>
      </w:pPr>
      <w:r>
        <w:rPr>
          <w:b/>
          <w:color w:val="232323"/>
        </w:rPr>
        <w:t xml:space="preserve">• Mechanism of Action: </w:t>
      </w:r>
      <w:r>
        <w:rPr>
          <w:color w:val="232323"/>
        </w:rPr>
        <w:t>Functions as a non-cytolytic antiviral modifier and endothelial stabilizer. Binding to the neuronal IFNAR1/IFNAR2 complex initiates JAK1/TYK2 phosphorylation and ISGF3 nuclear translocation, driving transcription of classical interferon-stimulated genes: 1) Protein Kinase R (PKR), which phosphorylates eIF2-alpha to halt viral protein synthesis; and 2) OAS1 and RNase L, which degrade viral single-stranded RNA species.</w:t>
      </w:r>
    </w:p>
    <w:p>
      <w:pPr>
        <w:spacing w:after="60" w:line="276" w:lineRule="auto"/>
        <w:ind w:left="288"/>
      </w:pPr>
      <w:r>
        <w:rPr>
          <w:b/>
          <w:color w:val="232323"/>
        </w:rPr>
        <w:t xml:space="preserve">• Microvascular Stabilization: </w:t>
      </w:r>
      <w:r>
        <w:rPr>
          <w:color w:val="232323"/>
        </w:rPr>
        <w:t>Downregulates matrix metalloproteinases (principally MMP-9), preserving endothelial tight-junction integrity (claudin-5, occludin) and reducing vasogenic edema.</w:t>
      </w:r>
    </w:p>
    <w:p>
      <w:pPr>
        <w:spacing w:after="60" w:line="276" w:lineRule="auto"/>
        <w:ind w:left="288"/>
      </w:pPr>
      <w:r>
        <w:rPr>
          <w:b/>
          <w:color w:val="232323"/>
        </w:rPr>
        <w:t xml:space="preserve">• Delivery Route: </w:t>
      </w:r>
      <w:r>
        <w:rPr>
          <w:color w:val="232323"/>
        </w:rPr>
        <w:t>Low-dose titrated micro-infusion via CED.</w:t>
      </w:r>
    </w:p>
    <w:p>
      <w:pPr>
        <w:keepNext/>
        <w:spacing w:before="240" w:after="80"/>
      </w:pPr>
      <w:r>
        <w:rPr>
          <w:rFonts w:ascii="Arial" w:hAnsi="Arial"/>
          <w:b/>
          <w:color w:val="A6192E"/>
          <w:sz w:val="23"/>
        </w:rPr>
        <w:t>Interferon-Gamma (IFN-γ): Preclinical Hazard and Exclusion</w:t>
      </w:r>
    </w:p>
    <w:p>
      <w:pPr>
        <w:spacing w:after="60" w:line="276" w:lineRule="auto"/>
        <w:ind w:left="288"/>
      </w:pPr>
      <w:r>
        <w:rPr>
          <w:b/>
          <w:color w:val="232323"/>
        </w:rPr>
        <w:t xml:space="preserve">• Therapeutic Class: </w:t>
      </w:r>
      <w:r>
        <w:rPr>
          <w:color w:val="232323"/>
        </w:rPr>
        <w:t>Type II recombinant interferon.</w:t>
      </w:r>
    </w:p>
    <w:p>
      <w:pPr>
        <w:spacing w:after="60" w:line="276" w:lineRule="auto"/>
        <w:ind w:left="288"/>
      </w:pPr>
      <w:r>
        <w:rPr>
          <w:b/>
          <w:color w:val="232323"/>
        </w:rPr>
        <w:t xml:space="preserve">• Exclusion Criteria: </w:t>
      </w:r>
      <w:r>
        <w:rPr>
          <w:color w:val="232323"/>
        </w:rPr>
        <w:t>Although IFN-γ demonstrates in vitro virucidal activity, direct parenchymal infusion carries unacceptable neurotoxic risks. High localized concentrations provoke profound microglial activation, astrogliosis, cytotoxic edema, and persistent epigenetic synaptopathy (chromatin silencing of synaptic transmission genes). It is explicitly excluded from the RVNA infusion cocktail.</w:t>
      </w:r>
    </w:p>
    <w:p>
      <w:pPr>
        <w:keepNext/>
        <w:spacing w:before="320" w:after="120"/>
      </w:pPr>
      <w:r>
        <w:rPr>
          <w:rFonts w:ascii="Arial" w:hAnsi="Arial"/>
          <w:b/>
          <w:color w:val="004F71"/>
          <w:sz w:val="28"/>
        </w:rPr>
        <w:t>5. Neurocritical Care and Delivery Adjuvants</w:t>
      </w:r>
    </w:p>
    <w:p>
      <w:pPr>
        <w:keepNext/>
        <w:spacing w:before="0" w:after="160"/>
      </w:pPr>
      <w:r>
        <w:rPr>
          <w:rFonts w:ascii="Arial" w:hAnsi="Arial"/>
          <w:color w:val="004F71"/>
          <w:sz w:val="12"/>
        </w:rPr>
        <w:t>━━━━━━━━━━━━━━━━━━━━━━━━━━━━━━━━━━━━━━━━━━━━━━━━━━━━━━━</w:t>
      </w:r>
    </w:p>
    <w:p>
      <w:pPr>
        <w:keepNext/>
        <w:spacing w:before="240" w:after="80"/>
      </w:pPr>
      <w:r>
        <w:rPr>
          <w:rFonts w:ascii="Arial" w:hAnsi="Arial"/>
          <w:b/>
          <w:color w:val="A6192E"/>
          <w:sz w:val="23"/>
        </w:rPr>
        <w:t>Hypertonic Saline (3%) and Mannitol</w:t>
      </w:r>
    </w:p>
    <w:p>
      <w:pPr>
        <w:spacing w:after="60" w:line="276" w:lineRule="auto"/>
        <w:ind w:left="288"/>
      </w:pPr>
      <w:r>
        <w:rPr>
          <w:b/>
          <w:color w:val="232323"/>
        </w:rPr>
        <w:t xml:space="preserve">• Therapeutic Class: </w:t>
      </w:r>
      <w:r>
        <w:rPr>
          <w:color w:val="232323"/>
        </w:rPr>
        <w:t>Hyperosmolar crystalloids and osmotic diuretics.</w:t>
      </w:r>
    </w:p>
    <w:p>
      <w:pPr>
        <w:spacing w:after="60" w:line="276" w:lineRule="auto"/>
        <w:ind w:left="288"/>
      </w:pPr>
      <w:r>
        <w:rPr>
          <w:b/>
          <w:color w:val="232323"/>
        </w:rPr>
        <w:t xml:space="preserve">• Target Indication: </w:t>
      </w:r>
      <w:r>
        <w:rPr>
          <w:color w:val="232323"/>
        </w:rPr>
        <w:t>Cytotoxic and vasogenic cerebral edema, elevated intracranial pressure (ICP).</w:t>
      </w:r>
    </w:p>
    <w:p>
      <w:pPr>
        <w:spacing w:after="60" w:line="276" w:lineRule="auto"/>
        <w:ind w:left="288"/>
      </w:pPr>
      <w:r>
        <w:rPr>
          <w:b/>
          <w:color w:val="232323"/>
        </w:rPr>
        <w:t xml:space="preserve">• Mechanism of Action: </w:t>
      </w:r>
      <w:r>
        <w:rPr>
          <w:color w:val="232323"/>
        </w:rPr>
        <w:t>Increases serum osmolality to 310–320 mOsm/kg, creating a trans-endothelial osmotic gradient that draws water from the swollen brain parenchyma into the vascular compartment, preserving cerebral perfusion pressure.</w:t>
      </w:r>
    </w:p>
    <w:p>
      <w:pPr>
        <w:keepNext/>
        <w:spacing w:before="240" w:after="80"/>
      </w:pPr>
      <w:r>
        <w:rPr>
          <w:rFonts w:ascii="Arial" w:hAnsi="Arial"/>
          <w:b/>
          <w:color w:val="A6192E"/>
          <w:sz w:val="23"/>
        </w:rPr>
        <w:t>Emricasan</w:t>
      </w:r>
    </w:p>
    <w:p>
      <w:pPr>
        <w:spacing w:after="60" w:line="276" w:lineRule="auto"/>
        <w:ind w:left="288"/>
      </w:pPr>
      <w:r>
        <w:rPr>
          <w:b/>
          <w:color w:val="232323"/>
        </w:rPr>
        <w:t xml:space="preserve">• Therapeutic Class: </w:t>
      </w:r>
      <w:r>
        <w:rPr>
          <w:color w:val="232323"/>
        </w:rPr>
        <w:t>Synthetic pan-caspase inhibitor.</w:t>
      </w:r>
    </w:p>
    <w:p>
      <w:pPr>
        <w:spacing w:after="60" w:line="276" w:lineRule="auto"/>
        <w:ind w:left="288"/>
      </w:pPr>
      <w:r>
        <w:rPr>
          <w:b/>
          <w:color w:val="232323"/>
        </w:rPr>
        <w:t xml:space="preserve">• Target Indication: </w:t>
      </w:r>
      <w:r>
        <w:rPr>
          <w:color w:val="232323"/>
        </w:rPr>
        <w:t>Secondary apoptotic cascades.</w:t>
      </w:r>
    </w:p>
    <w:p>
      <w:pPr>
        <w:spacing w:after="60" w:line="276" w:lineRule="auto"/>
        <w:ind w:left="288"/>
      </w:pPr>
      <w:r>
        <w:rPr>
          <w:b/>
          <w:color w:val="232323"/>
        </w:rPr>
        <w:t xml:space="preserve">• Mechanism of Action: </w:t>
      </w:r>
      <w:r>
        <w:rPr>
          <w:color w:val="232323"/>
        </w:rPr>
        <w:t>Permeates host cell membranes to irreversibly inhibit caspases 1, 3, 8, and 9. Suppresses downstream apoptotic signaling in inflamed neurons, preserving somatic viability while antiviral clearance proceeds.</w:t>
      </w:r>
    </w:p>
    <w:p>
      <w:pPr>
        <w:keepNext/>
        <w:spacing w:before="240" w:after="80"/>
      </w:pPr>
      <w:r>
        <w:rPr>
          <w:rFonts w:ascii="Arial" w:hAnsi="Arial"/>
          <w:b/>
          <w:color w:val="A6192E"/>
          <w:sz w:val="23"/>
        </w:rPr>
        <w:t>Gadoteridol (Trace Diagnostic Co-Infusion)</w:t>
      </w:r>
    </w:p>
    <w:p>
      <w:pPr>
        <w:spacing w:after="60" w:line="276" w:lineRule="auto"/>
        <w:ind w:left="288"/>
      </w:pPr>
      <w:r>
        <w:rPr>
          <w:b/>
          <w:color w:val="232323"/>
        </w:rPr>
        <w:t xml:space="preserve">• Therapeutic Class: </w:t>
      </w:r>
      <w:r>
        <w:rPr>
          <w:color w:val="232323"/>
        </w:rPr>
        <w:t>Macrocyclic gadolinium-based contrast agent (GBCA).</w:t>
      </w:r>
    </w:p>
    <w:p>
      <w:pPr>
        <w:spacing w:after="60" w:line="276" w:lineRule="auto"/>
        <w:ind w:left="288"/>
      </w:pPr>
      <w:r>
        <w:rPr>
          <w:b/>
          <w:color w:val="232323"/>
        </w:rPr>
        <w:t xml:space="preserve">• Target Concentration: </w:t>
      </w:r>
      <w:r>
        <w:rPr>
          <w:color w:val="232323"/>
        </w:rPr>
        <w:t>1.0 to 2.0 mM co-mixed into infusate.</w:t>
      </w:r>
    </w:p>
    <w:p>
      <w:pPr>
        <w:spacing w:after="60" w:line="276" w:lineRule="auto"/>
        <w:ind w:left="288"/>
      </w:pPr>
      <w:r>
        <w:rPr>
          <w:b/>
          <w:color w:val="232323"/>
        </w:rPr>
        <w:t xml:space="preserve">• Mechanism of Action: </w:t>
      </w:r>
      <w:r>
        <w:rPr>
          <w:color w:val="232323"/>
        </w:rPr>
        <w:t>Provides real-time T1-weighted MRI visualization of convective distribution volume (Vd), allowing intraoperative detection of cannula backflow, white-matter shunting, and tissue cavitation.</w:t>
      </w:r>
    </w:p>
    <w:p>
      <w:pPr>
        <w:keepNext/>
        <w:spacing w:before="320" w:after="120"/>
      </w:pPr>
      <w:r>
        <w:rPr>
          <w:rFonts w:ascii="Arial" w:hAnsi="Arial"/>
          <w:b/>
          <w:color w:val="004F71"/>
          <w:sz w:val="28"/>
        </w:rPr>
        <w:t>6. Pharmacokinetic Critique: Failure Modes of Systemic Transcytosis Shuttles</w:t>
      </w:r>
    </w:p>
    <w:p>
      <w:pPr>
        <w:keepNext/>
        <w:spacing w:before="0" w:after="160"/>
      </w:pPr>
      <w:r>
        <w:rPr>
          <w:rFonts w:ascii="Arial" w:hAnsi="Arial"/>
          <w:color w:val="004F71"/>
          <w:sz w:val="12"/>
        </w:rPr>
        <w:t>━━━━━━━━━━━━━━━━━━━━━━━━━━━━━━━━━━━━━━━━━━━━━━━━━━━━━━━</w:t>
      </w:r>
    </w:p>
    <w:p>
      <w:pPr>
        <w:spacing w:after="120"/>
      </w:pPr>
      <w:r>
        <w:t>Recent preclinical work by Ren et al. (PNAS 2025) demonstrated an 80% survival rate in mice following intravenous administration of a triple-monoclonal cocktail conjugated to the cationic cell-penetrating peptide SynB1 at 5 days post-infection. While scientifically notable, translating this systemic strategy to human clinical practice faces decisive physiological barriers:</w:t>
      </w:r>
    </w:p>
    <w:p>
      <w:pPr>
        <w:spacing w:after="80"/>
        <w:ind w:left="288"/>
      </w:pPr>
      <w:r>
        <w:rPr>
          <w:b/>
          <w:color w:val="232323"/>
        </w:rPr>
        <w:t xml:space="preserve">1. Endothelial Microvascular Architecture: </w:t>
      </w:r>
      <w:r>
        <w:t>The human blood-brain barrier is structural and dense. Human brain microvascular endothelial cells have a thicker cross-sectional profile than murine BMECs and feature near-total pericyte coverage, dense astrocyte endfoot tiling, and continuous tight junctions. Unassisted adsorption-mediated transcytosis (AMT) across human brain capillaries is severely restricted.</w:t>
      </w:r>
    </w:p>
    <w:p>
      <w:pPr>
        <w:spacing w:after="80"/>
        <w:ind w:left="288"/>
      </w:pPr>
      <w:r>
        <w:rPr>
          <w:b/>
          <w:color w:val="232323"/>
        </w:rPr>
        <w:t xml:space="preserve">2. Visceral Extraction Sinks (Liver &amp; Kidney Sequestration): </w:t>
      </w:r>
      <w:r>
        <w:t>SynB1 relies on charge-mediated interactions between its cationic residues and anionic membrane lipids. Consequently, systemic injection results in profound accumulation within peripheral vascular beds. In adult humans (circulating blood volume ≈ 5 L), visceral capillary surface area exceeds cerebral microvascular surface area by roughly two orders of magnitude. The peripheral clearance pathways (CL_visceral) rapidly clear the construct, leaving central nervous system exposure sub-therapeutic.</w:t>
      </w:r>
    </w:p>
    <w:p>
      <w:pPr>
        <w:spacing w:after="80"/>
        <w:ind w:left="288"/>
      </w:pPr>
      <w:r>
        <w:rPr>
          <w:b/>
          <w:color w:val="232323"/>
        </w:rPr>
        <w:t xml:space="preserve">3. Dose-Limiting Toxicity: </w:t>
      </w:r>
      <w:r>
        <w:t>Delivering therapeutic antibody concentrations across a 1,400 g human brain via peripheral IV infusion would require high systemic doses of cationic peptide conjugates, carrying serious risks of acute tubular necrosis, renal failure, and hepatotoxicity.</w:t>
      </w:r>
    </w:p>
    <w:p>
      <w:pPr>
        <w:spacing w:after="80"/>
        <w:ind w:left="288"/>
      </w:pPr>
      <w:r>
        <w:rPr>
          <w:b/>
          <w:color w:val="232323"/>
        </w:rPr>
        <w:t xml:space="preserve">4. Serum Proteolysis and Peptide Cleavage: </w:t>
      </w:r>
      <w:r>
        <w:t>Peptide-antibody linkers remain vulnerable to circulating proteases and peptidases. In rodents, the construct displays a clearance rate of ≈ 0.15 d^-1 and an organ half-life of roughly 4.5 days. In human systemic circulation, premature cleavage of the SynB1 shuttle from the immunoglobulin core reduces delivery efficiency.</w:t>
      </w:r>
    </w:p>
    <w:p>
      <w:pPr>
        <w:spacing w:after="80"/>
        <w:ind w:left="288"/>
      </w:pPr>
      <w:r>
        <w:rPr>
          <w:b/>
          <w:color w:val="232323"/>
        </w:rPr>
        <w:t xml:space="preserve">5. Immunogenicity of Chimeric Constructs: </w:t>
      </w:r>
      <w:r>
        <w:t>Monoclonal antibodies containing rodent variable regions provoke neutralizing anti-drug antibody (ADA) responses upon repeated administration, clearing the therapeutic before viral eradication is complete.</w:t>
      </w:r>
    </w:p>
    <w:p>
      <w:pPr>
        <w:spacing w:before="160" w:after="160"/>
      </w:pPr>
      <w:r>
        <w:rPr>
          <w:b/>
          <w:color w:val="004F71"/>
        </w:rPr>
        <w:t xml:space="preserve">Conclusion: </w:t>
      </w:r>
      <w:r>
        <w:t>Direct intraparenchymal convection-enhanced delivery (CED) bypasses the blood-brain barrier, avoids systemic visceral extraction, and delivers predictable micromolar drug concentrations directly into infected subcortical and brainstem target nuclei.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The RVNA Collaborative  •  Correspondence: rvna.protocol@proton.me  •  DOI: 10.5281/zenodo.22675931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The RVNA Protocol (Version 2.1) | Molecular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