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BA832" w14:textId="76877802" w:rsidR="00862F99" w:rsidRPr="00C00938" w:rsidRDefault="00862F99">
      <w:pPr>
        <w:rPr>
          <w:i/>
          <w:iCs/>
          <w:sz w:val="28"/>
          <w:szCs w:val="28"/>
        </w:rPr>
      </w:pPr>
      <w:r w:rsidRPr="00C00938">
        <w:rPr>
          <w:b/>
          <w:bCs/>
          <w:i/>
          <w:iCs/>
          <w:sz w:val="28"/>
          <w:szCs w:val="28"/>
        </w:rPr>
        <w:t>Correlation between Statement and Branch coverage with Test suite effectiveness</w:t>
      </w:r>
    </w:p>
    <w:p w14:paraId="53B2C262" w14:textId="77777777" w:rsidR="00862F99" w:rsidRPr="00862F99" w:rsidRDefault="00862F99">
      <w:pPr>
        <w:rPr>
          <w:sz w:val="24"/>
          <w:szCs w:val="24"/>
        </w:rPr>
      </w:pPr>
    </w:p>
    <w:p w14:paraId="752C0C33" w14:textId="03E06C98" w:rsidR="00BE2F34" w:rsidRPr="00862F99" w:rsidRDefault="00862F99">
      <w:pPr>
        <w:rPr>
          <w:sz w:val="24"/>
          <w:szCs w:val="24"/>
        </w:rPr>
      </w:pPr>
      <w:r w:rsidRPr="00862F99">
        <w:rPr>
          <w:sz w:val="24"/>
          <w:szCs w:val="24"/>
        </w:rPr>
        <w:t>Correlation was started with a hypothesis that code coverage is strongly correlated to mutation score and increases linearly with increase in mutation score.</w:t>
      </w:r>
    </w:p>
    <w:p w14:paraId="53448387" w14:textId="0676C3A8" w:rsidR="00862F99" w:rsidRDefault="00862F99"/>
    <w:tbl>
      <w:tblPr>
        <w:tblpPr w:leftFromText="180" w:rightFromText="180" w:vertAnchor="page" w:horzAnchor="margin" w:tblpXSpec="center" w:tblpY="3289"/>
        <w:tblW w:w="71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20"/>
        <w:gridCol w:w="1540"/>
        <w:gridCol w:w="1540"/>
        <w:gridCol w:w="1858"/>
      </w:tblGrid>
      <w:tr w:rsidR="001168C8" w:rsidRPr="002222BB" w14:paraId="570EEE35" w14:textId="77777777" w:rsidTr="001168C8">
        <w:trPr>
          <w:trHeight w:val="187"/>
        </w:trPr>
        <w:tc>
          <w:tcPr>
            <w:tcW w:w="2220" w:type="dxa"/>
            <w:tcBorders>
              <w:top w:val="single" w:sz="4" w:space="0" w:color="000000"/>
              <w:left w:val="single" w:sz="4" w:space="0" w:color="000000"/>
              <w:bottom w:val="single" w:sz="4" w:space="0" w:color="000000"/>
              <w:right w:val="single" w:sz="4" w:space="0" w:color="000000"/>
            </w:tcBorders>
            <w:shd w:val="clear" w:color="auto" w:fill="BF8F00" w:themeFill="accent4" w:themeFillShade="BF"/>
            <w:tcMar>
              <w:top w:w="80" w:type="dxa"/>
              <w:left w:w="80" w:type="dxa"/>
              <w:bottom w:w="80" w:type="dxa"/>
              <w:right w:w="80" w:type="dxa"/>
            </w:tcMar>
            <w:hideMark/>
          </w:tcPr>
          <w:p w14:paraId="2B0616DF" w14:textId="77777777" w:rsidR="001168C8" w:rsidRPr="002222BB" w:rsidRDefault="001168C8" w:rsidP="001168C8">
            <w:pPr>
              <w:spacing w:after="160"/>
              <w:rPr>
                <w:sz w:val="24"/>
                <w:szCs w:val="24"/>
              </w:rPr>
            </w:pPr>
            <w:r w:rsidRPr="002222BB">
              <w:rPr>
                <w:sz w:val="24"/>
                <w:szCs w:val="24"/>
              </w:rPr>
              <w:t>Project</w:t>
            </w:r>
          </w:p>
        </w:tc>
        <w:tc>
          <w:tcPr>
            <w:tcW w:w="1540" w:type="dxa"/>
            <w:tcBorders>
              <w:top w:val="single" w:sz="4" w:space="0" w:color="000000"/>
              <w:left w:val="single" w:sz="4" w:space="0" w:color="000000"/>
              <w:bottom w:val="single" w:sz="4" w:space="0" w:color="000000"/>
              <w:right w:val="single" w:sz="4" w:space="0" w:color="000000"/>
            </w:tcBorders>
            <w:shd w:val="clear" w:color="auto" w:fill="BF8F00" w:themeFill="accent4" w:themeFillShade="BF"/>
            <w:tcMar>
              <w:top w:w="80" w:type="dxa"/>
              <w:left w:w="80" w:type="dxa"/>
              <w:bottom w:w="80" w:type="dxa"/>
              <w:right w:w="80" w:type="dxa"/>
            </w:tcMar>
            <w:hideMark/>
          </w:tcPr>
          <w:p w14:paraId="23A83A89" w14:textId="77777777" w:rsidR="001168C8" w:rsidRDefault="001168C8" w:rsidP="001168C8">
            <w:pPr>
              <w:rPr>
                <w:sz w:val="24"/>
                <w:szCs w:val="24"/>
              </w:rPr>
            </w:pPr>
            <w:r w:rsidRPr="002222BB">
              <w:rPr>
                <w:sz w:val="24"/>
                <w:szCs w:val="24"/>
              </w:rPr>
              <w:t>Code Coverage</w:t>
            </w:r>
          </w:p>
          <w:p w14:paraId="07DA653A" w14:textId="77777777" w:rsidR="001168C8" w:rsidRDefault="001168C8" w:rsidP="001168C8">
            <w:pPr>
              <w:jc w:val="center"/>
              <w:rPr>
                <w:sz w:val="24"/>
                <w:szCs w:val="24"/>
              </w:rPr>
            </w:pPr>
          </w:p>
          <w:p w14:paraId="606A122C" w14:textId="77777777" w:rsidR="001168C8" w:rsidRPr="005F324A" w:rsidRDefault="001168C8" w:rsidP="001168C8">
            <w:pPr>
              <w:rPr>
                <w:sz w:val="24"/>
                <w:szCs w:val="24"/>
              </w:rPr>
            </w:pPr>
          </w:p>
        </w:tc>
        <w:tc>
          <w:tcPr>
            <w:tcW w:w="1540" w:type="dxa"/>
            <w:tcBorders>
              <w:top w:val="single" w:sz="4" w:space="0" w:color="000000"/>
              <w:left w:val="single" w:sz="4" w:space="0" w:color="000000"/>
              <w:bottom w:val="single" w:sz="4" w:space="0" w:color="000000"/>
              <w:right w:val="single" w:sz="4" w:space="0" w:color="000000"/>
            </w:tcBorders>
            <w:shd w:val="clear" w:color="auto" w:fill="BF8F00" w:themeFill="accent4" w:themeFillShade="BF"/>
            <w:tcMar>
              <w:top w:w="80" w:type="dxa"/>
              <w:left w:w="80" w:type="dxa"/>
              <w:bottom w:w="80" w:type="dxa"/>
              <w:right w:w="80" w:type="dxa"/>
            </w:tcMar>
            <w:hideMark/>
          </w:tcPr>
          <w:p w14:paraId="60481359" w14:textId="77777777" w:rsidR="001168C8" w:rsidRPr="002222BB" w:rsidRDefault="001168C8" w:rsidP="001168C8">
            <w:pPr>
              <w:rPr>
                <w:sz w:val="24"/>
                <w:szCs w:val="24"/>
              </w:rPr>
            </w:pPr>
            <w:r w:rsidRPr="002222BB">
              <w:rPr>
                <w:sz w:val="24"/>
                <w:szCs w:val="24"/>
              </w:rPr>
              <w:t>Mutation Score</w:t>
            </w:r>
          </w:p>
        </w:tc>
        <w:tc>
          <w:tcPr>
            <w:tcW w:w="1858" w:type="dxa"/>
            <w:tcBorders>
              <w:top w:val="single" w:sz="4" w:space="0" w:color="000000"/>
              <w:left w:val="single" w:sz="4" w:space="0" w:color="000000"/>
              <w:bottom w:val="single" w:sz="4" w:space="0" w:color="000000"/>
              <w:right w:val="single" w:sz="4" w:space="0" w:color="000000"/>
            </w:tcBorders>
            <w:shd w:val="clear" w:color="auto" w:fill="BF8F00" w:themeFill="accent4" w:themeFillShade="BF"/>
            <w:tcMar>
              <w:top w:w="80" w:type="dxa"/>
              <w:left w:w="80" w:type="dxa"/>
              <w:bottom w:w="80" w:type="dxa"/>
              <w:right w:w="80" w:type="dxa"/>
            </w:tcMar>
            <w:hideMark/>
          </w:tcPr>
          <w:p w14:paraId="481B36B7" w14:textId="77777777" w:rsidR="001168C8" w:rsidRPr="002222BB" w:rsidRDefault="001168C8" w:rsidP="001168C8">
            <w:pPr>
              <w:rPr>
                <w:sz w:val="24"/>
                <w:szCs w:val="24"/>
              </w:rPr>
            </w:pPr>
            <w:r w:rsidRPr="002222BB">
              <w:rPr>
                <w:sz w:val="24"/>
                <w:szCs w:val="24"/>
              </w:rPr>
              <w:t>Spearman Correlation Coefficient</w:t>
            </w:r>
          </w:p>
        </w:tc>
      </w:tr>
      <w:tr w:rsidR="001168C8" w:rsidRPr="002222BB" w14:paraId="24A9C2BD" w14:textId="77777777" w:rsidTr="001168C8">
        <w:trPr>
          <w:trHeight w:val="20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55E63" w14:textId="77777777" w:rsidR="001168C8" w:rsidRPr="002222BB" w:rsidRDefault="001168C8" w:rsidP="001168C8">
            <w:pPr>
              <w:rPr>
                <w:sz w:val="24"/>
                <w:szCs w:val="24"/>
              </w:rPr>
            </w:pPr>
            <w:r>
              <w:rPr>
                <w:sz w:val="24"/>
                <w:szCs w:val="24"/>
              </w:rPr>
              <w:t xml:space="preserve">Apache </w:t>
            </w:r>
            <w:r w:rsidRPr="002222BB">
              <w:rPr>
                <w:sz w:val="24"/>
                <w:szCs w:val="24"/>
              </w:rPr>
              <w:t>Commons</w:t>
            </w:r>
            <w:r>
              <w:rPr>
                <w:sz w:val="24"/>
                <w:szCs w:val="24"/>
              </w:rPr>
              <w:t xml:space="preserve"> </w:t>
            </w:r>
            <w:r w:rsidRPr="002222BB">
              <w:rPr>
                <w:sz w:val="24"/>
                <w:szCs w:val="24"/>
              </w:rPr>
              <w:t>Collections</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E92F4D2" w14:textId="77777777" w:rsidR="001168C8" w:rsidRPr="002222BB" w:rsidRDefault="001168C8" w:rsidP="001168C8">
            <w:pPr>
              <w:pStyle w:val="Heading4"/>
              <w:spacing w:before="0" w:after="0"/>
              <w:ind w:firstLine="0"/>
              <w:jc w:val="center"/>
              <w:rPr>
                <w:rFonts w:eastAsia="Arial Unicode MS" w:cs="Times New Roman"/>
                <w:i w:val="0"/>
                <w:sz w:val="24"/>
                <w:szCs w:val="24"/>
              </w:rPr>
            </w:pPr>
            <w:r>
              <w:rPr>
                <w:rFonts w:eastAsia="Arial Unicode MS" w:cs="Times New Roman"/>
                <w:i w:val="0"/>
                <w:iCs w:val="0"/>
                <w:sz w:val="24"/>
                <w:szCs w:val="24"/>
              </w:rPr>
              <w:t>51%</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6C71C0A" w14:textId="77777777" w:rsidR="001168C8" w:rsidRPr="002222BB" w:rsidRDefault="001168C8" w:rsidP="001168C8">
            <w:pPr>
              <w:pStyle w:val="Heading4"/>
              <w:spacing w:before="0" w:after="0"/>
              <w:ind w:firstLine="0"/>
              <w:jc w:val="center"/>
              <w:rPr>
                <w:rFonts w:eastAsia="Arial Unicode MS" w:cs="Times New Roman"/>
                <w:i w:val="0"/>
                <w:sz w:val="24"/>
                <w:szCs w:val="24"/>
              </w:rPr>
            </w:pPr>
            <w:r>
              <w:rPr>
                <w:rFonts w:eastAsia="Arial Unicode MS" w:cs="Times New Roman"/>
                <w:i w:val="0"/>
                <w:iCs w:val="0"/>
                <w:sz w:val="24"/>
                <w:szCs w:val="24"/>
              </w:rPr>
              <w:t>43</w:t>
            </w:r>
            <w:r w:rsidRPr="002222BB">
              <w:rPr>
                <w:rFonts w:eastAsia="Arial Unicode MS" w:cs="Times New Roman"/>
                <w:i w:val="0"/>
                <w:iCs w:val="0"/>
                <w:sz w:val="24"/>
                <w:szCs w:val="24"/>
              </w:rPr>
              <w:t>%</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7F8BA04B" w14:textId="77777777" w:rsidR="001168C8" w:rsidRPr="005C201D" w:rsidRDefault="001168C8" w:rsidP="001168C8">
            <w:pPr>
              <w:pStyle w:val="Heading4"/>
              <w:spacing w:before="0" w:after="0"/>
              <w:ind w:firstLine="0"/>
              <w:jc w:val="center"/>
              <w:rPr>
                <w:rFonts w:ascii="Open Sans" w:hAnsi="Open Sans"/>
                <w:color w:val="0070C0"/>
                <w:sz w:val="21"/>
                <w:szCs w:val="21"/>
                <w:shd w:val="clear" w:color="auto" w:fill="D9D9D9"/>
              </w:rPr>
            </w:pPr>
            <w:r w:rsidRPr="005C201D">
              <w:rPr>
                <w:rFonts w:ascii="Open Sans" w:hAnsi="Open Sans"/>
                <w:color w:val="0070C0"/>
                <w:sz w:val="21"/>
                <w:szCs w:val="21"/>
                <w:shd w:val="clear" w:color="auto" w:fill="D9D9D9"/>
              </w:rPr>
              <w:t>0.82391</w:t>
            </w:r>
          </w:p>
          <w:p w14:paraId="2A915655" w14:textId="77777777" w:rsidR="001168C8" w:rsidRPr="00EB0790" w:rsidRDefault="001168C8" w:rsidP="001168C8">
            <w:pPr>
              <w:rPr>
                <w:rFonts w:eastAsia="Arial Unicode MS"/>
              </w:rPr>
            </w:pPr>
          </w:p>
        </w:tc>
      </w:tr>
      <w:tr w:rsidR="001168C8" w:rsidRPr="002222BB" w14:paraId="7D622924" w14:textId="77777777" w:rsidTr="001168C8">
        <w:trPr>
          <w:trHeight w:val="137"/>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FA0878E" w14:textId="77777777" w:rsidR="001168C8" w:rsidRPr="002222BB" w:rsidRDefault="001168C8" w:rsidP="001168C8">
            <w:pPr>
              <w:rPr>
                <w:sz w:val="24"/>
                <w:szCs w:val="24"/>
              </w:rPr>
            </w:pPr>
            <w:r>
              <w:rPr>
                <w:sz w:val="24"/>
                <w:szCs w:val="24"/>
              </w:rPr>
              <w:t>Apache Commons Configuration</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6C7D2395" w14:textId="77777777" w:rsidR="001168C8" w:rsidRPr="002222BB" w:rsidRDefault="001168C8" w:rsidP="001168C8">
            <w:pPr>
              <w:pStyle w:val="Heading4"/>
              <w:spacing w:before="0" w:after="0"/>
              <w:ind w:firstLine="0"/>
              <w:rPr>
                <w:rFonts w:eastAsia="Arial Unicode MS" w:cs="Times New Roman"/>
                <w:i w:val="0"/>
                <w:sz w:val="24"/>
                <w:szCs w:val="24"/>
              </w:rPr>
            </w:pPr>
            <w:r>
              <w:rPr>
                <w:rFonts w:eastAsia="Arial Unicode MS" w:cs="Times New Roman"/>
                <w:i w:val="0"/>
                <w:sz w:val="24"/>
                <w:szCs w:val="24"/>
              </w:rPr>
              <w:t xml:space="preserve">       89%</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17CAF288" w14:textId="77777777" w:rsidR="001168C8" w:rsidRPr="002222BB" w:rsidRDefault="001168C8" w:rsidP="001168C8">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80</w:t>
            </w:r>
            <w:r w:rsidRPr="002222BB">
              <w:rPr>
                <w:rFonts w:eastAsia="Arial Unicode MS" w:cs="Times New Roman"/>
                <w:i w:val="0"/>
                <w:sz w:val="24"/>
                <w:szCs w:val="24"/>
              </w:rPr>
              <w:t>%</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5FC7185B" w14:textId="77777777" w:rsidR="001168C8" w:rsidRDefault="001168C8" w:rsidP="001168C8">
            <w:pPr>
              <w:pStyle w:val="Heading4"/>
              <w:spacing w:before="0" w:after="0"/>
              <w:ind w:firstLine="0"/>
              <w:jc w:val="center"/>
              <w:rPr>
                <w:rFonts w:ascii="Open Sans" w:hAnsi="Open Sans"/>
                <w:color w:val="0000FF"/>
                <w:sz w:val="21"/>
                <w:szCs w:val="21"/>
                <w:shd w:val="clear" w:color="auto" w:fill="D9D9D9"/>
              </w:rPr>
            </w:pPr>
            <w:r>
              <w:rPr>
                <w:rFonts w:ascii="Open Sans" w:hAnsi="Open Sans"/>
                <w:color w:val="0000FF"/>
                <w:sz w:val="21"/>
                <w:szCs w:val="21"/>
                <w:shd w:val="clear" w:color="auto" w:fill="D9D9D9"/>
              </w:rPr>
              <w:t>0.9142 </w:t>
            </w:r>
          </w:p>
          <w:p w14:paraId="73FE49CD" w14:textId="77777777" w:rsidR="001168C8" w:rsidRPr="002222BB" w:rsidRDefault="001168C8" w:rsidP="001168C8">
            <w:pPr>
              <w:pStyle w:val="Heading4"/>
              <w:spacing w:before="0" w:after="0"/>
              <w:ind w:firstLine="0"/>
              <w:rPr>
                <w:rFonts w:eastAsia="Arial Unicode MS" w:cs="Times New Roman"/>
                <w:sz w:val="24"/>
                <w:szCs w:val="24"/>
              </w:rPr>
            </w:pPr>
          </w:p>
        </w:tc>
      </w:tr>
      <w:tr w:rsidR="001168C8" w:rsidRPr="002222BB" w14:paraId="363A0E18" w14:textId="77777777" w:rsidTr="001168C8">
        <w:trPr>
          <w:trHeight w:val="137"/>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39D14B08" w14:textId="77777777" w:rsidR="001168C8" w:rsidRPr="002222BB" w:rsidRDefault="001168C8" w:rsidP="001168C8">
            <w:pPr>
              <w:rPr>
                <w:sz w:val="24"/>
                <w:szCs w:val="24"/>
              </w:rPr>
            </w:pPr>
            <w:r>
              <w:rPr>
                <w:sz w:val="24"/>
                <w:szCs w:val="24"/>
              </w:rPr>
              <w:t>Apache Commons DbUtils</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2D383C9C" w14:textId="77777777" w:rsidR="001168C8" w:rsidRPr="002222BB" w:rsidRDefault="001168C8" w:rsidP="001168C8">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64</w:t>
            </w:r>
            <w:r w:rsidRPr="002222BB">
              <w:rPr>
                <w:rFonts w:eastAsia="Arial Unicode MS" w:cs="Times New Roman"/>
                <w:i w:val="0"/>
                <w:sz w:val="24"/>
                <w:szCs w:val="24"/>
              </w:rPr>
              <w:t>%</w:t>
            </w:r>
          </w:p>
        </w:tc>
        <w:tc>
          <w:tcPr>
            <w:tcW w:w="1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617A0A2E" w14:textId="77777777" w:rsidR="001168C8" w:rsidRPr="002222BB" w:rsidRDefault="001168C8" w:rsidP="001168C8">
            <w:pPr>
              <w:pStyle w:val="Heading4"/>
              <w:spacing w:before="0" w:after="0"/>
              <w:ind w:firstLine="0"/>
              <w:jc w:val="center"/>
              <w:rPr>
                <w:rFonts w:eastAsia="Arial Unicode MS" w:cs="Times New Roman"/>
                <w:i w:val="0"/>
                <w:sz w:val="24"/>
                <w:szCs w:val="24"/>
              </w:rPr>
            </w:pPr>
            <w:r>
              <w:rPr>
                <w:rFonts w:eastAsia="Arial Unicode MS" w:cs="Times New Roman"/>
                <w:i w:val="0"/>
                <w:sz w:val="24"/>
                <w:szCs w:val="24"/>
              </w:rPr>
              <w:t>47</w:t>
            </w:r>
            <w:r w:rsidRPr="002222BB">
              <w:rPr>
                <w:rFonts w:eastAsia="Arial Unicode MS" w:cs="Times New Roman"/>
                <w:i w:val="0"/>
                <w:sz w:val="24"/>
                <w:szCs w:val="24"/>
              </w:rPr>
              <w:t>%</w:t>
            </w:r>
          </w:p>
        </w:tc>
        <w:tc>
          <w:tcPr>
            <w:tcW w:w="18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hideMark/>
          </w:tcPr>
          <w:p w14:paraId="21E57AED" w14:textId="77777777" w:rsidR="001168C8" w:rsidRDefault="001168C8" w:rsidP="001168C8">
            <w:pPr>
              <w:pStyle w:val="Heading4"/>
              <w:spacing w:before="0" w:after="0"/>
              <w:ind w:firstLine="0"/>
              <w:jc w:val="center"/>
              <w:rPr>
                <w:rFonts w:ascii="Open Sans" w:hAnsi="Open Sans"/>
                <w:color w:val="FF0000"/>
                <w:sz w:val="21"/>
                <w:szCs w:val="21"/>
                <w:shd w:val="clear" w:color="auto" w:fill="D9D9D9"/>
              </w:rPr>
            </w:pPr>
            <w:r>
              <w:rPr>
                <w:rFonts w:ascii="Open Sans" w:hAnsi="Open Sans"/>
                <w:color w:val="FF0000"/>
                <w:sz w:val="21"/>
                <w:szCs w:val="21"/>
                <w:shd w:val="clear" w:color="auto" w:fill="D9D9D9"/>
              </w:rPr>
              <w:t>0.3421</w:t>
            </w:r>
          </w:p>
          <w:p w14:paraId="7BA9A55E" w14:textId="77777777" w:rsidR="001168C8" w:rsidRPr="002222BB" w:rsidRDefault="001168C8" w:rsidP="001168C8">
            <w:pPr>
              <w:pStyle w:val="Heading4"/>
              <w:spacing w:before="0" w:after="0"/>
              <w:ind w:firstLine="0"/>
              <w:jc w:val="center"/>
              <w:rPr>
                <w:rFonts w:eastAsia="Arial Unicode MS" w:cs="Times New Roman"/>
                <w:sz w:val="24"/>
                <w:szCs w:val="24"/>
              </w:rPr>
            </w:pPr>
          </w:p>
        </w:tc>
      </w:tr>
    </w:tbl>
    <w:p w14:paraId="153CBDBB" w14:textId="56475D2A" w:rsidR="00862F99" w:rsidRDefault="00862F99"/>
    <w:p w14:paraId="58961EB4" w14:textId="77777777" w:rsidR="00862F99" w:rsidRDefault="00862F99">
      <w:pPr>
        <w:rPr>
          <w:rFonts w:ascii="Arial" w:hAnsi="Arial" w:cs="Arial"/>
          <w:sz w:val="22"/>
          <w:szCs w:val="22"/>
        </w:rPr>
      </w:pPr>
    </w:p>
    <w:p w14:paraId="28302398" w14:textId="77777777" w:rsidR="00862F99" w:rsidRDefault="00862F99">
      <w:pPr>
        <w:rPr>
          <w:rFonts w:ascii="Arial" w:hAnsi="Arial" w:cs="Arial"/>
          <w:sz w:val="22"/>
          <w:szCs w:val="22"/>
        </w:rPr>
      </w:pPr>
    </w:p>
    <w:p w14:paraId="75582B51" w14:textId="77777777" w:rsidR="00862F99" w:rsidRDefault="00862F99">
      <w:pPr>
        <w:rPr>
          <w:rFonts w:ascii="Arial" w:hAnsi="Arial" w:cs="Arial"/>
          <w:sz w:val="22"/>
          <w:szCs w:val="22"/>
        </w:rPr>
      </w:pPr>
    </w:p>
    <w:p w14:paraId="7C605871" w14:textId="77777777" w:rsidR="00862F99" w:rsidRDefault="00862F99">
      <w:pPr>
        <w:rPr>
          <w:rFonts w:ascii="Arial" w:hAnsi="Arial" w:cs="Arial"/>
          <w:sz w:val="22"/>
          <w:szCs w:val="22"/>
        </w:rPr>
      </w:pPr>
    </w:p>
    <w:p w14:paraId="582A0DA1" w14:textId="77777777" w:rsidR="00862F99" w:rsidRDefault="00862F99">
      <w:pPr>
        <w:rPr>
          <w:rFonts w:ascii="Arial" w:hAnsi="Arial" w:cs="Arial"/>
          <w:sz w:val="22"/>
          <w:szCs w:val="22"/>
        </w:rPr>
      </w:pPr>
    </w:p>
    <w:p w14:paraId="70605FB9" w14:textId="77777777" w:rsidR="00862F99" w:rsidRDefault="00862F99">
      <w:pPr>
        <w:rPr>
          <w:rFonts w:ascii="Arial" w:hAnsi="Arial" w:cs="Arial"/>
          <w:sz w:val="22"/>
          <w:szCs w:val="22"/>
        </w:rPr>
      </w:pPr>
    </w:p>
    <w:p w14:paraId="44AA56A8" w14:textId="77777777" w:rsidR="00862F99" w:rsidRDefault="00862F99">
      <w:pPr>
        <w:rPr>
          <w:rFonts w:ascii="Arial" w:hAnsi="Arial" w:cs="Arial"/>
          <w:sz w:val="22"/>
          <w:szCs w:val="22"/>
        </w:rPr>
      </w:pPr>
    </w:p>
    <w:p w14:paraId="71CA946E" w14:textId="77777777" w:rsidR="00862F99" w:rsidRDefault="00862F99">
      <w:pPr>
        <w:rPr>
          <w:rFonts w:ascii="Arial" w:hAnsi="Arial" w:cs="Arial"/>
          <w:sz w:val="22"/>
          <w:szCs w:val="22"/>
        </w:rPr>
      </w:pPr>
    </w:p>
    <w:p w14:paraId="291BB614" w14:textId="77777777" w:rsidR="00862F99" w:rsidRDefault="00862F99">
      <w:pPr>
        <w:rPr>
          <w:rFonts w:ascii="Arial" w:hAnsi="Arial" w:cs="Arial"/>
          <w:sz w:val="22"/>
          <w:szCs w:val="22"/>
        </w:rPr>
      </w:pPr>
    </w:p>
    <w:p w14:paraId="4C1AE72B" w14:textId="77777777" w:rsidR="00862F99" w:rsidRDefault="00862F99">
      <w:pPr>
        <w:rPr>
          <w:rFonts w:ascii="Arial" w:hAnsi="Arial" w:cs="Arial"/>
          <w:sz w:val="22"/>
          <w:szCs w:val="22"/>
        </w:rPr>
      </w:pPr>
    </w:p>
    <w:p w14:paraId="43970DEE" w14:textId="77777777" w:rsidR="00862F99" w:rsidRDefault="00862F99">
      <w:pPr>
        <w:rPr>
          <w:rFonts w:ascii="Arial" w:hAnsi="Arial" w:cs="Arial"/>
          <w:sz w:val="22"/>
          <w:szCs w:val="22"/>
        </w:rPr>
      </w:pPr>
    </w:p>
    <w:p w14:paraId="773233C6" w14:textId="77777777" w:rsidR="00862F99" w:rsidRDefault="00862F99">
      <w:pPr>
        <w:rPr>
          <w:rFonts w:ascii="Arial" w:hAnsi="Arial" w:cs="Arial"/>
          <w:sz w:val="22"/>
          <w:szCs w:val="22"/>
        </w:rPr>
      </w:pPr>
      <w:bookmarkStart w:id="0" w:name="_GoBack"/>
      <w:bookmarkEnd w:id="0"/>
    </w:p>
    <w:p w14:paraId="7F9EEE60" w14:textId="77777777" w:rsidR="00862F99" w:rsidRDefault="00862F99">
      <w:pPr>
        <w:rPr>
          <w:rFonts w:ascii="Arial" w:hAnsi="Arial" w:cs="Arial"/>
          <w:sz w:val="22"/>
          <w:szCs w:val="22"/>
        </w:rPr>
      </w:pPr>
    </w:p>
    <w:p w14:paraId="2258AD63" w14:textId="77777777" w:rsidR="00862F99" w:rsidRDefault="00862F99">
      <w:pPr>
        <w:rPr>
          <w:rFonts w:ascii="Arial" w:hAnsi="Arial" w:cs="Arial"/>
          <w:sz w:val="22"/>
          <w:szCs w:val="22"/>
        </w:rPr>
      </w:pPr>
    </w:p>
    <w:p w14:paraId="27FE8DD8" w14:textId="77777777" w:rsidR="00862F99" w:rsidRDefault="00862F99">
      <w:pPr>
        <w:rPr>
          <w:rFonts w:ascii="Arial" w:hAnsi="Arial" w:cs="Arial"/>
          <w:sz w:val="22"/>
          <w:szCs w:val="22"/>
        </w:rPr>
      </w:pPr>
    </w:p>
    <w:p w14:paraId="0ACDF0DF" w14:textId="4613E2D5" w:rsidR="00862F99" w:rsidRPr="00862F99" w:rsidRDefault="00862F99">
      <w:pPr>
        <w:rPr>
          <w:sz w:val="24"/>
          <w:szCs w:val="24"/>
        </w:rPr>
      </w:pPr>
      <w:r w:rsidRPr="00862F99">
        <w:rPr>
          <w:sz w:val="24"/>
          <w:szCs w:val="24"/>
        </w:rPr>
        <w:t>In Apache Commons Collections and Configurations, high Spearman coefficients are observed. Moderate Spearman’s coefficient is observed in DbUtils. Correlation between Statement and Branch Coverage with Test Suite Effectiveness is observed to be not strongly correlated, that is with the increase in statement coverage doesn’t necessarily ensure high test suite effectiveness.</w:t>
      </w:r>
    </w:p>
    <w:p w14:paraId="03F1D3D5" w14:textId="6F584CAC" w:rsidR="00862F99" w:rsidRDefault="00862F99">
      <w:pPr>
        <w:rPr>
          <w:rFonts w:ascii="Arial" w:hAnsi="Arial" w:cs="Arial"/>
          <w:sz w:val="22"/>
          <w:szCs w:val="22"/>
        </w:rPr>
      </w:pPr>
    </w:p>
    <w:p w14:paraId="29824877" w14:textId="16FF19B5" w:rsidR="00862F99" w:rsidRDefault="00862F99">
      <w:pPr>
        <w:rPr>
          <w:sz w:val="24"/>
          <w:szCs w:val="24"/>
        </w:rPr>
      </w:pPr>
      <w:r w:rsidRPr="002222BB">
        <w:rPr>
          <w:sz w:val="24"/>
          <w:szCs w:val="24"/>
        </w:rPr>
        <w:t>While choosing projects, we have taken into consideration the number of test suites implemented. More no. of test suites implies better an</w:t>
      </w:r>
      <w:r>
        <w:rPr>
          <w:sz w:val="24"/>
          <w:szCs w:val="24"/>
        </w:rPr>
        <w:t>alysis of effectiveness.</w:t>
      </w:r>
      <w:r w:rsidRPr="00862F99">
        <w:rPr>
          <w:sz w:val="24"/>
          <w:szCs w:val="24"/>
        </w:rPr>
        <w:t xml:space="preserve"> </w:t>
      </w:r>
      <w:r w:rsidRPr="002222BB">
        <w:rPr>
          <w:sz w:val="24"/>
          <w:szCs w:val="24"/>
        </w:rPr>
        <w:t xml:space="preserve">To calculate </w:t>
      </w:r>
      <w:r w:rsidRPr="002222BB">
        <w:rPr>
          <w:i/>
          <w:sz w:val="24"/>
          <w:szCs w:val="24"/>
        </w:rPr>
        <w:t>Spearman Correlation Coefficient</w:t>
      </w:r>
      <w:r w:rsidRPr="002222BB">
        <w:rPr>
          <w:sz w:val="24"/>
          <w:szCs w:val="24"/>
        </w:rPr>
        <w:t>, we have taken data range having code coverage and mutation scores for all test suites in all projects. However, it is remaining unclear that the e</w:t>
      </w:r>
      <w:r w:rsidRPr="002222BB">
        <w:rPr>
          <w:rFonts w:eastAsia="Cambria Math"/>
          <w:sz w:val="24"/>
          <w:szCs w:val="24"/>
        </w:rPr>
        <w:t>ff</w:t>
      </w:r>
      <w:r w:rsidRPr="002222BB">
        <w:rPr>
          <w:sz w:val="24"/>
          <w:szCs w:val="24"/>
        </w:rPr>
        <w:t>ectiveness is affected due to test suite size or coverage of the test suite. We found that as Code Coverage increases, Mutation Score also increases in most of the test suite</w:t>
      </w:r>
      <w:r>
        <w:rPr>
          <w:sz w:val="24"/>
          <w:szCs w:val="24"/>
        </w:rPr>
        <w:t>s of projects. But in Apache Commons Collections</w:t>
      </w:r>
      <w:r w:rsidRPr="002222BB">
        <w:rPr>
          <w:sz w:val="24"/>
          <w:szCs w:val="24"/>
        </w:rPr>
        <w:t>, Mutation Score is not strongly increase with the coverage. This shows that sometimes Code coverage is moderately correlated to Mutation score.</w:t>
      </w:r>
    </w:p>
    <w:p w14:paraId="5389EED3" w14:textId="6D9BE5B9" w:rsidR="00C00938" w:rsidRDefault="00C00938">
      <w:pPr>
        <w:rPr>
          <w:sz w:val="24"/>
          <w:szCs w:val="24"/>
        </w:rPr>
      </w:pPr>
    </w:p>
    <w:p w14:paraId="04296EAD" w14:textId="77777777" w:rsidR="00C00938" w:rsidRPr="00C00938" w:rsidRDefault="00C00938" w:rsidP="00C00938">
      <w:pPr>
        <w:pStyle w:val="Default"/>
        <w:rPr>
          <w:rFonts w:ascii="Times New Roman" w:hAnsi="Times New Roman" w:cs="Times New Roman"/>
          <w:i/>
          <w:sz w:val="24"/>
          <w:szCs w:val="24"/>
        </w:rPr>
      </w:pPr>
      <w:r w:rsidRPr="00C00938">
        <w:rPr>
          <w:rFonts w:ascii="Times New Roman" w:hAnsi="Times New Roman" w:cs="Times New Roman"/>
          <w:b/>
          <w:bCs/>
          <w:i/>
          <w:sz w:val="24"/>
          <w:szCs w:val="24"/>
        </w:rPr>
        <w:t>Calculating Spearman Correlation</w:t>
      </w:r>
    </w:p>
    <w:p w14:paraId="44878C35" w14:textId="77777777" w:rsidR="00C00938" w:rsidRPr="002222BB" w:rsidRDefault="00C00938" w:rsidP="00C00938">
      <w:pPr>
        <w:pStyle w:val="Default"/>
        <w:jc w:val="both"/>
        <w:rPr>
          <w:rFonts w:ascii="Times New Roman" w:hAnsi="Times New Roman" w:cs="Times New Roman"/>
          <w:sz w:val="24"/>
          <w:szCs w:val="24"/>
        </w:rPr>
      </w:pPr>
      <w:r w:rsidRPr="002222BB">
        <w:rPr>
          <w:rFonts w:ascii="Times New Roman" w:hAnsi="Times New Roman" w:cs="Times New Roman"/>
          <w:sz w:val="24"/>
          <w:szCs w:val="24"/>
        </w:rPr>
        <w:t>Spearman’s Rank correlation coefficient is one of the most-prominent technique which can be used to find out the strength and correlation between two variables.</w:t>
      </w:r>
    </w:p>
    <w:p w14:paraId="1F1AB149" w14:textId="77777777" w:rsidR="00C00938" w:rsidRPr="002222BB" w:rsidRDefault="00C00938" w:rsidP="00C00938">
      <w:pPr>
        <w:pStyle w:val="Default"/>
        <w:jc w:val="both"/>
        <w:rPr>
          <w:rFonts w:ascii="Times New Roman" w:eastAsia="Times New Roman" w:hAnsi="Times New Roman" w:cs="Times New Roman"/>
          <w:sz w:val="24"/>
          <w:szCs w:val="24"/>
        </w:rPr>
      </w:pPr>
    </w:p>
    <w:p w14:paraId="5E1003CD" w14:textId="77777777" w:rsidR="00C00938" w:rsidRPr="002222BB" w:rsidRDefault="00C00938" w:rsidP="00C00938">
      <w:pPr>
        <w:pStyle w:val="Default"/>
        <w:rPr>
          <w:rFonts w:ascii="Times New Roman" w:eastAsia="Times New Roman" w:hAnsi="Times New Roman" w:cs="Times New Roman"/>
          <w:b/>
          <w:bCs/>
          <w:i/>
          <w:sz w:val="24"/>
          <w:szCs w:val="24"/>
          <w:shd w:val="clear" w:color="auto" w:fill="FFFFFF"/>
        </w:rPr>
      </w:pPr>
      <w:r w:rsidRPr="002222BB">
        <w:rPr>
          <w:rFonts w:ascii="Times New Roman" w:hAnsi="Times New Roman" w:cs="Times New Roman"/>
          <w:b/>
          <w:bCs/>
          <w:i/>
          <w:sz w:val="24"/>
          <w:szCs w:val="24"/>
          <w:shd w:val="clear" w:color="auto" w:fill="FFFFFF"/>
        </w:rPr>
        <w:t>Method used to calculate the Spearman correlation</w:t>
      </w:r>
    </w:p>
    <w:p w14:paraId="276EB7D9" w14:textId="77777777" w:rsidR="00C00938" w:rsidRPr="002222BB" w:rsidRDefault="00C00938" w:rsidP="00C00938">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Create a table from your data and get the ordered pairs of two variables.</w:t>
      </w:r>
    </w:p>
    <w:p w14:paraId="5D8FDAA5" w14:textId="77777777" w:rsidR="00C00938" w:rsidRPr="002222BB" w:rsidRDefault="00C00938" w:rsidP="00C00938">
      <w:pPr>
        <w:pStyle w:val="Default"/>
        <w:numPr>
          <w:ilvl w:val="0"/>
          <w:numId w:val="1"/>
        </w:numPr>
        <w:ind w:left="720"/>
        <w:jc w:val="both"/>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72C3CB79" w14:textId="77777777" w:rsidR="00C00938" w:rsidRPr="002222BB" w:rsidRDefault="00C00938" w:rsidP="00C00938">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Tied scores are given the mean (average) rank.</w:t>
      </w:r>
    </w:p>
    <w:p w14:paraId="5C61D17F" w14:textId="77777777" w:rsidR="00C00938" w:rsidRPr="002222BB" w:rsidRDefault="00C00938" w:rsidP="00C00938">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Find the difference in the ranks (d).</w:t>
      </w:r>
    </w:p>
    <w:p w14:paraId="2FAEEEBF" w14:textId="77777777" w:rsidR="00C00938" w:rsidRPr="002222BB" w:rsidRDefault="00C00938" w:rsidP="00C00938">
      <w:pPr>
        <w:pStyle w:val="Default"/>
        <w:numPr>
          <w:ilvl w:val="0"/>
          <w:numId w:val="1"/>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Square the differences (d²) To remove negative values and then sum them</w:t>
      </w:r>
    </w:p>
    <w:p w14:paraId="6509E7A8" w14:textId="77777777" w:rsidR="00C00938" w:rsidRPr="002222BB" w:rsidRDefault="00C00938" w:rsidP="00C00938">
      <w:pPr>
        <w:pStyle w:val="Default"/>
        <w:numPr>
          <w:ilvl w:val="0"/>
          <w:numId w:val="2"/>
        </w:numPr>
        <w:ind w:left="720"/>
        <w:rPr>
          <w:rFonts w:ascii="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lastRenderedPageBreak/>
        <w:t>Calculate the coefficient (</w:t>
      </w:r>
      <w:r w:rsidRPr="002222BB">
        <w:rPr>
          <w:rFonts w:ascii="Times New Roman" w:hAnsi="Times New Roman" w:cs="Times New Roman"/>
          <w:b/>
          <w:bCs/>
          <w:i/>
          <w:iCs/>
          <w:sz w:val="24"/>
          <w:szCs w:val="24"/>
          <w:shd w:val="clear" w:color="auto" w:fill="FFFFFF"/>
        </w:rPr>
        <w:t>R</w:t>
      </w:r>
      <w:r w:rsidRPr="002222BB">
        <w:rPr>
          <w:rFonts w:ascii="Times New Roman" w:hAnsi="Times New Roman" w:cs="Times New Roman"/>
          <w:b/>
          <w:bCs/>
          <w:i/>
          <w:iCs/>
          <w:sz w:val="24"/>
          <w:szCs w:val="24"/>
          <w:shd w:val="clear" w:color="auto" w:fill="FFFFFF"/>
          <w:vertAlign w:val="subscript"/>
        </w:rPr>
        <w:t>s</w:t>
      </w:r>
      <w:r w:rsidRPr="002222BB">
        <w:rPr>
          <w:rFonts w:ascii="Times New Roman" w:hAnsi="Times New Roman" w:cs="Times New Roman"/>
          <w:sz w:val="24"/>
          <w:szCs w:val="24"/>
          <w:shd w:val="clear" w:color="auto" w:fill="FFFFFF"/>
        </w:rPr>
        <w:t>) using the formula mentioned below.</w:t>
      </w:r>
    </w:p>
    <w:p w14:paraId="480902CE" w14:textId="77777777" w:rsidR="00C00938" w:rsidRPr="002222BB" w:rsidRDefault="00C00938" w:rsidP="00C00938">
      <w:pPr>
        <w:pStyle w:val="Default"/>
        <w:ind w:left="720"/>
        <w:rPr>
          <w:rFonts w:ascii="Times New Roman" w:hAnsi="Times New Roman" w:cs="Times New Roman"/>
          <w:sz w:val="24"/>
          <w:szCs w:val="24"/>
          <w:shd w:val="clear" w:color="auto" w:fill="FFFFFF"/>
        </w:rPr>
      </w:pPr>
    </w:p>
    <w:p w14:paraId="1CBD6C75" w14:textId="77777777" w:rsidR="00C00938" w:rsidRPr="002222BB" w:rsidRDefault="00C00938" w:rsidP="00C00938">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When written in mathematical notation the Spearman Rank formula looks like this:</w:t>
      </w:r>
    </w:p>
    <w:p w14:paraId="29F69341" w14:textId="77777777" w:rsidR="00C00938" w:rsidRPr="002222BB" w:rsidRDefault="00C00938" w:rsidP="00C00938">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                </w:t>
      </w:r>
      <w:r w:rsidRPr="002222BB">
        <w:rPr>
          <w:rFonts w:ascii="Times New Roman" w:eastAsia="Verdana" w:hAnsi="Times New Roman" w:cs="Times New Roman"/>
          <w:noProof/>
          <w:sz w:val="24"/>
          <w:szCs w:val="24"/>
          <w:lang w:eastAsia="en-US"/>
        </w:rPr>
        <w:drawing>
          <wp:inline distT="0" distB="0" distL="0" distR="0" wp14:anchorId="5DEFC814" wp14:editId="52DBA213">
            <wp:extent cx="736600" cy="38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6600" cy="381000"/>
                    </a:xfrm>
                    <a:prstGeom prst="rect">
                      <a:avLst/>
                    </a:prstGeom>
                    <a:noFill/>
                    <a:ln>
                      <a:noFill/>
                    </a:ln>
                  </pic:spPr>
                </pic:pic>
              </a:graphicData>
            </a:graphic>
          </wp:inline>
        </w:drawing>
      </w:r>
    </w:p>
    <w:p w14:paraId="737BFAC7" w14:textId="77777777" w:rsidR="00C00938" w:rsidRPr="002222BB" w:rsidRDefault="00C00938" w:rsidP="00C00938">
      <w:pPr>
        <w:pStyle w:val="Default"/>
        <w:rPr>
          <w:rFonts w:ascii="Times New Roman" w:eastAsia="Verdana" w:hAnsi="Times New Roman" w:cs="Times New Roman"/>
          <w:sz w:val="24"/>
          <w:szCs w:val="24"/>
        </w:rPr>
      </w:pPr>
      <w:r w:rsidRPr="002222BB">
        <w:rPr>
          <w:rFonts w:ascii="Times New Roman" w:hAnsi="Times New Roman" w:cs="Times New Roman"/>
          <w:sz w:val="24"/>
          <w:szCs w:val="24"/>
        </w:rPr>
        <w:t xml:space="preserve">Here, </w:t>
      </w:r>
    </w:p>
    <w:p w14:paraId="7650A025" w14:textId="77777777" w:rsidR="00C00938" w:rsidRPr="002222BB" w:rsidRDefault="00C00938" w:rsidP="00C00938">
      <w:pPr>
        <w:pStyle w:val="Default"/>
        <w:rPr>
          <w:rFonts w:ascii="Times New Roman" w:eastAsia="Times New Roman" w:hAnsi="Times New Roman" w:cs="Times New Roman"/>
          <w:sz w:val="24"/>
          <w:szCs w:val="24"/>
        </w:rPr>
      </w:pPr>
      <w:r w:rsidRPr="002222BB">
        <w:rPr>
          <w:rFonts w:ascii="Times New Roman" w:hAnsi="Times New Roman" w:cs="Times New Roman"/>
          <w:sz w:val="24"/>
          <w:szCs w:val="24"/>
        </w:rPr>
        <w:t>ρ= Spearman rank correlation</w:t>
      </w:r>
    </w:p>
    <w:p w14:paraId="0E1CB563" w14:textId="77777777" w:rsidR="00C00938" w:rsidRPr="002222BB" w:rsidRDefault="00C00938" w:rsidP="00C00938">
      <w:pPr>
        <w:pStyle w:val="Default"/>
        <w:rPr>
          <w:rFonts w:ascii="Times New Roman" w:eastAsia="Times New Roman" w:hAnsi="Times New Roman" w:cs="Times New Roman"/>
          <w:sz w:val="24"/>
          <w:szCs w:val="24"/>
          <w:shd w:val="clear" w:color="auto" w:fill="FFFFFF"/>
        </w:rPr>
      </w:pPr>
      <w:r w:rsidRPr="002222BB">
        <w:rPr>
          <w:rFonts w:ascii="Times New Roman" w:hAnsi="Times New Roman" w:cs="Times New Roman"/>
          <w:sz w:val="24"/>
          <w:szCs w:val="24"/>
          <w:shd w:val="clear" w:color="auto" w:fill="FFFFFF"/>
        </w:rPr>
        <w:t>di= the difference between the ranks of corresponding variables</w:t>
      </w:r>
    </w:p>
    <w:p w14:paraId="10C8D894" w14:textId="2F4F90ED" w:rsidR="00C00938" w:rsidRDefault="00C00938" w:rsidP="00C00938">
      <w:pPr>
        <w:rPr>
          <w:sz w:val="24"/>
          <w:szCs w:val="24"/>
          <w:shd w:val="clear" w:color="auto" w:fill="FFFFFF"/>
        </w:rPr>
      </w:pPr>
      <w:r w:rsidRPr="002222BB">
        <w:rPr>
          <w:sz w:val="24"/>
          <w:szCs w:val="24"/>
          <w:shd w:val="clear" w:color="auto" w:fill="FFFFFF"/>
        </w:rPr>
        <w:t>n= number of observations</w:t>
      </w:r>
    </w:p>
    <w:p w14:paraId="1A77B069" w14:textId="7CB77D97" w:rsidR="00C00938" w:rsidRDefault="00C00938" w:rsidP="00C00938">
      <w:pPr>
        <w:rPr>
          <w:sz w:val="24"/>
          <w:szCs w:val="24"/>
          <w:shd w:val="clear" w:color="auto" w:fill="FFFFFF"/>
        </w:rPr>
      </w:pPr>
    </w:p>
    <w:p w14:paraId="2659F4B5" w14:textId="6F5A7E5A" w:rsidR="00C00938" w:rsidRPr="00862F99" w:rsidRDefault="00C00938" w:rsidP="00C00938">
      <w:pPr>
        <w:rPr>
          <w:rFonts w:ascii="Arial" w:hAnsi="Arial" w:cs="Arial"/>
          <w:sz w:val="22"/>
          <w:szCs w:val="22"/>
        </w:rPr>
      </w:pPr>
      <w:r>
        <w:rPr>
          <w:sz w:val="24"/>
          <w:szCs w:val="24"/>
          <w:shd w:val="clear" w:color="auto" w:fill="FFFFFF"/>
        </w:rPr>
        <w:t xml:space="preserve">code coverage </w:t>
      </w:r>
      <w:r w:rsidR="00426917">
        <w:rPr>
          <w:sz w:val="24"/>
          <w:szCs w:val="24"/>
          <w:shd w:val="clear" w:color="auto" w:fill="FFFFFF"/>
        </w:rPr>
        <w:t>values are</w:t>
      </w:r>
      <w:r>
        <w:rPr>
          <w:sz w:val="24"/>
          <w:szCs w:val="24"/>
          <w:shd w:val="clear" w:color="auto" w:fill="FFFFFF"/>
        </w:rPr>
        <w:t xml:space="preserve"> taken as x-values and mutation scores are y-values to calculate Spearman coefficient.</w:t>
      </w:r>
    </w:p>
    <w:sectPr w:rsidR="00C00938" w:rsidRPr="00862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0BDA26D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92E6240C">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5CD8491A">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C704BC8">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026ED12">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8B1E9EE4">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4320A584">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6AC8FF1E">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E8C6935C">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0BDA26D8">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92E6240C">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5CD8491A">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C704BC8">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D026ED12">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8B1E9EE4">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4320A584">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6AC8FF1E">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E8C6935C">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12"/>
    <w:rsid w:val="001168C8"/>
    <w:rsid w:val="00426917"/>
    <w:rsid w:val="004C447B"/>
    <w:rsid w:val="005C201D"/>
    <w:rsid w:val="005F324A"/>
    <w:rsid w:val="00862F99"/>
    <w:rsid w:val="00A760C1"/>
    <w:rsid w:val="00AE35C0"/>
    <w:rsid w:val="00BE2F34"/>
    <w:rsid w:val="00C00938"/>
    <w:rsid w:val="00DC7812"/>
    <w:rsid w:val="00EB0790"/>
    <w:rsid w:val="00FD7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C7EA"/>
  <w15:chartTrackingRefBased/>
  <w15:docId w15:val="{190252CE-88FE-4967-8724-9297F372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324A"/>
    <w:pPr>
      <w:spacing w:after="0" w:line="240" w:lineRule="auto"/>
      <w:jc w:val="both"/>
    </w:pPr>
    <w:rPr>
      <w:rFonts w:ascii="Times New Roman" w:eastAsia="Times New Roman" w:hAnsi="Times New Roman" w:cs="Times New Roman"/>
      <w:color w:val="000000"/>
      <w:sz w:val="20"/>
      <w:szCs w:val="20"/>
      <w:u w:color="000000"/>
      <w:lang w:val="en-US" w:eastAsia="en-IN"/>
    </w:rPr>
  </w:style>
  <w:style w:type="paragraph" w:styleId="Heading4">
    <w:name w:val="heading 4"/>
    <w:next w:val="Normal"/>
    <w:link w:val="Heading4Char"/>
    <w:uiPriority w:val="9"/>
    <w:unhideWhenUsed/>
    <w:qFormat/>
    <w:rsid w:val="005F324A"/>
    <w:pPr>
      <w:tabs>
        <w:tab w:val="left" w:pos="720"/>
      </w:tabs>
      <w:spacing w:before="40" w:after="40" w:line="240" w:lineRule="auto"/>
      <w:ind w:firstLine="504"/>
      <w:jc w:val="both"/>
      <w:outlineLvl w:val="3"/>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324A"/>
    <w:rPr>
      <w:rFonts w:ascii="Times New Roman" w:eastAsia="Times New Roman" w:hAnsi="Times New Roman" w:cs="Arial Unicode MS"/>
      <w:i/>
      <w:iCs/>
      <w:color w:val="000000"/>
      <w:sz w:val="20"/>
      <w:szCs w:val="20"/>
      <w:u w:color="000000"/>
      <w:lang w:val="en-US" w:eastAsia="en-IN"/>
    </w:rPr>
  </w:style>
  <w:style w:type="paragraph" w:customStyle="1" w:styleId="Default">
    <w:name w:val="Default"/>
    <w:rsid w:val="00C00938"/>
    <w:pPr>
      <w:spacing w:after="0" w:line="240" w:lineRule="auto"/>
    </w:pPr>
    <w:rPr>
      <w:rFonts w:ascii="Helvetica Neue" w:eastAsia="Arial Unicode MS" w:hAnsi="Helvetica Neue" w:cs="Arial Unicode MS"/>
      <w:color w:val="000000"/>
      <w:lang w:val="en-US" w:eastAsia="en-IN"/>
    </w:rPr>
  </w:style>
  <w:style w:type="numbering" w:customStyle="1" w:styleId="Bullets">
    <w:name w:val="Bullets"/>
    <w:rsid w:val="00C0093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bandlamudi</dc:creator>
  <cp:keywords/>
  <dc:description/>
  <cp:lastModifiedBy>nandini bandlamudi</cp:lastModifiedBy>
  <cp:revision>10</cp:revision>
  <dcterms:created xsi:type="dcterms:W3CDTF">2020-04-03T01:52:00Z</dcterms:created>
  <dcterms:modified xsi:type="dcterms:W3CDTF">2020-04-10T15:12:00Z</dcterms:modified>
</cp:coreProperties>
</file>