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9B302" w14:textId="7D832A34" w:rsidR="00FB0ABA" w:rsidRDefault="0041605F" w:rsidP="001E25DE">
      <w:pPr>
        <w:rPr>
          <w:rFonts w:ascii="Times New Roman" w:hAnsi="Times New Roman" w:cs="Times New Roman"/>
          <w:b/>
          <w:bCs/>
          <w:color w:val="000000"/>
          <w:sz w:val="28"/>
          <w:szCs w:val="28"/>
        </w:rPr>
      </w:pPr>
      <w:r w:rsidRPr="0041605F">
        <w:rPr>
          <w:rFonts w:ascii="Times New Roman" w:hAnsi="Times New Roman" w:cs="Times New Roman"/>
          <w:b/>
          <w:bCs/>
          <w:color w:val="000000"/>
          <w:sz w:val="28"/>
          <w:szCs w:val="28"/>
        </w:rPr>
        <w:t>Correlation between Statement and Branch coverage with Cyclomatic complexity</w:t>
      </w:r>
    </w:p>
    <w:p w14:paraId="30290F10" w14:textId="77777777" w:rsidR="0041605F" w:rsidRDefault="0041605F" w:rsidP="001E25DE">
      <w:pPr>
        <w:rPr>
          <w:rFonts w:ascii="Arial" w:hAnsi="Arial" w:cs="Arial"/>
          <w:color w:val="000000"/>
        </w:rPr>
      </w:pPr>
    </w:p>
    <w:p w14:paraId="02A1B621" w14:textId="10D4D3BA" w:rsidR="0041605F" w:rsidRPr="0041605F" w:rsidRDefault="0041605F" w:rsidP="0041605F">
      <w:pPr>
        <w:rPr>
          <w:rFonts w:ascii="Times New Roman" w:hAnsi="Times New Roman" w:cs="Times New Roman"/>
          <w:sz w:val="24"/>
          <w:szCs w:val="24"/>
        </w:rPr>
      </w:pPr>
      <w:r w:rsidRPr="0041605F">
        <w:rPr>
          <w:rFonts w:ascii="Times New Roman" w:hAnsi="Times New Roman" w:cs="Times New Roman"/>
          <w:color w:val="000000"/>
          <w:sz w:val="24"/>
          <w:szCs w:val="24"/>
        </w:rPr>
        <w:t>Correlation was started with a hypothesis that the project with higher complexity will likely have less code coverage.</w:t>
      </w:r>
    </w:p>
    <w:p w14:paraId="182C9792" w14:textId="77777777" w:rsidR="00FB0ABA" w:rsidRDefault="00FB0ABA" w:rsidP="00FB0ABA">
      <w:pPr>
        <w:pStyle w:val="Default"/>
        <w:jc w:val="both"/>
        <w:rPr>
          <w:rFonts w:ascii="Times New Roman" w:hAnsi="Times New Roman" w:cs="Times New Roman"/>
          <w:sz w:val="24"/>
          <w:szCs w:val="24"/>
          <w:shd w:val="clear" w:color="auto" w:fill="FFFFFF"/>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417"/>
        <w:gridCol w:w="1701"/>
        <w:gridCol w:w="1559"/>
        <w:gridCol w:w="1701"/>
      </w:tblGrid>
      <w:tr w:rsidR="00074173" w14:paraId="4F47EB01" w14:textId="6D50F446" w:rsidTr="00E9224C">
        <w:trPr>
          <w:trHeight w:val="408"/>
        </w:trPr>
        <w:tc>
          <w:tcPr>
            <w:tcW w:w="183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1BF888C" w14:textId="77777777" w:rsidR="00074173" w:rsidRDefault="00074173" w:rsidP="00074173">
            <w:pPr>
              <w:jc w:val="both"/>
              <w:rPr>
                <w:rFonts w:ascii="Times New Roman" w:hAnsi="Times New Roman" w:cs="Times New Roman"/>
                <w:b/>
                <w:bCs/>
                <w:sz w:val="24"/>
                <w:szCs w:val="24"/>
              </w:rPr>
            </w:pPr>
            <w:r>
              <w:rPr>
                <w:rFonts w:ascii="Times New Roman" w:hAnsi="Times New Roman" w:cs="Times New Roman"/>
                <w:b/>
                <w:bCs/>
                <w:sz w:val="24"/>
                <w:szCs w:val="24"/>
              </w:rPr>
              <w:t>Project Name</w:t>
            </w:r>
          </w:p>
        </w:tc>
        <w:tc>
          <w:tcPr>
            <w:tcW w:w="141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BE6016F" w14:textId="5ADA85BF" w:rsidR="00074173" w:rsidRDefault="00074173" w:rsidP="00074173">
            <w:pPr>
              <w:jc w:val="both"/>
              <w:rPr>
                <w:rFonts w:ascii="Times New Roman" w:hAnsi="Times New Roman" w:cs="Times New Roman"/>
                <w:b/>
                <w:bCs/>
                <w:sz w:val="24"/>
                <w:szCs w:val="24"/>
              </w:rPr>
            </w:pPr>
            <w:r>
              <w:rPr>
                <w:rFonts w:ascii="Times New Roman" w:hAnsi="Times New Roman" w:cs="Times New Roman"/>
                <w:b/>
                <w:bCs/>
                <w:sz w:val="24"/>
                <w:szCs w:val="24"/>
              </w:rPr>
              <w:t>M1</w:t>
            </w:r>
            <w:r w:rsidRPr="00470E5D">
              <w:rPr>
                <w:rFonts w:ascii="Times New Roman" w:hAnsi="Times New Roman" w:cs="Times New Roman"/>
                <w:b/>
                <w:bCs/>
                <w:sz w:val="24"/>
                <w:szCs w:val="24"/>
                <w:shd w:val="clear" w:color="auto" w:fill="8EAADB" w:themeFill="accent1" w:themeFillTint="99"/>
              </w:rPr>
              <w:t>-</w:t>
            </w:r>
            <w:r>
              <w:rPr>
                <w:rFonts w:ascii="Times New Roman" w:hAnsi="Times New Roman" w:cs="Times New Roman"/>
                <w:b/>
                <w:bCs/>
                <w:sz w:val="24"/>
                <w:szCs w:val="24"/>
              </w:rPr>
              <w:t xml:space="preserve"> Statement Coverage</w:t>
            </w:r>
          </w:p>
        </w:tc>
        <w:tc>
          <w:tcPr>
            <w:tcW w:w="1417"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C1BB04B" w14:textId="77777777" w:rsidR="00074173" w:rsidRDefault="00074173" w:rsidP="00074173">
            <w:pPr>
              <w:ind w:left="105" w:right="-2382" w:hanging="105"/>
              <w:jc w:val="both"/>
              <w:rPr>
                <w:rFonts w:ascii="Times New Roman" w:hAnsi="Times New Roman" w:cs="Times New Roman"/>
                <w:b/>
                <w:bCs/>
                <w:sz w:val="24"/>
                <w:szCs w:val="24"/>
              </w:rPr>
            </w:pPr>
            <w:r>
              <w:rPr>
                <w:rFonts w:ascii="Times New Roman" w:hAnsi="Times New Roman" w:cs="Times New Roman"/>
                <w:b/>
                <w:bCs/>
                <w:sz w:val="24"/>
                <w:szCs w:val="24"/>
              </w:rPr>
              <w:t>M2-Branch</w:t>
            </w:r>
          </w:p>
          <w:p w14:paraId="31D1B700" w14:textId="1F138D2D" w:rsidR="00074173" w:rsidRDefault="00074173" w:rsidP="00074173">
            <w:pPr>
              <w:ind w:left="105" w:right="-2382" w:hanging="105"/>
              <w:jc w:val="both"/>
              <w:rPr>
                <w:rFonts w:ascii="Times New Roman" w:hAnsi="Times New Roman" w:cs="Times New Roman"/>
                <w:b/>
                <w:bCs/>
                <w:sz w:val="24"/>
                <w:szCs w:val="24"/>
              </w:rPr>
            </w:pPr>
            <w:r>
              <w:rPr>
                <w:rFonts w:ascii="Times New Roman" w:hAnsi="Times New Roman" w:cs="Times New Roman"/>
                <w:b/>
                <w:bCs/>
                <w:sz w:val="24"/>
                <w:szCs w:val="24"/>
              </w:rPr>
              <w:t xml:space="preserve"> Coverage</w:t>
            </w:r>
          </w:p>
        </w:tc>
        <w:tc>
          <w:tcPr>
            <w:tcW w:w="170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56643E7" w14:textId="067EA40D" w:rsidR="00074173" w:rsidRDefault="00074173" w:rsidP="00074173">
            <w:pPr>
              <w:jc w:val="both"/>
              <w:rPr>
                <w:rFonts w:ascii="Times New Roman" w:hAnsi="Times New Roman" w:cs="Times New Roman"/>
                <w:b/>
                <w:bCs/>
                <w:sz w:val="24"/>
                <w:szCs w:val="24"/>
              </w:rPr>
            </w:pPr>
            <w:r>
              <w:rPr>
                <w:rFonts w:ascii="Times New Roman" w:hAnsi="Times New Roman" w:cs="Times New Roman"/>
                <w:b/>
                <w:bCs/>
                <w:sz w:val="24"/>
                <w:szCs w:val="24"/>
              </w:rPr>
              <w:t>M</w:t>
            </w:r>
            <w:r w:rsidR="00F66225">
              <w:rPr>
                <w:rFonts w:ascii="Times New Roman" w:hAnsi="Times New Roman" w:cs="Times New Roman"/>
                <w:b/>
                <w:bCs/>
                <w:sz w:val="24"/>
                <w:szCs w:val="24"/>
              </w:rPr>
              <w:t>4</w:t>
            </w:r>
            <w:r>
              <w:rPr>
                <w:rFonts w:ascii="Times New Roman" w:hAnsi="Times New Roman" w:cs="Times New Roman"/>
                <w:b/>
                <w:bCs/>
                <w:sz w:val="24"/>
                <w:szCs w:val="24"/>
              </w:rPr>
              <w:t>-Average Cyclomatic Complexity</w:t>
            </w:r>
          </w:p>
        </w:tc>
        <w:tc>
          <w:tcPr>
            <w:tcW w:w="155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8F0D29C" w14:textId="0FB03229" w:rsidR="00074173" w:rsidRDefault="00074173" w:rsidP="00074173">
            <w:pPr>
              <w:jc w:val="both"/>
              <w:rPr>
                <w:rFonts w:ascii="Times New Roman" w:hAnsi="Times New Roman" w:cs="Times New Roman"/>
                <w:b/>
                <w:bCs/>
                <w:sz w:val="24"/>
                <w:szCs w:val="24"/>
              </w:rPr>
            </w:pPr>
            <w:r>
              <w:rPr>
                <w:rFonts w:ascii="Times New Roman" w:hAnsi="Times New Roman" w:cs="Times New Roman"/>
                <w:b/>
                <w:bCs/>
                <w:sz w:val="24"/>
                <w:szCs w:val="24"/>
              </w:rPr>
              <w:t>Spearman Correlation         (M1 &amp; M</w:t>
            </w:r>
            <w:r w:rsidR="00F66225">
              <w:rPr>
                <w:rFonts w:ascii="Times New Roman" w:hAnsi="Times New Roman" w:cs="Times New Roman"/>
                <w:b/>
                <w:bCs/>
                <w:sz w:val="24"/>
                <w:szCs w:val="24"/>
              </w:rPr>
              <w:t>4</w:t>
            </w:r>
            <w:r>
              <w:rPr>
                <w:rFonts w:ascii="Times New Roman" w:hAnsi="Times New Roman" w:cs="Times New Roman"/>
                <w:b/>
                <w:bCs/>
                <w:sz w:val="24"/>
                <w:szCs w:val="24"/>
              </w:rPr>
              <w:t>)</w:t>
            </w:r>
          </w:p>
        </w:tc>
        <w:tc>
          <w:tcPr>
            <w:tcW w:w="170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80229" w14:textId="72C316FB" w:rsidR="00074173" w:rsidRDefault="00074173" w:rsidP="00074173">
            <w:pPr>
              <w:jc w:val="both"/>
              <w:rPr>
                <w:rFonts w:ascii="Times New Roman" w:hAnsi="Times New Roman" w:cs="Times New Roman"/>
                <w:b/>
                <w:bCs/>
                <w:sz w:val="24"/>
                <w:szCs w:val="24"/>
              </w:rPr>
            </w:pPr>
            <w:r>
              <w:rPr>
                <w:rFonts w:ascii="Times New Roman" w:hAnsi="Times New Roman" w:cs="Times New Roman"/>
                <w:b/>
                <w:bCs/>
                <w:sz w:val="24"/>
                <w:szCs w:val="24"/>
              </w:rPr>
              <w:t>Spearman Correlation         (M2 &amp; M</w:t>
            </w:r>
            <w:r w:rsidR="00F66225">
              <w:rPr>
                <w:rFonts w:ascii="Times New Roman" w:hAnsi="Times New Roman" w:cs="Times New Roman"/>
                <w:b/>
                <w:bCs/>
                <w:sz w:val="24"/>
                <w:szCs w:val="24"/>
              </w:rPr>
              <w:t>4</w:t>
            </w:r>
            <w:r>
              <w:rPr>
                <w:rFonts w:ascii="Times New Roman" w:hAnsi="Times New Roman" w:cs="Times New Roman"/>
                <w:b/>
                <w:bCs/>
                <w:sz w:val="24"/>
                <w:szCs w:val="24"/>
              </w:rPr>
              <w:t>)</w:t>
            </w:r>
          </w:p>
        </w:tc>
      </w:tr>
      <w:tr w:rsidR="00074173" w14:paraId="67215E55" w14:textId="0F37CBEB" w:rsidTr="00E9224C">
        <w:trPr>
          <w:trHeight w:val="612"/>
        </w:trPr>
        <w:tc>
          <w:tcPr>
            <w:tcW w:w="183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50F6965" w14:textId="77777777" w:rsidR="00074173" w:rsidRDefault="00074173">
            <w:pPr>
              <w:jc w:val="both"/>
              <w:rPr>
                <w:rFonts w:ascii="Times New Roman" w:hAnsi="Times New Roman" w:cs="Times New Roman"/>
                <w:sz w:val="24"/>
                <w:szCs w:val="24"/>
              </w:rPr>
            </w:pPr>
            <w:r>
              <w:rPr>
                <w:rFonts w:ascii="Times New Roman" w:hAnsi="Times New Roman" w:cs="Times New Roman"/>
                <w:sz w:val="24"/>
                <w:szCs w:val="24"/>
              </w:rPr>
              <w:t>Apache Commons Collections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4B0DFA" w14:textId="06FF533F" w:rsidR="00074173" w:rsidRDefault="00762353">
            <w:pPr>
              <w:jc w:val="both"/>
              <w:rPr>
                <w:rFonts w:ascii="Times New Roman" w:hAnsi="Times New Roman" w:cs="Times New Roman"/>
                <w:sz w:val="24"/>
                <w:szCs w:val="24"/>
              </w:rPr>
            </w:pPr>
            <w:r>
              <w:rPr>
                <w:rFonts w:ascii="Times New Roman" w:hAnsi="Times New Roman" w:cs="Times New Roman"/>
                <w:sz w:val="24"/>
                <w:szCs w:val="24"/>
              </w:rPr>
              <w:t>51%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963F1D5" w14:textId="2095F76B" w:rsidR="00074173" w:rsidRDefault="00074173">
            <w:pPr>
              <w:jc w:val="both"/>
              <w:rPr>
                <w:rFonts w:ascii="Times New Roman" w:hAnsi="Times New Roman" w:cs="Times New Roman"/>
                <w:sz w:val="24"/>
                <w:szCs w:val="24"/>
              </w:rPr>
            </w:pPr>
            <w:r>
              <w:rPr>
                <w:rFonts w:ascii="Times New Roman" w:hAnsi="Times New Roman" w:cs="Times New Roman"/>
                <w:sz w:val="24"/>
                <w:szCs w:val="24"/>
              </w:rPr>
              <w:t>82%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A415331" w14:textId="4A8E9DD2" w:rsidR="00074173" w:rsidRDefault="00F66225">
            <w:pPr>
              <w:jc w:val="both"/>
              <w:rPr>
                <w:rFonts w:ascii="Times New Roman" w:hAnsi="Times New Roman" w:cs="Times New Roman"/>
                <w:sz w:val="24"/>
                <w:szCs w:val="24"/>
              </w:rPr>
            </w:pPr>
            <w:r>
              <w:rPr>
                <w:rFonts w:ascii="Times New Roman" w:hAnsi="Times New Roman" w:cs="Times New Roman"/>
                <w:sz w:val="24"/>
                <w:szCs w:val="24"/>
              </w:rPr>
              <w:t>12.3</w:t>
            </w:r>
          </w:p>
        </w:tc>
        <w:tc>
          <w:tcPr>
            <w:tcW w:w="1559" w:type="dxa"/>
            <w:tcBorders>
              <w:top w:val="single" w:sz="4" w:space="0" w:color="auto"/>
              <w:left w:val="single" w:sz="4" w:space="0" w:color="auto"/>
              <w:bottom w:val="single" w:sz="4" w:space="0" w:color="auto"/>
              <w:right w:val="single" w:sz="4" w:space="0" w:color="auto"/>
            </w:tcBorders>
          </w:tcPr>
          <w:p w14:paraId="75CF8AD1" w14:textId="77777777" w:rsidR="00975FF2" w:rsidRDefault="00975FF2">
            <w:pPr>
              <w:jc w:val="both"/>
              <w:rPr>
                <w:rFonts w:ascii="Open Sans" w:hAnsi="Open Sans"/>
                <w:color w:val="0000FF"/>
                <w:sz w:val="21"/>
                <w:szCs w:val="21"/>
                <w:shd w:val="clear" w:color="auto" w:fill="D9D9D9"/>
              </w:rPr>
            </w:pPr>
          </w:p>
          <w:p w14:paraId="4AE9AEF3" w14:textId="1EE29735" w:rsidR="00470E5D" w:rsidRPr="00975FF2" w:rsidRDefault="00E9224C">
            <w:pPr>
              <w:jc w:val="both"/>
              <w:rPr>
                <w:rFonts w:ascii="Open Sans" w:hAnsi="Open Sans"/>
                <w:color w:val="0000FF"/>
                <w:sz w:val="21"/>
                <w:szCs w:val="21"/>
                <w:shd w:val="clear" w:color="auto" w:fill="D9D9D9"/>
              </w:rPr>
            </w:pPr>
            <w:r>
              <w:rPr>
                <w:rFonts w:ascii="Open Sans" w:hAnsi="Open Sans"/>
                <w:color w:val="0000FF"/>
                <w:sz w:val="21"/>
                <w:szCs w:val="21"/>
                <w:shd w:val="clear" w:color="auto" w:fill="D9D9D9"/>
              </w:rPr>
              <w:t>0.42417</w:t>
            </w:r>
          </w:p>
        </w:tc>
        <w:tc>
          <w:tcPr>
            <w:tcW w:w="1701" w:type="dxa"/>
            <w:tcBorders>
              <w:top w:val="single" w:sz="4" w:space="0" w:color="auto"/>
              <w:left w:val="single" w:sz="4" w:space="0" w:color="auto"/>
              <w:bottom w:val="single" w:sz="4" w:space="0" w:color="auto"/>
              <w:right w:val="single" w:sz="4" w:space="0" w:color="auto"/>
            </w:tcBorders>
          </w:tcPr>
          <w:p w14:paraId="598929C2" w14:textId="77777777" w:rsidR="00975FF2" w:rsidRDefault="00975FF2">
            <w:pPr>
              <w:jc w:val="both"/>
              <w:rPr>
                <w:rFonts w:ascii="Open Sans" w:hAnsi="Open Sans"/>
                <w:color w:val="FF0000"/>
                <w:sz w:val="21"/>
                <w:szCs w:val="21"/>
                <w:shd w:val="clear" w:color="auto" w:fill="D9D9D9"/>
              </w:rPr>
            </w:pPr>
          </w:p>
          <w:p w14:paraId="4A65F2BF" w14:textId="3249F001" w:rsidR="00E9224C" w:rsidRDefault="00E9224C">
            <w:pPr>
              <w:jc w:val="both"/>
              <w:rPr>
                <w:rFonts w:ascii="Open Sans" w:hAnsi="Open Sans"/>
                <w:color w:val="FF0000"/>
                <w:sz w:val="21"/>
                <w:szCs w:val="21"/>
                <w:shd w:val="clear" w:color="auto" w:fill="D9D9D9"/>
              </w:rPr>
            </w:pPr>
            <w:r>
              <w:rPr>
                <w:rFonts w:ascii="Open Sans" w:hAnsi="Open Sans"/>
                <w:color w:val="FF0000"/>
                <w:sz w:val="21"/>
                <w:szCs w:val="21"/>
                <w:shd w:val="clear" w:color="auto" w:fill="D9D9D9"/>
              </w:rPr>
              <w:t>-0.16242</w:t>
            </w:r>
          </w:p>
          <w:p w14:paraId="6A96B4DC" w14:textId="3B471DAB" w:rsidR="00074173" w:rsidRDefault="00074173">
            <w:pPr>
              <w:jc w:val="both"/>
              <w:rPr>
                <w:rFonts w:ascii="Times New Roman" w:hAnsi="Times New Roman" w:cs="Times New Roman"/>
                <w:sz w:val="24"/>
                <w:szCs w:val="24"/>
              </w:rPr>
            </w:pPr>
          </w:p>
        </w:tc>
      </w:tr>
      <w:tr w:rsidR="00074173" w14:paraId="36275D3A" w14:textId="32A5487E" w:rsidTr="00E9224C">
        <w:trPr>
          <w:trHeight w:val="612"/>
        </w:trPr>
        <w:tc>
          <w:tcPr>
            <w:tcW w:w="183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062CD36D" w14:textId="6E3EC045" w:rsidR="00074173" w:rsidRDefault="00074173">
            <w:pPr>
              <w:jc w:val="both"/>
              <w:rPr>
                <w:rFonts w:ascii="Times New Roman" w:hAnsi="Times New Roman" w:cs="Times New Roman"/>
                <w:sz w:val="24"/>
                <w:szCs w:val="24"/>
              </w:rPr>
            </w:pPr>
            <w:r>
              <w:rPr>
                <w:rFonts w:ascii="Times New Roman" w:hAnsi="Times New Roman" w:cs="Times New Roman"/>
                <w:sz w:val="24"/>
                <w:szCs w:val="24"/>
              </w:rPr>
              <w:t>Apache Commons Configuration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0B7A956" w14:textId="39826226" w:rsidR="00074173" w:rsidRDefault="00762353">
            <w:pPr>
              <w:jc w:val="both"/>
              <w:rPr>
                <w:rFonts w:ascii="Times New Roman" w:hAnsi="Times New Roman" w:cs="Times New Roman"/>
                <w:sz w:val="24"/>
                <w:szCs w:val="24"/>
              </w:rPr>
            </w:pPr>
            <w:r>
              <w:rPr>
                <w:rFonts w:ascii="Times New Roman" w:hAnsi="Times New Roman" w:cs="Times New Roman"/>
                <w:sz w:val="24"/>
                <w:szCs w:val="24"/>
              </w:rPr>
              <w:t>89%</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0E7E637" w14:textId="2AF783BA" w:rsidR="00074173" w:rsidRDefault="00074173">
            <w:pPr>
              <w:jc w:val="both"/>
              <w:rPr>
                <w:rFonts w:ascii="Times New Roman" w:hAnsi="Times New Roman" w:cs="Times New Roman"/>
                <w:sz w:val="24"/>
                <w:szCs w:val="24"/>
              </w:rPr>
            </w:pPr>
            <w:r>
              <w:rPr>
                <w:rFonts w:ascii="Times New Roman" w:hAnsi="Times New Roman" w:cs="Times New Roman"/>
                <w:sz w:val="24"/>
                <w:szCs w:val="24"/>
              </w:rPr>
              <w:t>83%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B7798A1" w14:textId="2DCE679B" w:rsidR="00074173" w:rsidRDefault="00F66225">
            <w:pPr>
              <w:jc w:val="both"/>
              <w:rPr>
                <w:rFonts w:ascii="Times New Roman" w:hAnsi="Times New Roman" w:cs="Times New Roman"/>
                <w:sz w:val="24"/>
                <w:szCs w:val="24"/>
              </w:rPr>
            </w:pPr>
            <w:r>
              <w:rPr>
                <w:rFonts w:ascii="Times New Roman" w:hAnsi="Times New Roman" w:cs="Times New Roman"/>
                <w:sz w:val="24"/>
                <w:szCs w:val="24"/>
              </w:rPr>
              <w:t>14.7</w:t>
            </w:r>
          </w:p>
        </w:tc>
        <w:tc>
          <w:tcPr>
            <w:tcW w:w="1559" w:type="dxa"/>
            <w:tcBorders>
              <w:top w:val="single" w:sz="4" w:space="0" w:color="auto"/>
              <w:left w:val="single" w:sz="4" w:space="0" w:color="auto"/>
              <w:bottom w:val="single" w:sz="4" w:space="0" w:color="auto"/>
              <w:right w:val="single" w:sz="4" w:space="0" w:color="auto"/>
            </w:tcBorders>
          </w:tcPr>
          <w:p w14:paraId="456DEDA7" w14:textId="77777777" w:rsidR="00975FF2" w:rsidRDefault="00975FF2" w:rsidP="00975FF2">
            <w:pPr>
              <w:jc w:val="both"/>
              <w:rPr>
                <w:rFonts w:ascii="Open Sans" w:hAnsi="Open Sans"/>
                <w:color w:val="FF0000"/>
                <w:sz w:val="21"/>
                <w:szCs w:val="21"/>
                <w:shd w:val="clear" w:color="auto" w:fill="D9D9D9"/>
              </w:rPr>
            </w:pPr>
          </w:p>
          <w:p w14:paraId="76EA2C74" w14:textId="06BAC03F" w:rsidR="00975FF2" w:rsidRPr="00975FF2" w:rsidRDefault="00E9224C" w:rsidP="00975FF2">
            <w:pPr>
              <w:jc w:val="both"/>
              <w:rPr>
                <w:rFonts w:ascii="Open Sans" w:hAnsi="Open Sans"/>
                <w:color w:val="FF0000"/>
                <w:sz w:val="21"/>
                <w:szCs w:val="21"/>
                <w:shd w:val="clear" w:color="auto" w:fill="D9D9D9"/>
              </w:rPr>
            </w:pPr>
            <w:r>
              <w:rPr>
                <w:rFonts w:ascii="Open Sans" w:hAnsi="Open Sans"/>
                <w:color w:val="FF0000"/>
                <w:sz w:val="21"/>
                <w:szCs w:val="21"/>
                <w:shd w:val="clear" w:color="auto" w:fill="D9D9D9"/>
              </w:rPr>
              <w:t>0.04871</w:t>
            </w:r>
          </w:p>
        </w:tc>
        <w:tc>
          <w:tcPr>
            <w:tcW w:w="1701" w:type="dxa"/>
            <w:tcBorders>
              <w:top w:val="single" w:sz="4" w:space="0" w:color="auto"/>
              <w:left w:val="single" w:sz="4" w:space="0" w:color="auto"/>
              <w:bottom w:val="single" w:sz="4" w:space="0" w:color="auto"/>
              <w:right w:val="single" w:sz="4" w:space="0" w:color="auto"/>
            </w:tcBorders>
          </w:tcPr>
          <w:p w14:paraId="3959328F" w14:textId="77777777" w:rsidR="00975FF2" w:rsidRDefault="00975FF2">
            <w:pPr>
              <w:jc w:val="both"/>
              <w:rPr>
                <w:rFonts w:ascii="Open Sans" w:hAnsi="Open Sans"/>
                <w:color w:val="FF0000"/>
                <w:sz w:val="21"/>
                <w:szCs w:val="21"/>
                <w:shd w:val="clear" w:color="auto" w:fill="D9D9D9"/>
              </w:rPr>
            </w:pPr>
          </w:p>
          <w:p w14:paraId="0C7A278D" w14:textId="1733CD57" w:rsidR="00575D1B" w:rsidRDefault="00E9224C">
            <w:pPr>
              <w:jc w:val="both"/>
              <w:rPr>
                <w:rFonts w:ascii="Open Sans" w:hAnsi="Open Sans"/>
                <w:color w:val="FF0000"/>
                <w:sz w:val="21"/>
                <w:szCs w:val="21"/>
                <w:shd w:val="clear" w:color="auto" w:fill="D9D9D9"/>
              </w:rPr>
            </w:pPr>
            <w:r>
              <w:rPr>
                <w:rFonts w:ascii="Open Sans" w:hAnsi="Open Sans"/>
                <w:color w:val="FF0000"/>
                <w:sz w:val="21"/>
                <w:szCs w:val="21"/>
                <w:shd w:val="clear" w:color="auto" w:fill="D9D9D9"/>
              </w:rPr>
              <w:t>-0.23174</w:t>
            </w:r>
          </w:p>
          <w:p w14:paraId="09DAEB2F" w14:textId="2543056C" w:rsidR="00074173" w:rsidRDefault="00074173">
            <w:pPr>
              <w:jc w:val="both"/>
              <w:rPr>
                <w:rFonts w:ascii="Times New Roman" w:hAnsi="Times New Roman" w:cs="Times New Roman"/>
                <w:sz w:val="24"/>
                <w:szCs w:val="24"/>
              </w:rPr>
            </w:pPr>
          </w:p>
        </w:tc>
      </w:tr>
      <w:tr w:rsidR="00074173" w14:paraId="0187ED88" w14:textId="2E7D22A5" w:rsidTr="00E9224C">
        <w:trPr>
          <w:trHeight w:val="816"/>
        </w:trPr>
        <w:tc>
          <w:tcPr>
            <w:tcW w:w="183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03D3C21" w14:textId="77777777" w:rsidR="00074173" w:rsidRDefault="00074173">
            <w:pPr>
              <w:jc w:val="both"/>
              <w:rPr>
                <w:rFonts w:ascii="Times New Roman" w:hAnsi="Times New Roman" w:cs="Times New Roman"/>
                <w:sz w:val="24"/>
                <w:szCs w:val="24"/>
              </w:rPr>
            </w:pPr>
            <w:r>
              <w:rPr>
                <w:rFonts w:ascii="Times New Roman" w:hAnsi="Times New Roman" w:cs="Times New Roman"/>
                <w:sz w:val="24"/>
                <w:szCs w:val="24"/>
              </w:rPr>
              <w:t>Apache Commons DbUtils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838A7A4" w14:textId="7E792C57" w:rsidR="00074173" w:rsidRDefault="00074173">
            <w:pPr>
              <w:jc w:val="both"/>
              <w:rPr>
                <w:rFonts w:ascii="Times New Roman" w:hAnsi="Times New Roman" w:cs="Times New Roman"/>
                <w:sz w:val="24"/>
                <w:szCs w:val="24"/>
              </w:rPr>
            </w:pPr>
            <w:r>
              <w:rPr>
                <w:rFonts w:ascii="Times New Roman" w:hAnsi="Times New Roman" w:cs="Times New Roman"/>
                <w:sz w:val="24"/>
                <w:szCs w:val="24"/>
              </w:rPr>
              <w:t>6</w:t>
            </w:r>
            <w:r w:rsidR="001A68A2">
              <w:rPr>
                <w:rFonts w:ascii="Times New Roman" w:hAnsi="Times New Roman" w:cs="Times New Roman"/>
                <w:sz w:val="24"/>
                <w:szCs w:val="24"/>
              </w:rPr>
              <w:t>4</w:t>
            </w:r>
            <w:r>
              <w:rPr>
                <w:rFonts w:ascii="Times New Roman" w:hAnsi="Times New Roman" w:cs="Times New Roman"/>
                <w:sz w:val="24"/>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083F667" w14:textId="77777777" w:rsidR="00074173" w:rsidRDefault="00074173">
            <w:pPr>
              <w:jc w:val="both"/>
              <w:rPr>
                <w:rFonts w:ascii="Times New Roman" w:hAnsi="Times New Roman" w:cs="Times New Roman"/>
                <w:sz w:val="24"/>
                <w:szCs w:val="24"/>
              </w:rPr>
            </w:pPr>
            <w:r>
              <w:rPr>
                <w:rFonts w:ascii="Times New Roman" w:hAnsi="Times New Roman" w:cs="Times New Roman"/>
                <w:sz w:val="24"/>
                <w:szCs w:val="24"/>
              </w:rPr>
              <w:t>77%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908D41" w14:textId="6DF2D057" w:rsidR="00074173" w:rsidRDefault="00F66225">
            <w:pPr>
              <w:jc w:val="both"/>
              <w:rPr>
                <w:rFonts w:ascii="Times New Roman" w:hAnsi="Times New Roman" w:cs="Times New Roman"/>
                <w:sz w:val="24"/>
                <w:szCs w:val="24"/>
              </w:rPr>
            </w:pPr>
            <w:r>
              <w:rPr>
                <w:rFonts w:ascii="Times New Roman" w:hAnsi="Times New Roman" w:cs="Times New Roman"/>
                <w:sz w:val="24"/>
                <w:szCs w:val="24"/>
              </w:rPr>
              <w:t>7.1</w:t>
            </w:r>
          </w:p>
        </w:tc>
        <w:tc>
          <w:tcPr>
            <w:tcW w:w="1559" w:type="dxa"/>
            <w:tcBorders>
              <w:top w:val="single" w:sz="4" w:space="0" w:color="auto"/>
              <w:left w:val="single" w:sz="4" w:space="0" w:color="auto"/>
              <w:bottom w:val="single" w:sz="4" w:space="0" w:color="auto"/>
              <w:right w:val="single" w:sz="4" w:space="0" w:color="auto"/>
            </w:tcBorders>
          </w:tcPr>
          <w:p w14:paraId="64845E7F" w14:textId="77777777" w:rsidR="00975FF2" w:rsidRDefault="00975FF2">
            <w:pPr>
              <w:jc w:val="both"/>
              <w:rPr>
                <w:rFonts w:ascii="Open Sans" w:hAnsi="Open Sans"/>
                <w:color w:val="FF0000"/>
                <w:sz w:val="21"/>
                <w:szCs w:val="21"/>
                <w:shd w:val="clear" w:color="auto" w:fill="D9D9D9"/>
              </w:rPr>
            </w:pPr>
          </w:p>
          <w:p w14:paraId="09D7B7F1" w14:textId="1B77F87C" w:rsidR="00074173" w:rsidRPr="00975FF2" w:rsidRDefault="00E9224C">
            <w:pPr>
              <w:jc w:val="both"/>
              <w:rPr>
                <w:rFonts w:ascii="Open Sans" w:hAnsi="Open Sans"/>
                <w:color w:val="FF0000"/>
                <w:sz w:val="21"/>
                <w:szCs w:val="21"/>
                <w:shd w:val="clear" w:color="auto" w:fill="D9D9D9"/>
              </w:rPr>
            </w:pPr>
            <w:r>
              <w:rPr>
                <w:rFonts w:ascii="Open Sans" w:hAnsi="Open Sans"/>
                <w:color w:val="FF0000"/>
                <w:sz w:val="21"/>
                <w:szCs w:val="21"/>
                <w:shd w:val="clear" w:color="auto" w:fill="D9D9D9"/>
              </w:rPr>
              <w:t>-0.66689</w:t>
            </w:r>
          </w:p>
        </w:tc>
        <w:tc>
          <w:tcPr>
            <w:tcW w:w="1701" w:type="dxa"/>
            <w:tcBorders>
              <w:top w:val="single" w:sz="4" w:space="0" w:color="auto"/>
              <w:left w:val="single" w:sz="4" w:space="0" w:color="auto"/>
              <w:bottom w:val="single" w:sz="4" w:space="0" w:color="auto"/>
              <w:right w:val="single" w:sz="4" w:space="0" w:color="auto"/>
            </w:tcBorders>
          </w:tcPr>
          <w:p w14:paraId="443A85AD" w14:textId="77777777" w:rsidR="00975FF2" w:rsidRDefault="00975FF2">
            <w:pPr>
              <w:jc w:val="both"/>
              <w:rPr>
                <w:rFonts w:ascii="Open Sans" w:hAnsi="Open Sans"/>
                <w:color w:val="FF0000"/>
                <w:sz w:val="21"/>
                <w:szCs w:val="21"/>
                <w:shd w:val="clear" w:color="auto" w:fill="D9D9D9"/>
              </w:rPr>
            </w:pPr>
          </w:p>
          <w:p w14:paraId="0891FACB" w14:textId="6BE17B0D" w:rsidR="00575D1B" w:rsidRDefault="00575D1B">
            <w:pPr>
              <w:jc w:val="both"/>
              <w:rPr>
                <w:rFonts w:ascii="Open Sans" w:hAnsi="Open Sans"/>
                <w:color w:val="FF0000"/>
                <w:sz w:val="21"/>
                <w:szCs w:val="21"/>
                <w:shd w:val="clear" w:color="auto" w:fill="D9D9D9"/>
              </w:rPr>
            </w:pPr>
            <w:r>
              <w:rPr>
                <w:rFonts w:ascii="Open Sans" w:hAnsi="Open Sans"/>
                <w:color w:val="FF0000"/>
                <w:sz w:val="21"/>
                <w:szCs w:val="21"/>
                <w:shd w:val="clear" w:color="auto" w:fill="D9D9D9"/>
              </w:rPr>
              <w:t>-0.5</w:t>
            </w:r>
          </w:p>
          <w:p w14:paraId="11A6F31A" w14:textId="452A29D8" w:rsidR="00074173" w:rsidRDefault="00074173">
            <w:pPr>
              <w:jc w:val="both"/>
              <w:rPr>
                <w:rFonts w:ascii="Times New Roman" w:hAnsi="Times New Roman" w:cs="Times New Roman"/>
                <w:sz w:val="24"/>
                <w:szCs w:val="24"/>
              </w:rPr>
            </w:pPr>
          </w:p>
        </w:tc>
      </w:tr>
    </w:tbl>
    <w:p w14:paraId="56B01D19" w14:textId="1C78628F" w:rsidR="00FB0ABA" w:rsidRDefault="00FB0ABA" w:rsidP="00FB0ABA">
      <w:pPr>
        <w:jc w:val="both"/>
        <w:rPr>
          <w:rFonts w:ascii="Times New Roman" w:eastAsia="Calibri" w:hAnsi="Times New Roman" w:cs="Times New Roman"/>
          <w:sz w:val="24"/>
          <w:szCs w:val="24"/>
        </w:rPr>
      </w:pPr>
      <w:bookmarkStart w:id="0" w:name="_Hlk6574416"/>
      <w:r>
        <w:rPr>
          <w:rFonts w:ascii="Times New Roman" w:eastAsia="Calibri" w:hAnsi="Times New Roman" w:cs="Times New Roman"/>
          <w:sz w:val="24"/>
          <w:szCs w:val="24"/>
        </w:rPr>
        <w:t>Table-1: Showing Statement Coverage, Branch Coverage, and</w:t>
      </w:r>
      <w:r w:rsidR="00074173">
        <w:rPr>
          <w:rFonts w:ascii="Times New Roman" w:eastAsia="Calibri" w:hAnsi="Times New Roman" w:cs="Times New Roman"/>
          <w:sz w:val="24"/>
          <w:szCs w:val="24"/>
        </w:rPr>
        <w:t xml:space="preserve"> Cyclomatic complexity</w:t>
      </w:r>
      <w:r>
        <w:rPr>
          <w:rFonts w:ascii="Times New Roman" w:eastAsia="Calibri" w:hAnsi="Times New Roman" w:cs="Times New Roman"/>
          <w:sz w:val="24"/>
          <w:szCs w:val="24"/>
        </w:rPr>
        <w:t xml:space="preserve">. </w:t>
      </w:r>
      <w:bookmarkEnd w:id="0"/>
    </w:p>
    <w:p w14:paraId="73E6480A" w14:textId="6EAFFD21" w:rsidR="0041605F" w:rsidRDefault="0041605F" w:rsidP="0041605F">
      <w:pPr>
        <w:pStyle w:val="NormalWeb"/>
        <w:spacing w:before="240" w:beforeAutospacing="0" w:after="240" w:afterAutospacing="0"/>
      </w:pPr>
      <w:r>
        <w:rPr>
          <w:rFonts w:ascii="Arial" w:hAnsi="Arial" w:cs="Arial"/>
          <w:color w:val="000000"/>
          <w:sz w:val="22"/>
          <w:szCs w:val="22"/>
        </w:rPr>
        <w:t xml:space="preserve">Negative correlation between branch coverage and cyclomatic complexity </w:t>
      </w:r>
      <w:r>
        <w:rPr>
          <w:rFonts w:ascii="Arial" w:hAnsi="Arial" w:cs="Arial"/>
          <w:color w:val="000000"/>
          <w:sz w:val="22"/>
          <w:szCs w:val="22"/>
        </w:rPr>
        <w:t>is</w:t>
      </w:r>
      <w:r>
        <w:rPr>
          <w:rFonts w:ascii="Arial" w:hAnsi="Arial" w:cs="Arial"/>
          <w:color w:val="000000"/>
          <w:sz w:val="22"/>
          <w:szCs w:val="22"/>
        </w:rPr>
        <w:t xml:space="preserve"> observed.</w:t>
      </w:r>
    </w:p>
    <w:p w14:paraId="64668C7C" w14:textId="65F9CF48" w:rsidR="0041605F" w:rsidRDefault="0041605F" w:rsidP="0041605F">
      <w:pPr>
        <w:pStyle w:val="NormalWeb"/>
        <w:spacing w:before="240" w:beforeAutospacing="0" w:after="240" w:afterAutospacing="0"/>
      </w:pPr>
      <w:r>
        <w:rPr>
          <w:rFonts w:ascii="Arial" w:hAnsi="Arial" w:cs="Arial"/>
          <w:color w:val="000000"/>
          <w:sz w:val="22"/>
          <w:szCs w:val="22"/>
        </w:rPr>
        <w:t xml:space="preserve">Correlation between statement coverage and cyclomatic complexity is not strong. Positive values for Collections and Configuration </w:t>
      </w:r>
      <w:r>
        <w:rPr>
          <w:rFonts w:ascii="Arial" w:hAnsi="Arial" w:cs="Arial"/>
          <w:color w:val="000000"/>
          <w:sz w:val="22"/>
          <w:szCs w:val="22"/>
        </w:rPr>
        <w:t>are</w:t>
      </w:r>
      <w:r>
        <w:rPr>
          <w:rFonts w:ascii="Arial" w:hAnsi="Arial" w:cs="Arial"/>
          <w:color w:val="000000"/>
          <w:sz w:val="22"/>
          <w:szCs w:val="22"/>
        </w:rPr>
        <w:t xml:space="preserve"> observed while DbUtils has negative correlation.</w:t>
      </w:r>
    </w:p>
    <w:p w14:paraId="4D285DC4" w14:textId="77777777" w:rsidR="0041605F" w:rsidRDefault="0041605F" w:rsidP="0041605F">
      <w:pPr>
        <w:pStyle w:val="NormalWeb"/>
        <w:spacing w:before="240" w:beforeAutospacing="0" w:after="240" w:afterAutospacing="0"/>
      </w:pPr>
      <w:r>
        <w:rPr>
          <w:rFonts w:ascii="Arial" w:hAnsi="Arial" w:cs="Arial"/>
          <w:color w:val="000000"/>
          <w:sz w:val="22"/>
          <w:szCs w:val="22"/>
        </w:rPr>
        <w:t>Correlation between Statement and Branch Coverage with McCabe Complexity is observed to be not strongly related. We found that there might be other factors affecting the complexity.</w:t>
      </w:r>
    </w:p>
    <w:p w14:paraId="424E1578" w14:textId="77777777" w:rsidR="0041605F" w:rsidRDefault="0041605F" w:rsidP="0041605F">
      <w:pPr>
        <w:pStyle w:val="Default"/>
        <w:jc w:val="both"/>
        <w:rPr>
          <w:rFonts w:ascii="Times New Roman" w:hAnsi="Times New Roman" w:cs="Times New Roman"/>
          <w:i/>
          <w:sz w:val="24"/>
          <w:szCs w:val="24"/>
        </w:rPr>
      </w:pPr>
      <w:r>
        <w:rPr>
          <w:rFonts w:ascii="Times New Roman" w:hAnsi="Times New Roman" w:cs="Times New Roman"/>
          <w:b/>
          <w:bCs/>
          <w:i/>
          <w:sz w:val="24"/>
          <w:szCs w:val="24"/>
        </w:rPr>
        <w:t>Calculating Spearman Correlation</w:t>
      </w:r>
    </w:p>
    <w:p w14:paraId="489A86B1" w14:textId="77777777" w:rsidR="0041605F" w:rsidRDefault="0041605F" w:rsidP="0041605F">
      <w:pPr>
        <w:pStyle w:val="Default"/>
        <w:jc w:val="both"/>
        <w:rPr>
          <w:rFonts w:ascii="Times New Roman" w:hAnsi="Times New Roman" w:cs="Times New Roman"/>
          <w:sz w:val="24"/>
          <w:szCs w:val="24"/>
        </w:rPr>
      </w:pPr>
      <w:r>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6B2E15EE" w14:textId="77777777" w:rsidR="0041605F" w:rsidRDefault="0041605F" w:rsidP="0041605F">
      <w:pPr>
        <w:pStyle w:val="Default"/>
        <w:jc w:val="both"/>
        <w:rPr>
          <w:rFonts w:ascii="Times New Roman" w:eastAsia="Times New Roman" w:hAnsi="Times New Roman" w:cs="Times New Roman"/>
          <w:sz w:val="24"/>
          <w:szCs w:val="24"/>
        </w:rPr>
      </w:pPr>
    </w:p>
    <w:p w14:paraId="620C3F4C" w14:textId="77777777" w:rsidR="0041605F" w:rsidRDefault="0041605F" w:rsidP="0041605F">
      <w:pPr>
        <w:pStyle w:val="Default"/>
        <w:jc w:val="both"/>
        <w:rPr>
          <w:rFonts w:ascii="Times New Roman" w:eastAsia="Times New Roman" w:hAnsi="Times New Roman" w:cs="Times New Roman"/>
          <w:b/>
          <w:bCs/>
          <w:i/>
          <w:sz w:val="24"/>
          <w:szCs w:val="24"/>
          <w:shd w:val="clear" w:color="auto" w:fill="FFFFFF"/>
        </w:rPr>
      </w:pPr>
      <w:r>
        <w:rPr>
          <w:rFonts w:ascii="Times New Roman" w:hAnsi="Times New Roman" w:cs="Times New Roman"/>
          <w:b/>
          <w:bCs/>
          <w:i/>
          <w:sz w:val="24"/>
          <w:szCs w:val="24"/>
          <w:shd w:val="clear" w:color="auto" w:fill="FFFFFF"/>
        </w:rPr>
        <w:t>Method used to calculate the Spearman correlation</w:t>
      </w:r>
    </w:p>
    <w:p w14:paraId="0AE53FEC" w14:textId="77777777" w:rsidR="0041605F" w:rsidRDefault="0041605F" w:rsidP="0041605F">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a table from your data and get the ordered pairs of two variables.</w:t>
      </w:r>
    </w:p>
    <w:p w14:paraId="17D1F723" w14:textId="77777777" w:rsidR="0041605F" w:rsidRDefault="0041605F" w:rsidP="0041605F">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6D02A83E" w14:textId="77777777" w:rsidR="0041605F" w:rsidRDefault="0041605F" w:rsidP="0041605F">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Tied scores are given the mean (average) rank.</w:t>
      </w:r>
    </w:p>
    <w:p w14:paraId="19FD4B03" w14:textId="77777777" w:rsidR="0041605F" w:rsidRDefault="0041605F" w:rsidP="0041605F">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Find the difference in the ranks (d).</w:t>
      </w:r>
    </w:p>
    <w:p w14:paraId="25336891" w14:textId="77777777" w:rsidR="0041605F" w:rsidRDefault="0041605F" w:rsidP="0041605F">
      <w:pPr>
        <w:pStyle w:val="Default"/>
        <w:numPr>
          <w:ilvl w:val="0"/>
          <w:numId w:val="1"/>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Square the differences (d²) To remove negative values and then sum them</w:t>
      </w:r>
    </w:p>
    <w:p w14:paraId="403F382D" w14:textId="77777777" w:rsidR="0041605F" w:rsidRDefault="0041605F" w:rsidP="0041605F">
      <w:pPr>
        <w:pStyle w:val="Default"/>
        <w:numPr>
          <w:ilvl w:val="0"/>
          <w:numId w:val="2"/>
        </w:num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Calculate the coefficient (</w:t>
      </w:r>
      <w:r>
        <w:rPr>
          <w:rFonts w:ascii="Times New Roman" w:hAnsi="Times New Roman" w:cs="Times New Roman"/>
          <w:b/>
          <w:bCs/>
          <w:i/>
          <w:iCs/>
          <w:sz w:val="24"/>
          <w:szCs w:val="24"/>
          <w:shd w:val="clear" w:color="auto" w:fill="FFFFFF"/>
        </w:rPr>
        <w:t>R</w:t>
      </w:r>
      <w:r>
        <w:rPr>
          <w:rFonts w:ascii="Times New Roman" w:hAnsi="Times New Roman" w:cs="Times New Roman"/>
          <w:b/>
          <w:bCs/>
          <w:i/>
          <w:iCs/>
          <w:sz w:val="24"/>
          <w:szCs w:val="24"/>
          <w:shd w:val="clear" w:color="auto" w:fill="FFFFFF"/>
          <w:vertAlign w:val="subscript"/>
        </w:rPr>
        <w:t>s</w:t>
      </w:r>
      <w:r>
        <w:rPr>
          <w:rFonts w:ascii="Times New Roman" w:hAnsi="Times New Roman" w:cs="Times New Roman"/>
          <w:sz w:val="24"/>
          <w:szCs w:val="24"/>
          <w:shd w:val="clear" w:color="auto" w:fill="FFFFFF"/>
        </w:rPr>
        <w:t>) using the formula mentioned below.</w:t>
      </w:r>
    </w:p>
    <w:p w14:paraId="545AE459" w14:textId="77777777" w:rsidR="0041605F" w:rsidRDefault="0041605F" w:rsidP="0041605F">
      <w:pPr>
        <w:pStyle w:val="Default"/>
        <w:ind w:left="720"/>
        <w:jc w:val="both"/>
        <w:rPr>
          <w:rFonts w:ascii="Times New Roman" w:hAnsi="Times New Roman" w:cs="Times New Roman"/>
          <w:sz w:val="24"/>
          <w:szCs w:val="24"/>
          <w:shd w:val="clear" w:color="auto" w:fill="FFFFFF"/>
        </w:rPr>
      </w:pPr>
    </w:p>
    <w:p w14:paraId="3DF7078B" w14:textId="77777777" w:rsidR="0041605F" w:rsidRDefault="0041605F" w:rsidP="0041605F">
      <w:pPr>
        <w:pStyle w:val="Default"/>
        <w:jc w:val="both"/>
        <w:rPr>
          <w:rFonts w:ascii="Times New Roman" w:eastAsia="Times New Roman" w:hAnsi="Times New Roman" w:cs="Times New Roman"/>
          <w:sz w:val="24"/>
          <w:szCs w:val="24"/>
        </w:rPr>
      </w:pPr>
      <w:r>
        <w:rPr>
          <w:rFonts w:ascii="Times New Roman" w:hAnsi="Times New Roman" w:cs="Times New Roman"/>
          <w:sz w:val="24"/>
          <w:szCs w:val="24"/>
        </w:rPr>
        <w:t>When written in mathematical notation the Spearman Rank formula looks like this:</w:t>
      </w:r>
    </w:p>
    <w:p w14:paraId="48E937D6" w14:textId="23B9D4CB" w:rsidR="0041605F" w:rsidRDefault="0041605F" w:rsidP="0041605F">
      <w:pPr>
        <w:pStyle w:val="Default"/>
        <w:jc w:val="both"/>
        <w:rPr>
          <w:rFonts w:ascii="Times New Roman" w:eastAsia="Verdana" w:hAnsi="Times New Roman" w:cs="Times New Roman"/>
          <w:sz w:val="24"/>
          <w:szCs w:val="24"/>
        </w:rPr>
      </w:pPr>
      <w:r>
        <w:rPr>
          <w:rFonts w:ascii="Times New Roman" w:hAnsi="Times New Roman" w:cs="Times New Roman"/>
          <w:sz w:val="24"/>
          <w:szCs w:val="24"/>
        </w:rPr>
        <w:t xml:space="preserve">                </w:t>
      </w:r>
      <w:r>
        <w:rPr>
          <w:rFonts w:ascii="Times New Roman" w:eastAsia="Verdana" w:hAnsi="Times New Roman" w:cs="Times New Roman"/>
          <w:noProof/>
          <w:sz w:val="24"/>
          <w:szCs w:val="24"/>
        </w:rPr>
        <w:drawing>
          <wp:inline distT="0" distB="0" distL="0" distR="0" wp14:anchorId="44D1DE68" wp14:editId="517229C9">
            <wp:extent cx="7391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60FEC80" w14:textId="77777777" w:rsidR="0041605F" w:rsidRDefault="0041605F" w:rsidP="0041605F">
      <w:pPr>
        <w:pStyle w:val="Default"/>
        <w:jc w:val="both"/>
        <w:rPr>
          <w:rFonts w:ascii="Times New Roman" w:eastAsia="Verdana" w:hAnsi="Times New Roman" w:cs="Times New Roman"/>
          <w:sz w:val="24"/>
          <w:szCs w:val="24"/>
        </w:rPr>
      </w:pPr>
      <w:r>
        <w:rPr>
          <w:rFonts w:ascii="Times New Roman" w:hAnsi="Times New Roman" w:cs="Times New Roman"/>
          <w:sz w:val="24"/>
          <w:szCs w:val="24"/>
        </w:rPr>
        <w:t xml:space="preserve">Here, </w:t>
      </w:r>
    </w:p>
    <w:p w14:paraId="1BF0C996" w14:textId="77777777" w:rsidR="0041605F" w:rsidRDefault="0041605F" w:rsidP="0041605F">
      <w:pPr>
        <w:pStyle w:val="Default"/>
        <w:jc w:val="both"/>
        <w:rPr>
          <w:rFonts w:ascii="Times New Roman" w:eastAsia="Times New Roman" w:hAnsi="Times New Roman" w:cs="Times New Roman"/>
          <w:sz w:val="24"/>
          <w:szCs w:val="24"/>
        </w:rPr>
      </w:pPr>
      <w:r>
        <w:rPr>
          <w:rFonts w:ascii="Times New Roman" w:hAnsi="Times New Roman" w:cs="Times New Roman"/>
          <w:sz w:val="24"/>
          <w:szCs w:val="24"/>
        </w:rPr>
        <w:t>ρ= Spearman rank correlation</w:t>
      </w:r>
    </w:p>
    <w:p w14:paraId="7F724639" w14:textId="77777777" w:rsidR="0041605F" w:rsidRDefault="0041605F" w:rsidP="0041605F">
      <w:pPr>
        <w:pStyle w:val="Default"/>
        <w:jc w:val="both"/>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t>di= the difference between the ranks of corresponding variables</w:t>
      </w:r>
    </w:p>
    <w:p w14:paraId="5DFCE487" w14:textId="77777777" w:rsidR="0041605F" w:rsidRDefault="0041605F" w:rsidP="0041605F">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 number of observations</w:t>
      </w:r>
    </w:p>
    <w:p w14:paraId="49D7F791" w14:textId="77777777" w:rsidR="0041605F" w:rsidRDefault="0041605F" w:rsidP="0041605F">
      <w:pPr>
        <w:pStyle w:val="Default"/>
        <w:jc w:val="both"/>
        <w:rPr>
          <w:rFonts w:ascii="Times New Roman" w:hAnsi="Times New Roman" w:cs="Times New Roman"/>
          <w:sz w:val="24"/>
          <w:szCs w:val="24"/>
          <w:shd w:val="clear" w:color="auto" w:fill="FFFFFF"/>
        </w:rPr>
      </w:pPr>
    </w:p>
    <w:p w14:paraId="7D415E6C" w14:textId="73E4E4E0" w:rsidR="0041605F" w:rsidRDefault="0041605F" w:rsidP="0041605F">
      <w:pPr>
        <w:jc w:val="both"/>
        <w:rPr>
          <w:rFonts w:ascii="Times New Roman" w:eastAsia="Calibri" w:hAnsi="Times New Roman" w:cs="Times New Roman"/>
          <w:sz w:val="24"/>
          <w:szCs w:val="24"/>
        </w:rPr>
      </w:pPr>
      <w:r>
        <w:rPr>
          <w:rFonts w:ascii="Times New Roman" w:hAnsi="Times New Roman" w:cs="Times New Roman"/>
          <w:sz w:val="24"/>
          <w:szCs w:val="24"/>
        </w:rPr>
        <w:t>We have used the formula of spearmen correlation coefficient by considering the statement coverage</w:t>
      </w:r>
      <w:r>
        <w:rPr>
          <w:rFonts w:ascii="Times New Roman" w:hAnsi="Times New Roman" w:cs="Times New Roman"/>
          <w:sz w:val="24"/>
          <w:szCs w:val="24"/>
        </w:rPr>
        <w:t xml:space="preserve"> and branch coverage</w:t>
      </w:r>
      <w:bookmarkStart w:id="1" w:name="_GoBack"/>
      <w:bookmarkEnd w:id="1"/>
      <w:r>
        <w:rPr>
          <w:rFonts w:ascii="Times New Roman" w:hAnsi="Times New Roman" w:cs="Times New Roman"/>
          <w:sz w:val="24"/>
          <w:szCs w:val="24"/>
        </w:rPr>
        <w:t xml:space="preserve"> values as X- values and the</w:t>
      </w:r>
      <w:r w:rsidRPr="0041605F">
        <w:rPr>
          <w:rFonts w:ascii="Times New Roman" w:hAnsi="Times New Roman" w:cs="Times New Roman"/>
          <w:b/>
          <w:bCs/>
          <w:sz w:val="24"/>
          <w:szCs w:val="24"/>
        </w:rPr>
        <w:t xml:space="preserve"> </w:t>
      </w:r>
      <w:r w:rsidRPr="0041605F">
        <w:rPr>
          <w:rFonts w:ascii="Times New Roman" w:hAnsi="Times New Roman" w:cs="Times New Roman"/>
          <w:sz w:val="24"/>
          <w:szCs w:val="24"/>
        </w:rPr>
        <w:t>Cyclomatic Complexity</w:t>
      </w:r>
      <w:r>
        <w:rPr>
          <w:rFonts w:ascii="Times New Roman" w:hAnsi="Times New Roman" w:cs="Times New Roman"/>
          <w:sz w:val="24"/>
          <w:szCs w:val="24"/>
        </w:rPr>
        <w:t xml:space="preserve"> as Y- values.</w:t>
      </w:r>
    </w:p>
    <w:p w14:paraId="3E7B438E" w14:textId="77777777" w:rsidR="00FB0ABA" w:rsidRDefault="00FB0ABA" w:rsidP="001E25DE"/>
    <w:sectPr w:rsidR="00FB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1220AF8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B2BEAEB0">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3003484">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04C439EC">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A2BCB6E2">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78B8B704">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81A0605A">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D23A9868">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68585852">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1220AF82">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B2BEAEB0">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3003484">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04C439EC">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A2BCB6E2">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78B8B704">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81A0605A">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D23A9868">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68585852">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DE"/>
    <w:rsid w:val="00074173"/>
    <w:rsid w:val="001A68A2"/>
    <w:rsid w:val="001B6A72"/>
    <w:rsid w:val="001E25DE"/>
    <w:rsid w:val="002E5F84"/>
    <w:rsid w:val="00407A29"/>
    <w:rsid w:val="0041605F"/>
    <w:rsid w:val="00470E5D"/>
    <w:rsid w:val="004A30CF"/>
    <w:rsid w:val="00575D1B"/>
    <w:rsid w:val="00597AB4"/>
    <w:rsid w:val="00762353"/>
    <w:rsid w:val="00960375"/>
    <w:rsid w:val="00975FF2"/>
    <w:rsid w:val="00AD4C3F"/>
    <w:rsid w:val="00BA16F8"/>
    <w:rsid w:val="00C409B4"/>
    <w:rsid w:val="00D87464"/>
    <w:rsid w:val="00DB4696"/>
    <w:rsid w:val="00E9224C"/>
    <w:rsid w:val="00F66225"/>
    <w:rsid w:val="00FA3DD8"/>
    <w:rsid w:val="00FB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EB00"/>
  <w15:chartTrackingRefBased/>
  <w15:docId w15:val="{A20319E9-E974-4F46-AFFB-7F06B9A7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FB0ABA"/>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0ABA"/>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FB0ABA"/>
    <w:pPr>
      <w:spacing w:after="0" w:line="240" w:lineRule="auto"/>
    </w:pPr>
    <w:rPr>
      <w:rFonts w:ascii="Helvetica Neue" w:eastAsia="Arial Unicode MS" w:hAnsi="Helvetica Neue" w:cs="Arial Unicode MS"/>
      <w:color w:val="000000"/>
      <w:lang w:val="en-US" w:eastAsia="en-IN"/>
    </w:rPr>
  </w:style>
  <w:style w:type="paragraph" w:styleId="NormalWeb">
    <w:name w:val="Normal (Web)"/>
    <w:basedOn w:val="Normal"/>
    <w:uiPriority w:val="99"/>
    <w:semiHidden/>
    <w:unhideWhenUsed/>
    <w:rsid w:val="0041605F"/>
    <w:pPr>
      <w:spacing w:before="100" w:beforeAutospacing="1" w:after="100" w:afterAutospacing="1" w:line="240" w:lineRule="auto"/>
    </w:pPr>
    <w:rPr>
      <w:rFonts w:ascii="Times New Roman" w:eastAsia="Times New Roman" w:hAnsi="Times New Roman" w:cs="Times New Roman"/>
      <w:sz w:val="24"/>
      <w:szCs w:val="24"/>
      <w:lang w:eastAsia="en-IN"/>
    </w:rPr>
  </w:style>
  <w:style w:type="numbering" w:customStyle="1" w:styleId="Bullets">
    <w:name w:val="Bullets"/>
    <w:rsid w:val="004160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09366">
      <w:bodyDiv w:val="1"/>
      <w:marLeft w:val="0"/>
      <w:marRight w:val="0"/>
      <w:marTop w:val="0"/>
      <w:marBottom w:val="0"/>
      <w:divBdr>
        <w:top w:val="none" w:sz="0" w:space="0" w:color="auto"/>
        <w:left w:val="none" w:sz="0" w:space="0" w:color="auto"/>
        <w:bottom w:val="none" w:sz="0" w:space="0" w:color="auto"/>
        <w:right w:val="none" w:sz="0" w:space="0" w:color="auto"/>
      </w:divBdr>
    </w:div>
    <w:div w:id="911697078">
      <w:bodyDiv w:val="1"/>
      <w:marLeft w:val="0"/>
      <w:marRight w:val="0"/>
      <w:marTop w:val="0"/>
      <w:marBottom w:val="0"/>
      <w:divBdr>
        <w:top w:val="none" w:sz="0" w:space="0" w:color="auto"/>
        <w:left w:val="none" w:sz="0" w:space="0" w:color="auto"/>
        <w:bottom w:val="none" w:sz="0" w:space="0" w:color="auto"/>
        <w:right w:val="none" w:sz="0" w:space="0" w:color="auto"/>
      </w:divBdr>
    </w:div>
    <w:div w:id="196653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bandlamudi</dc:creator>
  <cp:keywords/>
  <dc:description/>
  <cp:lastModifiedBy>nandini bandlamudi</cp:lastModifiedBy>
  <cp:revision>12</cp:revision>
  <dcterms:created xsi:type="dcterms:W3CDTF">2020-04-01T19:06:00Z</dcterms:created>
  <dcterms:modified xsi:type="dcterms:W3CDTF">2020-04-10T15:18:00Z</dcterms:modified>
</cp:coreProperties>
</file>