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SENTINEL LIFE &amp; HEALTH ASSURANCE CO. LTD.</w:t>
      </w:r>
    </w:p>
    <w:p>
      <w:pPr>
        <w:spacing w:after="300"/>
        <w:jc w:val="center"/>
      </w:pPr>
      <w:r>
        <w:rPr>
          <w:i/>
          <w:iCs/>
          <w:color w:val="666666"/>
          <w:sz w:val="18"/>
          <w:szCs w:val="18"/>
        </w:rPr>
        <w:t xml:space="preserve">IRDAI Registration No. 998877 (Fictional)</w:t>
      </w:r>
    </w:p>
    <w:p>
      <w:pPr>
        <w:spacing w:after="100"/>
        <w:jc w:val="center"/>
      </w:pPr>
      <w:r>
        <w:rPr>
          <w:b/>
          <w:bCs/>
          <w:sz w:val="40"/>
          <w:szCs w:val="40"/>
        </w:rPr>
        <w:t xml:space="preserve">SecureHealth Plus</w:t>
      </w:r>
    </w:p>
    <w:p>
      <w:pPr>
        <w:spacing w:after="400"/>
        <w:jc w:val="center"/>
      </w:pPr>
      <w:r>
        <w:rPr>
          <w:sz w:val="22"/>
          <w:szCs w:val="22"/>
        </w:rPr>
        <w:t xml:space="preserve">Health Cum Savings Endowment Assurance Plan — Policy Document &amp; Schedule</w:t>
      </w:r>
    </w:p>
    <w:p>
      <w:pPr>
        <w:spacing w:after="800" w:before="800"/>
        <w:jc w:val="center"/>
      </w:pPr>
      <w:r>
        <w:rPr>
          <w:b/>
          <w:bCs/>
          <w:color w:val="AA0000"/>
          <w:sz w:val="24"/>
          <w:szCs w:val="24"/>
        </w:rPr>
        <w:t xml:space="preserve">SAMPLE / SYNTHETIC DOCUMENT</w:t>
      </w:r>
    </w:p>
    <w:p>
      <w:pPr>
        <w:jc w:val="center"/>
      </w:pPr>
      <w:r>
        <w:rPr>
          <w:i/>
          <w:iCs/>
          <w:sz w:val="20"/>
          <w:szCs w:val="20"/>
        </w:rPr>
        <w:t xml:space="preserve">This document is entirely fictional, generated for the purpose of testing an AI insurance-document analysis pipeline (InsureIQ). No real insurer, person, or policy is represented.</w:t>
      </w:r>
    </w:p>
    <w:p>
      <w:r>
        <w:br w:type="page"/>
      </w:r>
    </w:p>
    <w:p>
      <w:pPr>
        <w:pStyle w:val="Heading1"/>
        <w:spacing w:after="150" w:before="300"/>
      </w:pPr>
      <w:r>
        <w:rPr>
          <w:b/>
          <w:bCs/>
        </w:rPr>
        <w:t xml:space="preserve">Part I — Policy Schedule</w:t>
      </w:r>
    </w:p>
    <w:p>
      <w:pPr>
        <w:spacing w:after="120"/>
      </w:pPr>
      <w:r>
        <w:rPr>
          <w:b w:val="false"/>
          <w:bCs w:val="false"/>
          <w:i w:val="false"/>
          <w:iCs w:val="false"/>
          <w:sz w:val="21"/>
          <w:szCs w:val="21"/>
        </w:rPr>
        <w:t xml:space="preserve">This Policy Schedule forms part of the Policy Document and should be read together with the Definitions, Terms and Conditions set out herein.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shd w:fill="D9E2F3" w:val="clear"/>
          </w:tcPr>
          <w:p>
            <w:r>
              <w:rPr>
                <w:b/>
                <w:bCs/>
                <w:sz w:val="20"/>
                <w:szCs w:val="20"/>
              </w:rPr>
              <w:t xml:space="preserve">Field</w:t>
            </w:r>
          </w:p>
        </w:tc>
        <w:tc>
          <w:tcPr>
            <w:tcW w:type="dxa" w:w="5500"/>
            <w:shd w:fill="D9E2F3" w:val="clear"/>
          </w:tcPr>
          <w:p>
            <w:r>
              <w:rPr>
                <w:b/>
                <w:bCs/>
                <w:sz w:val="20"/>
                <w:szCs w:val="20"/>
              </w:rPr>
              <w:t xml:space="preserve">Details</w:t>
            </w:r>
          </w:p>
        </w:tc>
      </w:tr>
      <w:tr>
        <w:tc>
          <w:tcPr>
            <w:tcW w:type="dxa" w:w="4500"/>
          </w:tcPr>
          <w:p>
            <w:r>
              <w:rPr>
                <w:b w:val="false"/>
                <w:bCs w:val="false"/>
                <w:sz w:val="20"/>
                <w:szCs w:val="20"/>
              </w:rPr>
              <w:t xml:space="preserve">Policy Number</w:t>
            </w:r>
          </w:p>
        </w:tc>
        <w:tc>
          <w:tcPr>
            <w:tcW w:type="dxa" w:w="5500"/>
          </w:tcPr>
          <w:p>
            <w:r>
              <w:rPr>
                <w:b w:val="false"/>
                <w:bCs w:val="false"/>
                <w:sz w:val="20"/>
                <w:szCs w:val="20"/>
              </w:rPr>
              <w:t xml:space="preserve">SH-2019-0047231</w:t>
            </w:r>
          </w:p>
        </w:tc>
      </w:tr>
      <w:tr>
        <w:tc>
          <w:tcPr>
            <w:tcW w:type="dxa" w:w="4500"/>
          </w:tcPr>
          <w:p>
            <w:r>
              <w:rPr>
                <w:b w:val="false"/>
                <w:bCs w:val="false"/>
                <w:sz w:val="20"/>
                <w:szCs w:val="20"/>
              </w:rPr>
              <w:t xml:space="preserve">Product Name</w:t>
            </w:r>
          </w:p>
        </w:tc>
        <w:tc>
          <w:tcPr>
            <w:tcW w:type="dxa" w:w="5500"/>
          </w:tcPr>
          <w:p>
            <w:r>
              <w:rPr>
                <w:b w:val="false"/>
                <w:bCs w:val="false"/>
                <w:sz w:val="20"/>
                <w:szCs w:val="20"/>
              </w:rPr>
              <w:t xml:space="preserve">SecureHealth Plus (Health Cum Savings Endowment Plan)</w:t>
            </w:r>
          </w:p>
        </w:tc>
      </w:tr>
      <w:tr>
        <w:tc>
          <w:tcPr>
            <w:tcW w:type="dxa" w:w="4500"/>
          </w:tcPr>
          <w:p>
            <w:r>
              <w:rPr>
                <w:b w:val="false"/>
                <w:bCs w:val="false"/>
                <w:sz w:val="20"/>
                <w:szCs w:val="20"/>
              </w:rPr>
              <w:t xml:space="preserve">Policyholder Name</w:t>
            </w:r>
          </w:p>
        </w:tc>
        <w:tc>
          <w:tcPr>
            <w:tcW w:type="dxa" w:w="5500"/>
          </w:tcPr>
          <w:p>
            <w:r>
              <w:rPr>
                <w:b w:val="false"/>
                <w:bCs w:val="false"/>
                <w:sz w:val="20"/>
                <w:szCs w:val="20"/>
              </w:rPr>
              <w:t xml:space="preserve">Ramesh Kumar Iyer</w:t>
            </w:r>
          </w:p>
        </w:tc>
      </w:tr>
      <w:tr>
        <w:tc>
          <w:tcPr>
            <w:tcW w:type="dxa" w:w="4500"/>
          </w:tcPr>
          <w:p>
            <w:r>
              <w:rPr>
                <w:b w:val="false"/>
                <w:bCs w:val="false"/>
                <w:sz w:val="20"/>
                <w:szCs w:val="20"/>
              </w:rPr>
              <w:t xml:space="preserve">Date of Birth of Policyholder</w:t>
            </w:r>
          </w:p>
        </w:tc>
        <w:tc>
          <w:tcPr>
            <w:tcW w:type="dxa" w:w="5500"/>
          </w:tcPr>
          <w:p>
            <w:r>
              <w:rPr>
                <w:b w:val="false"/>
                <w:bCs w:val="false"/>
                <w:sz w:val="20"/>
                <w:szCs w:val="20"/>
              </w:rPr>
              <w:t xml:space="preserve">10 April 1965</w:t>
            </w:r>
          </w:p>
        </w:tc>
      </w:tr>
      <w:tr>
        <w:tc>
          <w:tcPr>
            <w:tcW w:type="dxa" w:w="4500"/>
          </w:tcPr>
          <w:p>
            <w:r>
              <w:rPr>
                <w:b w:val="false"/>
                <w:bCs w:val="false"/>
                <w:sz w:val="20"/>
                <w:szCs w:val="20"/>
              </w:rPr>
              <w:t xml:space="preserve">Policyholder Address</w:t>
            </w:r>
          </w:p>
        </w:tc>
        <w:tc>
          <w:tcPr>
            <w:tcW w:type="dxa" w:w="5500"/>
          </w:tcPr>
          <w:p>
            <w:r>
              <w:rPr>
                <w:b w:val="false"/>
                <w:bCs w:val="false"/>
                <w:sz w:val="20"/>
                <w:szCs w:val="20"/>
              </w:rPr>
              <w:t xml:space="preserve">Flat 12B, Meridian Heights, Andheri East, Mumbai 400069</w:t>
            </w:r>
          </w:p>
        </w:tc>
      </w:tr>
      <w:tr>
        <w:tc>
          <w:tcPr>
            <w:tcW w:type="dxa" w:w="4500"/>
          </w:tcPr>
          <w:p>
            <w:r>
              <w:rPr>
                <w:b w:val="false"/>
                <w:bCs w:val="false"/>
                <w:sz w:val="20"/>
                <w:szCs w:val="20"/>
              </w:rPr>
              <w:t xml:space="preserve">Nominee Name</w:t>
            </w:r>
          </w:p>
        </w:tc>
        <w:tc>
          <w:tcPr>
            <w:tcW w:type="dxa" w:w="5500"/>
          </w:tcPr>
          <w:p>
            <w:r>
              <w:rPr>
                <w:b w:val="false"/>
                <w:bCs w:val="false"/>
                <w:sz w:val="20"/>
                <w:szCs w:val="20"/>
              </w:rPr>
              <w:t xml:space="preserve">Sunita Iyer (Wife)</w:t>
            </w:r>
          </w:p>
        </w:tc>
      </w:tr>
      <w:tr>
        <w:tc>
          <w:tcPr>
            <w:tcW w:type="dxa" w:w="4500"/>
          </w:tcPr>
          <w:p>
            <w:r>
              <w:rPr>
                <w:b w:val="false"/>
                <w:bCs w:val="false"/>
                <w:sz w:val="20"/>
                <w:szCs w:val="20"/>
              </w:rPr>
              <w:t xml:space="preserve">Policy Start Date (Risk Commencement Date)</w:t>
            </w:r>
          </w:p>
        </w:tc>
        <w:tc>
          <w:tcPr>
            <w:tcW w:type="dxa" w:w="5500"/>
          </w:tcPr>
          <w:p>
            <w:r>
              <w:rPr>
                <w:b w:val="false"/>
                <w:bCs w:val="false"/>
                <w:sz w:val="20"/>
                <w:szCs w:val="20"/>
              </w:rPr>
              <w:t xml:space="preserve">10 April 2019</w:t>
            </w:r>
          </w:p>
        </w:tc>
      </w:tr>
      <w:tr>
        <w:tc>
          <w:tcPr>
            <w:tcW w:type="dxa" w:w="4500"/>
          </w:tcPr>
          <w:p>
            <w:r>
              <w:rPr>
                <w:b w:val="false"/>
                <w:bCs w:val="false"/>
                <w:sz w:val="20"/>
                <w:szCs w:val="20"/>
              </w:rPr>
              <w:t xml:space="preserve">Premium Payment Term</w:t>
            </w:r>
          </w:p>
        </w:tc>
        <w:tc>
          <w:tcPr>
            <w:tcW w:type="dxa" w:w="5500"/>
          </w:tcPr>
          <w:p>
            <w:r>
              <w:rPr>
                <w:b w:val="false"/>
                <w:bCs w:val="false"/>
                <w:sz w:val="20"/>
                <w:szCs w:val="20"/>
              </w:rPr>
              <w:t xml:space="preserve">20 years (premiums payable annually from 2019 to 2038, last premium due 10 April 2038)</w:t>
            </w:r>
          </w:p>
        </w:tc>
      </w:tr>
      <w:tr>
        <w:tc>
          <w:tcPr>
            <w:tcW w:type="dxa" w:w="4500"/>
          </w:tcPr>
          <w:p>
            <w:r>
              <w:rPr>
                <w:b w:val="false"/>
                <w:bCs w:val="false"/>
                <w:sz w:val="20"/>
                <w:szCs w:val="20"/>
              </w:rPr>
              <w:t xml:space="preserve">Policy Maturity Date</w:t>
            </w:r>
          </w:p>
        </w:tc>
        <w:tc>
          <w:tcPr>
            <w:tcW w:type="dxa" w:w="5500"/>
          </w:tcPr>
          <w:p>
            <w:r>
              <w:rPr>
                <w:b w:val="false"/>
                <w:bCs w:val="false"/>
                <w:sz w:val="20"/>
                <w:szCs w:val="20"/>
              </w:rPr>
              <w:t xml:space="preserve">10 April 2064</w:t>
            </w:r>
          </w:p>
        </w:tc>
      </w:tr>
      <w:tr>
        <w:tc>
          <w:tcPr>
            <w:tcW w:type="dxa" w:w="4500"/>
          </w:tcPr>
          <w:p>
            <w:r>
              <w:rPr>
                <w:b w:val="false"/>
                <w:bCs w:val="false"/>
                <w:sz w:val="20"/>
                <w:szCs w:val="20"/>
              </w:rPr>
              <w:t xml:space="preserve">Sum Assured (Health/Hospitalization Cover)</w:t>
            </w:r>
          </w:p>
        </w:tc>
        <w:tc>
          <w:tcPr>
            <w:tcW w:type="dxa" w:w="5500"/>
          </w:tcPr>
          <w:p>
            <w:r>
              <w:rPr>
                <w:b w:val="false"/>
                <w:bCs w:val="false"/>
                <w:sz w:val="20"/>
                <w:szCs w:val="20"/>
              </w:rPr>
              <w:t xml:space="preserve">₹10,00,000 (Rupees Ten Lakh)</w:t>
            </w:r>
          </w:p>
        </w:tc>
      </w:tr>
      <w:tr>
        <w:tc>
          <w:tcPr>
            <w:tcW w:type="dxa" w:w="4500"/>
          </w:tcPr>
          <w:p>
            <w:r>
              <w:rPr>
                <w:b w:val="false"/>
                <w:bCs w:val="false"/>
                <w:sz w:val="20"/>
                <w:szCs w:val="20"/>
              </w:rPr>
              <w:t xml:space="preserve">Guaranteed Maturity Benefit (Savings Component)</w:t>
            </w:r>
          </w:p>
        </w:tc>
        <w:tc>
          <w:tcPr>
            <w:tcW w:type="dxa" w:w="5500"/>
          </w:tcPr>
          <w:p>
            <w:r>
              <w:rPr>
                <w:b w:val="false"/>
                <w:bCs w:val="false"/>
                <w:sz w:val="20"/>
                <w:szCs w:val="20"/>
              </w:rPr>
              <w:t xml:space="preserve">₹18,50,000 (Rupees Eighteen Lakh Fifty Thousand), payable on survival to Policy Maturity Date</w:t>
            </w:r>
          </w:p>
        </w:tc>
      </w:tr>
      <w:tr>
        <w:tc>
          <w:tcPr>
            <w:tcW w:type="dxa" w:w="4500"/>
          </w:tcPr>
          <w:p>
            <w:r>
              <w:rPr>
                <w:b w:val="false"/>
                <w:bCs w:val="false"/>
                <w:sz w:val="20"/>
                <w:szCs w:val="20"/>
              </w:rPr>
              <w:t xml:space="preserve">Annual Premium</w:t>
            </w:r>
          </w:p>
        </w:tc>
        <w:tc>
          <w:tcPr>
            <w:tcW w:type="dxa" w:w="5500"/>
          </w:tcPr>
          <w:p>
            <w:r>
              <w:rPr>
                <w:b w:val="false"/>
                <w:bCs w:val="false"/>
                <w:sz w:val="20"/>
                <w:szCs w:val="20"/>
              </w:rPr>
              <w:t xml:space="preserve">₹52,000 plus applicable taxes</w:t>
            </w:r>
          </w:p>
        </w:tc>
      </w:tr>
      <w:tr>
        <w:tc>
          <w:tcPr>
            <w:tcW w:type="dxa" w:w="4500"/>
          </w:tcPr>
          <w:p>
            <w:r>
              <w:rPr>
                <w:b w:val="false"/>
                <w:bCs w:val="false"/>
                <w:sz w:val="20"/>
                <w:szCs w:val="20"/>
              </w:rPr>
              <w:t xml:space="preserve">Premium Payment Mode</w:t>
            </w:r>
          </w:p>
        </w:tc>
        <w:tc>
          <w:tcPr>
            <w:tcW w:type="dxa" w:w="5500"/>
          </w:tcPr>
          <w:p>
            <w:r>
              <w:rPr>
                <w:b w:val="false"/>
                <w:bCs w:val="false"/>
                <w:sz w:val="20"/>
                <w:szCs w:val="20"/>
              </w:rPr>
              <w:t xml:space="preserve">Annual</w:t>
            </w:r>
          </w:p>
        </w:tc>
      </w:tr>
      <w:tr>
        <w:tc>
          <w:tcPr>
            <w:tcW w:type="dxa" w:w="4500"/>
          </w:tcPr>
          <w:p>
            <w:r>
              <w:rPr>
                <w:b w:val="false"/>
                <w:bCs w:val="false"/>
                <w:sz w:val="20"/>
                <w:szCs w:val="20"/>
              </w:rPr>
              <w:t xml:space="preserve">Grace Period</w:t>
            </w:r>
          </w:p>
        </w:tc>
        <w:tc>
          <w:tcPr>
            <w:tcW w:type="dxa" w:w="5500"/>
          </w:tcPr>
          <w:p>
            <w:r>
              <w:rPr>
                <w:b w:val="false"/>
                <w:bCs w:val="false"/>
                <w:sz w:val="20"/>
                <w:szCs w:val="20"/>
              </w:rPr>
              <w:t xml:space="preserve">30 days from Premium Due Date (see also Part VI, Section 9.4)</w:t>
            </w:r>
          </w:p>
        </w:tc>
      </w:tr>
      <w:tr>
        <w:tc>
          <w:tcPr>
            <w:tcW w:type="dxa" w:w="4500"/>
          </w:tcPr>
          <w:p>
            <w:r>
              <w:rPr>
                <w:b w:val="false"/>
                <w:bCs w:val="false"/>
                <w:sz w:val="20"/>
                <w:szCs w:val="20"/>
              </w:rPr>
              <w:t xml:space="preserve">Free-Look Period</w:t>
            </w:r>
          </w:p>
        </w:tc>
        <w:tc>
          <w:tcPr>
            <w:tcW w:type="dxa" w:w="5500"/>
          </w:tcPr>
          <w:p>
            <w:r>
              <w:rPr>
                <w:b w:val="false"/>
                <w:bCs w:val="false"/>
                <w:sz w:val="20"/>
                <w:szCs w:val="20"/>
              </w:rPr>
              <w:t xml:space="preserve">15 days from the date of receipt of this Policy Document</w:t>
            </w:r>
          </w:p>
        </w:tc>
      </w:tr>
    </w:tbl>
    <w:p>
      <w:pPr>
        <w:pStyle w:val="Heading1"/>
        <w:spacing w:after="150" w:before="300"/>
      </w:pPr>
      <w:r>
        <w:rPr>
          <w:b/>
          <w:bCs/>
        </w:rPr>
        <w:t xml:space="preserve">Part II — Definitions</w:t>
      </w:r>
    </w:p>
    <w:p>
      <w:pPr>
        <w:spacing w:after="120"/>
      </w:pPr>
      <w:r>
        <w:rPr>
          <w:b w:val="false"/>
          <w:bCs w:val="false"/>
          <w:i w:val="false"/>
          <w:iCs w:val="false"/>
          <w:sz w:val="21"/>
          <w:szCs w:val="21"/>
        </w:rPr>
        <w:t xml:space="preserve">2.1 "Company" means Sentinel Life &amp; Health Assurance Co. Ltd.</w:t>
      </w:r>
    </w:p>
    <w:p>
      <w:pPr>
        <w:spacing w:after="120"/>
      </w:pPr>
      <w:r>
        <w:rPr>
          <w:b w:val="false"/>
          <w:bCs w:val="false"/>
          <w:i w:val="false"/>
          <w:iCs w:val="false"/>
          <w:sz w:val="21"/>
          <w:szCs w:val="21"/>
        </w:rPr>
        <w:t xml:space="preserve">2.2 "Policyholder" means the person named as such in the Policy Schedule, being the owner of this Policy.</w:t>
      </w:r>
    </w:p>
    <w:p>
      <w:pPr>
        <w:spacing w:after="120"/>
      </w:pPr>
      <w:r>
        <w:rPr>
          <w:b w:val="false"/>
          <w:bCs w:val="false"/>
          <w:i w:val="false"/>
          <w:iCs w:val="false"/>
          <w:sz w:val="21"/>
          <w:szCs w:val="21"/>
        </w:rPr>
        <w:t xml:space="preserve">2.3 "Sum Assured" means the maximum amount of Health Cover available under this Policy in a Policy Year, as stated in the Policy Schedule.</w:t>
      </w:r>
    </w:p>
    <w:p>
      <w:pPr>
        <w:spacing w:after="120"/>
      </w:pPr>
      <w:r>
        <w:rPr>
          <w:b w:val="false"/>
          <w:bCs w:val="false"/>
          <w:i w:val="false"/>
          <w:iCs w:val="false"/>
          <w:sz w:val="21"/>
          <w:szCs w:val="21"/>
        </w:rPr>
        <w:t xml:space="preserve">2.4 "Guaranteed Maturity Benefit" means the lump-sum amount payable to the Policyholder on survival to the Policy Maturity Date, as stated in the Policy Schedule, subject to all premiums having been paid in full and the Policy being in force.</w:t>
      </w:r>
    </w:p>
    <w:p>
      <w:pPr>
        <w:spacing w:after="120"/>
      </w:pPr>
      <w:r>
        <w:rPr>
          <w:b w:val="false"/>
          <w:bCs w:val="false"/>
          <w:i w:val="false"/>
          <w:iCs w:val="false"/>
          <w:sz w:val="21"/>
          <w:szCs w:val="21"/>
        </w:rPr>
        <w:t xml:space="preserve">2.5 "Policy Year" means a period of twelve (12) consecutive months commencing from the Risk Commencement Date or any anniversary thereof.</w:t>
      </w:r>
    </w:p>
    <w:p>
      <w:pPr>
        <w:spacing w:after="120"/>
      </w:pPr>
      <w:r>
        <w:rPr>
          <w:b w:val="false"/>
          <w:bCs w:val="false"/>
          <w:i w:val="false"/>
          <w:iCs w:val="false"/>
          <w:sz w:val="21"/>
          <w:szCs w:val="21"/>
        </w:rPr>
        <w:t xml:space="preserve">2.6 "Pre-Existing Disease" means any condition, ailment, injury or disease diagnosed by a physician, or for which medical advice or treatment was recommended by, or received from, a physician within 48 months prior to the Risk Commencement Date.</w:t>
      </w:r>
    </w:p>
    <w:p>
      <w:pPr>
        <w:spacing w:after="120"/>
      </w:pPr>
      <w:r>
        <w:rPr>
          <w:b w:val="false"/>
          <w:bCs w:val="false"/>
          <w:i w:val="false"/>
          <w:iCs w:val="false"/>
          <w:sz w:val="21"/>
          <w:szCs w:val="21"/>
        </w:rPr>
        <w:t xml:space="preserve">2.7 "Day Care Treatment" means medical treatment or surgical procedures listed in Annexure C which, on account of technological advancement, do not require a 24-hour hospitalization.</w:t>
      </w:r>
    </w:p>
    <w:p>
      <w:pPr>
        <w:spacing w:after="120"/>
      </w:pPr>
      <w:r>
        <w:rPr>
          <w:b w:val="false"/>
          <w:bCs w:val="false"/>
          <w:i w:val="false"/>
          <w:iCs w:val="false"/>
          <w:sz w:val="21"/>
          <w:szCs w:val="21"/>
        </w:rPr>
        <w:t xml:space="preserve">2.8 "Reasonable and Customary Charges" means charges for services or supplies which are the standard charges for the specific provider and consistent with the prevailing charges for similar services in the same geographical area, as determined solely by the Company.</w:t>
      </w:r>
    </w:p>
    <w:p>
      <w:pPr>
        <w:pStyle w:val="Heading1"/>
        <w:spacing w:after="150" w:before="300"/>
      </w:pPr>
      <w:r>
        <w:rPr>
          <w:b/>
          <w:bCs/>
        </w:rPr>
        <w:t xml:space="preserve">Part III — Section A: What Is Covered</w:t>
      </w:r>
    </w:p>
    <w:p>
      <w:pPr>
        <w:spacing w:after="120"/>
      </w:pPr>
      <w:r>
        <w:rPr>
          <w:b w:val="false"/>
          <w:bCs w:val="false"/>
          <w:i w:val="false"/>
          <w:iCs w:val="false"/>
          <w:sz w:val="21"/>
          <w:szCs w:val="21"/>
        </w:rPr>
        <w:t xml:space="preserve">Subject to the terms, conditions, exclusions, waiting periods and sub-limits set out in this Policy Document, the Company shall indemnify the Policyholder for the following, up to the Sum Assured in any one Policy Year:</w:t>
      </w:r>
    </w:p>
    <w:p>
      <w:pPr>
        <w:pStyle w:val="ListParagraph"/>
        <w:numPr>
          <w:ilvl w:val="0"/>
          <w:numId w:val="1"/>
        </w:numPr>
        <w:spacing w:after="60"/>
      </w:pPr>
      <w:r>
        <w:rPr>
          <w:sz w:val="21"/>
          <w:szCs w:val="21"/>
        </w:rPr>
        <w:t xml:space="preserve">In-patient hospitalization expenses exceeding 24 continuous hours, including room rent, nursing charges, ICU charges, doctor's fees, cost of medicines and consumables, and diagnostic tests, subject to the sub-limits in Section C.</w:t>
      </w:r>
    </w:p>
    <w:p>
      <w:pPr>
        <w:pStyle w:val="ListParagraph"/>
        <w:numPr>
          <w:ilvl w:val="0"/>
          <w:numId w:val="1"/>
        </w:numPr>
        <w:spacing w:after="60"/>
      </w:pPr>
      <w:r>
        <w:rPr>
          <w:sz w:val="21"/>
          <w:szCs w:val="21"/>
        </w:rPr>
        <w:t xml:space="preserve">Pre-hospitalization medical expenses incurred up to 30 days immediately before the date of admission.</w:t>
      </w:r>
    </w:p>
    <w:p>
      <w:pPr>
        <w:pStyle w:val="ListParagraph"/>
        <w:numPr>
          <w:ilvl w:val="0"/>
          <w:numId w:val="1"/>
        </w:numPr>
        <w:spacing w:after="60"/>
      </w:pPr>
      <w:r>
        <w:rPr>
          <w:sz w:val="21"/>
          <w:szCs w:val="21"/>
        </w:rPr>
        <w:t xml:space="preserve">Post-hospitalization medical expenses incurred up to 60 days immediately after the date of discharge.</w:t>
      </w:r>
    </w:p>
    <w:p>
      <w:pPr>
        <w:pStyle w:val="ListParagraph"/>
        <w:numPr>
          <w:ilvl w:val="0"/>
          <w:numId w:val="1"/>
        </w:numPr>
        <w:spacing w:after="60"/>
      </w:pPr>
      <w:r>
        <w:rPr>
          <w:sz w:val="21"/>
          <w:szCs w:val="21"/>
        </w:rPr>
        <w:t xml:space="preserve">Day Care Treatment for the 140 procedures listed in Annexure C, without the 24-hour hospitalization requirement.</w:t>
      </w:r>
    </w:p>
    <w:p>
      <w:pPr>
        <w:pStyle w:val="ListParagraph"/>
        <w:numPr>
          <w:ilvl w:val="0"/>
          <w:numId w:val="1"/>
        </w:numPr>
        <w:spacing w:after="60"/>
      </w:pPr>
      <w:r>
        <w:rPr>
          <w:sz w:val="21"/>
          <w:szCs w:val="21"/>
        </w:rPr>
        <w:t xml:space="preserve">Ambulance charges for transport to the nearest hospital with adequate facilities, subject to the sub-limit in Section C.</w:t>
      </w:r>
    </w:p>
    <w:p>
      <w:pPr>
        <w:pStyle w:val="ListParagraph"/>
        <w:numPr>
          <w:ilvl w:val="0"/>
          <w:numId w:val="1"/>
        </w:numPr>
        <w:spacing w:after="60"/>
      </w:pPr>
      <w:r>
        <w:rPr>
          <w:sz w:val="21"/>
          <w:szCs w:val="21"/>
        </w:rPr>
        <w:t xml:space="preserve">A Health Check-up Benefit once every 2 claim-free Policy Years, up to ₹5,000.</w:t>
      </w:r>
    </w:p>
    <w:p>
      <w:pPr>
        <w:pStyle w:val="ListParagraph"/>
        <w:numPr>
          <w:ilvl w:val="0"/>
          <w:numId w:val="1"/>
        </w:numPr>
        <w:spacing w:after="60"/>
      </w:pPr>
      <w:r>
        <w:rPr>
          <w:sz w:val="21"/>
          <w:szCs w:val="21"/>
        </w:rPr>
        <w:t xml:space="preserve">Organ donor expenses for harvesting the organ, where the Policyholder is the recipient, subject to sub-limits.</w:t>
      </w:r>
    </w:p>
    <w:p>
      <w:pPr>
        <w:pStyle w:val="Heading2"/>
        <w:spacing w:after="100" w:before="200"/>
      </w:pPr>
      <w:r>
        <w:rPr>
          <w:b/>
          <w:bCs/>
        </w:rPr>
        <w:t xml:space="preserve">Section B: Waiting Periods</w:t>
      </w:r>
    </w:p>
    <w:p>
      <w:pPr>
        <w:spacing w:after="120"/>
      </w:pPr>
      <w:r>
        <w:rPr>
          <w:b w:val="false"/>
          <w:bCs w:val="false"/>
          <w:i w:val="false"/>
          <w:iCs w:val="false"/>
          <w:sz w:val="21"/>
          <w:szCs w:val="21"/>
        </w:rPr>
        <w:t xml:space="preserve">The following waiting periods apply from the Risk Commencement Date. No claim shall be admissible for any condition falling within an applicable waiting period, regardless of when the claim is filed.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shd w:fill="D9E2F3" w:val="clear"/>
          </w:tcPr>
          <w:p>
            <w:r>
              <w:rPr>
                <w:b/>
                <w:bCs/>
                <w:sz w:val="20"/>
                <w:szCs w:val="20"/>
              </w:rPr>
              <w:t xml:space="preserve">Waiting Period Type</w:t>
            </w:r>
          </w:p>
        </w:tc>
        <w:tc>
          <w:tcPr>
            <w:tcW w:type="dxa" w:w="5500"/>
            <w:shd w:fill="D9E2F3" w:val="clear"/>
          </w:tcPr>
          <w:p>
            <w:r>
              <w:rPr>
                <w:b/>
                <w:bCs/>
                <w:sz w:val="20"/>
                <w:szCs w:val="20"/>
              </w:rPr>
              <w:t xml:space="preserve">Duration</w:t>
            </w:r>
          </w:p>
        </w:tc>
      </w:tr>
      <w:tr>
        <w:tc>
          <w:tcPr>
            <w:tcW w:type="dxa" w:w="4500"/>
          </w:tcPr>
          <w:p>
            <w:r>
              <w:rPr>
                <w:b w:val="false"/>
                <w:bCs w:val="false"/>
                <w:sz w:val="20"/>
                <w:szCs w:val="20"/>
              </w:rPr>
              <w:t xml:space="preserve">Initial Waiting Period (all illnesses other than accidents)</w:t>
            </w:r>
          </w:p>
        </w:tc>
        <w:tc>
          <w:tcPr>
            <w:tcW w:type="dxa" w:w="5500"/>
          </w:tcPr>
          <w:p>
            <w:r>
              <w:rPr>
                <w:b w:val="false"/>
                <w:bCs w:val="false"/>
                <w:sz w:val="20"/>
                <w:szCs w:val="20"/>
              </w:rPr>
              <w:t xml:space="preserve">30 days from Risk Commencement Date</w:t>
            </w:r>
          </w:p>
        </w:tc>
      </w:tr>
      <w:tr>
        <w:tc>
          <w:tcPr>
            <w:tcW w:type="dxa" w:w="4500"/>
          </w:tcPr>
          <w:p>
            <w:r>
              <w:rPr>
                <w:b w:val="false"/>
                <w:bCs w:val="false"/>
                <w:sz w:val="20"/>
                <w:szCs w:val="20"/>
              </w:rPr>
              <w:t xml:space="preserve">Pre-Existing Disease Waiting Period</w:t>
            </w:r>
          </w:p>
        </w:tc>
        <w:tc>
          <w:tcPr>
            <w:tcW w:type="dxa" w:w="5500"/>
          </w:tcPr>
          <w:p>
            <w:r>
              <w:rPr>
                <w:b w:val="false"/>
                <w:bCs w:val="false"/>
                <w:sz w:val="20"/>
                <w:szCs w:val="20"/>
              </w:rPr>
              <w:t xml:space="preserve">48 months (4 years) continuous coverage from Risk Commencement Date</w:t>
            </w:r>
          </w:p>
        </w:tc>
      </w:tr>
      <w:tr>
        <w:tc>
          <w:tcPr>
            <w:tcW w:type="dxa" w:w="4500"/>
          </w:tcPr>
          <w:p>
            <w:r>
              <w:rPr>
                <w:b w:val="false"/>
                <w:bCs w:val="false"/>
                <w:sz w:val="20"/>
                <w:szCs w:val="20"/>
              </w:rPr>
              <w:t xml:space="preserve">Specific Illness Waiting Period (cataract, hernia, joint replacement, hysterectomy, kidney stones, ENT disorders, and other conditions listed in Annexure B)</w:t>
            </w:r>
          </w:p>
        </w:tc>
        <w:tc>
          <w:tcPr>
            <w:tcW w:type="dxa" w:w="5500"/>
          </w:tcPr>
          <w:p>
            <w:r>
              <w:rPr>
                <w:b w:val="false"/>
                <w:bCs w:val="false"/>
                <w:sz w:val="20"/>
                <w:szCs w:val="20"/>
              </w:rPr>
              <w:t xml:space="preserve">24 months from Risk Commencement Date</w:t>
            </w:r>
          </w:p>
        </w:tc>
      </w:tr>
      <w:tr>
        <w:tc>
          <w:tcPr>
            <w:tcW w:type="dxa" w:w="4500"/>
          </w:tcPr>
          <w:p>
            <w:r>
              <w:rPr>
                <w:b w:val="false"/>
                <w:bCs w:val="false"/>
                <w:sz w:val="20"/>
                <w:szCs w:val="20"/>
              </w:rPr>
              <w:t xml:space="preserve">Maternity and Related Complications Waiting Period</w:t>
            </w:r>
          </w:p>
        </w:tc>
        <w:tc>
          <w:tcPr>
            <w:tcW w:type="dxa" w:w="5500"/>
          </w:tcPr>
          <w:p>
            <w:r>
              <w:rPr>
                <w:b w:val="false"/>
                <w:bCs w:val="false"/>
                <w:sz w:val="20"/>
                <w:szCs w:val="20"/>
              </w:rPr>
              <w:t xml:space="preserve">36 months from Risk Commencement Date</w:t>
            </w:r>
          </w:p>
        </w:tc>
      </w:tr>
    </w:tbl>
    <w:p>
      <w:pPr>
        <w:pStyle w:val="Heading2"/>
        <w:spacing w:after="100" w:before="200"/>
      </w:pPr>
      <w:r>
        <w:rPr>
          <w:b/>
          <w:bCs/>
        </w:rPr>
        <w:t xml:space="preserve">Section C: Sub-Limits and Co-Payment</w:t>
      </w:r>
    </w:p>
    <w:p>
      <w:pPr>
        <w:spacing w:after="120"/>
      </w:pPr>
      <w:r>
        <w:rPr>
          <w:b w:val="false"/>
          <w:bCs w:val="false"/>
          <w:i w:val="false"/>
          <w:iCs w:val="false"/>
          <w:sz w:val="21"/>
          <w:szCs w:val="21"/>
        </w:rPr>
        <w:t xml:space="preserve">The following sub-limits and co-payment provisions apply notwithstanding the overall Sum Assured:</w:t>
      </w:r>
    </w:p>
    <w:p>
      <w:pPr>
        <w:pStyle w:val="ListParagraph"/>
        <w:numPr>
          <w:ilvl w:val="0"/>
          <w:numId w:val="1"/>
        </w:numPr>
        <w:spacing w:after="60"/>
      </w:pPr>
      <w:r>
        <w:rPr>
          <w:sz w:val="21"/>
          <w:szCs w:val="21"/>
        </w:rPr>
        <w:t xml:space="preserve">Room Rent (including nursing and boarding charges) is capped at ₹10,000 per day (1% of Sum Assured). Where the Policyholder is admitted to a room with tariff exceeding this limit, all associated hospitalization expenses (doctor's fees, ICU charges, diagnostics, consumables, etc.) shall be reimbursed only in the same proportion that the eligible room rent bears to the actual room rent charged, and not merely the room rent difference.</w:t>
      </w:r>
    </w:p>
    <w:p>
      <w:pPr>
        <w:pStyle w:val="ListParagraph"/>
        <w:numPr>
          <w:ilvl w:val="0"/>
          <w:numId w:val="1"/>
        </w:numPr>
        <w:spacing w:after="60"/>
      </w:pPr>
      <w:r>
        <w:rPr>
          <w:sz w:val="21"/>
          <w:szCs w:val="21"/>
        </w:rPr>
        <w:t xml:space="preserve">Cataract surgery is capped at ₹40,000 per eye, per Policy Year.</w:t>
      </w:r>
    </w:p>
    <w:p>
      <w:pPr>
        <w:pStyle w:val="ListParagraph"/>
        <w:numPr>
          <w:ilvl w:val="0"/>
          <w:numId w:val="1"/>
        </w:numPr>
        <w:spacing w:after="60"/>
      </w:pPr>
      <w:r>
        <w:rPr>
          <w:sz w:val="21"/>
          <w:szCs w:val="21"/>
        </w:rPr>
        <w:t xml:space="preserve">Ambulance charges are capped at ₹2,000 per hospitalization event.</w:t>
      </w:r>
    </w:p>
    <w:p>
      <w:pPr>
        <w:pStyle w:val="ListParagraph"/>
        <w:numPr>
          <w:ilvl w:val="0"/>
          <w:numId w:val="1"/>
        </w:numPr>
        <w:spacing w:after="60"/>
      </w:pPr>
      <w:r>
        <w:rPr>
          <w:sz w:val="21"/>
          <w:szCs w:val="21"/>
        </w:rPr>
        <w:t xml:space="preserve">A co-payment of 20% of each admissible claim amount is applicable for the Policyholder for any claim arising after age 65, in addition to any sub-limit stated above.</w:t>
      </w:r>
    </w:p>
    <w:p>
      <w:pPr>
        <w:pStyle w:val="Heading2"/>
        <w:spacing w:after="100" w:before="200"/>
      </w:pPr>
      <w:r>
        <w:rPr>
          <w:b/>
          <w:bCs/>
        </w:rPr>
        <w:t xml:space="preserve">Section D: What Is Not Covered (Exclusions)</w:t>
      </w:r>
    </w:p>
    <w:p>
      <w:pPr>
        <w:spacing w:after="120"/>
      </w:pPr>
      <w:r>
        <w:rPr>
          <w:b w:val="false"/>
          <w:bCs w:val="false"/>
          <w:i w:val="false"/>
          <w:iCs w:val="false"/>
          <w:sz w:val="21"/>
          <w:szCs w:val="21"/>
        </w:rPr>
        <w:t xml:space="preserve">The Company shall not be liable to make any payment under this Policy in connection with or in respect of the following, whether directly or indirectly:</w:t>
      </w:r>
    </w:p>
    <w:p>
      <w:pPr>
        <w:pStyle w:val="ListParagraph"/>
        <w:numPr>
          <w:ilvl w:val="0"/>
          <w:numId w:val="1"/>
        </w:numPr>
        <w:spacing w:after="60"/>
      </w:pPr>
      <w:r>
        <w:rPr>
          <w:sz w:val="21"/>
          <w:szCs w:val="21"/>
        </w:rPr>
        <w:t xml:space="preserve">Cosmetic or plastic surgery, unless necessitated by an accidental Bodily Injury occurring during the Policy Period.</w:t>
      </w:r>
    </w:p>
    <w:p>
      <w:pPr>
        <w:pStyle w:val="ListParagraph"/>
        <w:numPr>
          <w:ilvl w:val="0"/>
          <w:numId w:val="1"/>
        </w:numPr>
        <w:spacing w:after="60"/>
      </w:pPr>
      <w:r>
        <w:rPr>
          <w:sz w:val="21"/>
          <w:szCs w:val="21"/>
        </w:rPr>
        <w:t xml:space="preserve">Dental treatment or surgery, unless requiring hospitalization and arising from an accident.</w:t>
      </w:r>
    </w:p>
    <w:p>
      <w:pPr>
        <w:pStyle w:val="ListParagraph"/>
        <w:numPr>
          <w:ilvl w:val="0"/>
          <w:numId w:val="1"/>
        </w:numPr>
        <w:spacing w:after="60"/>
      </w:pPr>
      <w:r>
        <w:rPr>
          <w:sz w:val="21"/>
          <w:szCs w:val="21"/>
        </w:rPr>
        <w:t xml:space="preserve">Naturopathy treatment, unproven or experimental treatment, and treatments not supported by established medical literature.</w:t>
      </w:r>
    </w:p>
    <w:p>
      <w:pPr>
        <w:pStyle w:val="ListParagraph"/>
        <w:numPr>
          <w:ilvl w:val="0"/>
          <w:numId w:val="1"/>
        </w:numPr>
        <w:spacing w:after="60"/>
      </w:pPr>
      <w:r>
        <w:rPr>
          <w:sz w:val="21"/>
          <w:szCs w:val="21"/>
        </w:rPr>
        <w:t xml:space="preserve">Any condition, injury, or disease directly or indirectly caused by, arising from, or attributable to war, invasion, act of foreign enemy, nuclear weapons, or radioactive contamination.</w:t>
      </w:r>
    </w:p>
    <w:p>
      <w:pPr>
        <w:pStyle w:val="ListParagraph"/>
        <w:numPr>
          <w:ilvl w:val="0"/>
          <w:numId w:val="1"/>
        </w:numPr>
        <w:spacing w:after="60"/>
      </w:pPr>
      <w:r>
        <w:rPr>
          <w:sz w:val="21"/>
          <w:szCs w:val="21"/>
        </w:rPr>
        <w:t xml:space="preserve">Any claim arising from a pandemic or epidemic declared by the World Health Organization or the Government of India subsequent to the Risk Commencement Date, unless a specific rider covering such event has been purchased and is in force at the time of the claim.</w:t>
      </w:r>
    </w:p>
    <w:p>
      <w:pPr>
        <w:pStyle w:val="ListParagraph"/>
        <w:numPr>
          <w:ilvl w:val="0"/>
          <w:numId w:val="1"/>
        </w:numPr>
        <w:spacing w:after="60"/>
      </w:pPr>
      <w:r>
        <w:rPr>
          <w:sz w:val="21"/>
          <w:szCs w:val="21"/>
        </w:rPr>
        <w:t xml:space="preserve">Self-inflicted injury, attempted suicide, or the Policyholder's participation in an adventure sport including but not limited to mountaineering, scuba diving, para-gliding, and motor racing.</w:t>
      </w:r>
    </w:p>
    <w:p>
      <w:pPr>
        <w:pStyle w:val="ListParagraph"/>
        <w:numPr>
          <w:ilvl w:val="0"/>
          <w:numId w:val="1"/>
        </w:numPr>
        <w:spacing w:after="60"/>
      </w:pPr>
      <w:r>
        <w:rPr>
          <w:sz w:val="21"/>
          <w:szCs w:val="21"/>
        </w:rPr>
        <w:t xml:space="preserve">Treatment taken outside India, except where specifically endorsed on the Policy Schedule.</w:t>
      </w:r>
    </w:p>
    <w:p>
      <w:pPr>
        <w:pStyle w:val="Heading1"/>
        <w:spacing w:after="150" w:before="300"/>
      </w:pPr>
      <w:r>
        <w:rPr>
          <w:b/>
          <w:bCs/>
        </w:rPr>
        <w:t xml:space="preserve">Part IV — Section E: Premium Payment Schedule</w:t>
      </w:r>
    </w:p>
    <w:p>
      <w:pPr>
        <w:spacing w:after="120"/>
      </w:pPr>
      <w:r>
        <w:rPr>
          <w:b w:val="false"/>
          <w:bCs w:val="false"/>
          <w:i w:val="false"/>
          <w:iCs w:val="false"/>
          <w:sz w:val="21"/>
          <w:szCs w:val="21"/>
        </w:rPr>
        <w:t xml:space="preserve">Premiums are payable annually in advance on each Policy Anniversary for a period of 20 years, as follows (illustrative first five and final year shown; full 20-year schedule available on request):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shd w:fill="D9E2F3" w:val="clear"/>
          </w:tcPr>
          <w:p>
            <w:r>
              <w:rPr>
                <w:b/>
                <w:bCs/>
                <w:sz w:val="20"/>
                <w:szCs w:val="20"/>
              </w:rPr>
              <w:t xml:space="preserve">Premium Due Date</w:t>
            </w:r>
          </w:p>
        </w:tc>
        <w:tc>
          <w:tcPr>
            <w:tcW w:type="dxa" w:w="5800"/>
            <w:shd w:fill="D9E2F3" w:val="clear"/>
          </w:tcPr>
          <w:p>
            <w:r>
              <w:rPr>
                <w:b/>
                <w:bCs/>
                <w:sz w:val="20"/>
                <w:szCs w:val="20"/>
              </w:rPr>
              <w:t xml:space="preserve">Amount Payable (incl. applicable levies)</w:t>
            </w:r>
          </w:p>
        </w:tc>
      </w:tr>
      <w:tr>
        <w:tc>
          <w:tcPr>
            <w:tcW w:type="dxa" w:w="4200"/>
          </w:tcPr>
          <w:p>
            <w:r>
              <w:rPr>
                <w:b w:val="false"/>
                <w:bCs w:val="false"/>
                <w:sz w:val="20"/>
                <w:szCs w:val="20"/>
              </w:rPr>
              <w:t xml:space="preserve">10 April 2019 (1st Year)</w:t>
            </w:r>
          </w:p>
        </w:tc>
        <w:tc>
          <w:tcPr>
            <w:tcW w:type="dxa" w:w="5800"/>
          </w:tcPr>
          <w:p>
            <w:r>
              <w:rPr>
                <w:b w:val="false"/>
                <w:bCs w:val="false"/>
                <w:sz w:val="20"/>
                <w:szCs w:val="20"/>
              </w:rPr>
              <w:t xml:space="preserve">₹52,000</w:t>
            </w:r>
          </w:p>
        </w:tc>
      </w:tr>
      <w:tr>
        <w:tc>
          <w:tcPr>
            <w:tcW w:type="dxa" w:w="4200"/>
          </w:tcPr>
          <w:p>
            <w:r>
              <w:rPr>
                <w:b w:val="false"/>
                <w:bCs w:val="false"/>
                <w:sz w:val="20"/>
                <w:szCs w:val="20"/>
              </w:rPr>
              <w:t xml:space="preserve">10 April 2020 (2nd Year)</w:t>
            </w:r>
          </w:p>
        </w:tc>
        <w:tc>
          <w:tcPr>
            <w:tcW w:type="dxa" w:w="5800"/>
          </w:tcPr>
          <w:p>
            <w:r>
              <w:rPr>
                <w:b w:val="false"/>
                <w:bCs w:val="false"/>
                <w:sz w:val="20"/>
                <w:szCs w:val="20"/>
              </w:rPr>
              <w:t xml:space="preserve">₹52,000</w:t>
            </w:r>
          </w:p>
        </w:tc>
      </w:tr>
      <w:tr>
        <w:tc>
          <w:tcPr>
            <w:tcW w:type="dxa" w:w="4200"/>
          </w:tcPr>
          <w:p>
            <w:r>
              <w:rPr>
                <w:b w:val="false"/>
                <w:bCs w:val="false"/>
                <w:sz w:val="20"/>
                <w:szCs w:val="20"/>
              </w:rPr>
              <w:t xml:space="preserve">10 April 2021 (3rd Year)</w:t>
            </w:r>
          </w:p>
        </w:tc>
        <w:tc>
          <w:tcPr>
            <w:tcW w:type="dxa" w:w="5800"/>
          </w:tcPr>
          <w:p>
            <w:r>
              <w:rPr>
                <w:b w:val="false"/>
                <w:bCs w:val="false"/>
                <w:sz w:val="20"/>
                <w:szCs w:val="20"/>
              </w:rPr>
              <w:t xml:space="preserve">₹52,000</w:t>
            </w:r>
          </w:p>
        </w:tc>
      </w:tr>
      <w:tr>
        <w:tc>
          <w:tcPr>
            <w:tcW w:type="dxa" w:w="4200"/>
          </w:tcPr>
          <w:p>
            <w:r>
              <w:rPr>
                <w:b w:val="false"/>
                <w:bCs w:val="false"/>
                <w:sz w:val="20"/>
                <w:szCs w:val="20"/>
              </w:rPr>
              <w:t xml:space="preserve">10 April 2022 (4th Year)</w:t>
            </w:r>
          </w:p>
        </w:tc>
        <w:tc>
          <w:tcPr>
            <w:tcW w:type="dxa" w:w="5800"/>
          </w:tcPr>
          <w:p>
            <w:r>
              <w:rPr>
                <w:b w:val="false"/>
                <w:bCs w:val="false"/>
                <w:sz w:val="20"/>
                <w:szCs w:val="20"/>
              </w:rPr>
              <w:t xml:space="preserve">₹52,000</w:t>
            </w:r>
          </w:p>
        </w:tc>
      </w:tr>
      <w:tr>
        <w:tc>
          <w:tcPr>
            <w:tcW w:type="dxa" w:w="4200"/>
          </w:tcPr>
          <w:p>
            <w:r>
              <w:rPr>
                <w:b w:val="false"/>
                <w:bCs w:val="false"/>
                <w:sz w:val="20"/>
                <w:szCs w:val="20"/>
              </w:rPr>
              <w:t xml:space="preserve">10 April 2023 (5th Year)</w:t>
            </w:r>
          </w:p>
        </w:tc>
        <w:tc>
          <w:tcPr>
            <w:tcW w:type="dxa" w:w="5800"/>
          </w:tcPr>
          <w:p>
            <w:r>
              <w:rPr>
                <w:b w:val="false"/>
                <w:bCs w:val="false"/>
                <w:sz w:val="20"/>
                <w:szCs w:val="20"/>
              </w:rPr>
              <w:t xml:space="preserve">₹52,000</w:t>
            </w:r>
          </w:p>
        </w:tc>
      </w:tr>
      <w:tr>
        <w:tc>
          <w:tcPr>
            <w:tcW w:type="dxa" w:w="4200"/>
          </w:tcPr>
          <w:p>
            <w:r>
              <w:rPr>
                <w:b w:val="false"/>
                <w:bCs w:val="false"/>
                <w:sz w:val="20"/>
                <w:szCs w:val="20"/>
              </w:rPr>
              <w:t xml:space="preserve">... (continues annually) ...</w:t>
            </w:r>
          </w:p>
        </w:tc>
        <w:tc>
          <w:tcPr>
            <w:tcW w:type="dxa" w:w="5800"/>
          </w:tcPr>
          <w:p>
            <w:r>
              <w:rPr>
                <w:b w:val="false"/>
                <w:bCs w:val="false"/>
                <w:sz w:val="20"/>
                <w:szCs w:val="20"/>
              </w:rPr>
              <w:t xml:space="preserve">₹52,000 per year</w:t>
            </w:r>
          </w:p>
        </w:tc>
      </w:tr>
      <w:tr>
        <w:tc>
          <w:tcPr>
            <w:tcW w:type="dxa" w:w="4200"/>
          </w:tcPr>
          <w:p>
            <w:r>
              <w:rPr>
                <w:b w:val="false"/>
                <w:bCs w:val="false"/>
                <w:sz w:val="20"/>
                <w:szCs w:val="20"/>
              </w:rPr>
              <w:t xml:space="preserve">10 April 2038 (20th and Final Year)</w:t>
            </w:r>
          </w:p>
        </w:tc>
        <w:tc>
          <w:tcPr>
            <w:tcW w:type="dxa" w:w="5800"/>
          </w:tcPr>
          <w:p>
            <w:r>
              <w:rPr>
                <w:b w:val="false"/>
                <w:bCs w:val="false"/>
                <w:sz w:val="20"/>
                <w:szCs w:val="20"/>
              </w:rPr>
              <w:t xml:space="preserve">₹52,000</w:t>
            </w:r>
          </w:p>
        </w:tc>
      </w:tr>
    </w:tbl>
    <w:p>
      <w:pPr>
        <w:spacing w:after="120"/>
      </w:pPr>
      <w:r>
        <w:rPr>
          <w:b w:val="false"/>
          <w:bCs w:val="false"/>
          <w:i w:val="false"/>
          <w:iCs w:val="false"/>
          <w:sz w:val="21"/>
          <w:szCs w:val="21"/>
        </w:rPr>
        <w:t xml:space="preserve">Total Premiums Payable over the Premium Payment Term (20 years): ₹10,40,000 (Rupees Ten Lakh Forty Thousand).</w:t>
      </w:r>
    </w:p>
    <w:p>
      <w:pPr>
        <w:pStyle w:val="Heading2"/>
        <w:spacing w:after="100" w:before="200"/>
      </w:pPr>
      <w:r>
        <w:rPr>
          <w:b/>
          <w:bCs/>
        </w:rPr>
        <w:t xml:space="preserve">Section F: Grace Period and Policy Lapse</w:t>
      </w:r>
    </w:p>
    <w:p>
      <w:pPr>
        <w:spacing w:after="120"/>
      </w:pPr>
      <w:r>
        <w:rPr>
          <w:b w:val="false"/>
          <w:bCs w:val="false"/>
          <w:i w:val="false"/>
          <w:iCs w:val="false"/>
          <w:sz w:val="21"/>
          <w:szCs w:val="21"/>
        </w:rPr>
        <w:t xml:space="preserve">9.1 A Grace Period of thirty (30) days from the Premium Due Date is allowed for payment of each renewal premium, as stated in the Policy Schedule, during which period the Policy shall continue to be in force.</w:t>
      </w:r>
    </w:p>
    <w:p>
      <w:pPr>
        <w:spacing w:after="120"/>
      </w:pPr>
      <w:r>
        <w:rPr>
          <w:b w:val="false"/>
          <w:bCs w:val="false"/>
          <w:i w:val="false"/>
          <w:iCs w:val="false"/>
          <w:sz w:val="21"/>
          <w:szCs w:val="21"/>
        </w:rPr>
        <w:t xml:space="preserve">9.2 If a claim arises during the Grace Period before the outstanding premium is paid, the Company may deduct the outstanding premium (and, where applicable, interest) from the claim amount payable.</w:t>
      </w:r>
    </w:p>
    <w:p>
      <w:pPr>
        <w:spacing w:after="120"/>
      </w:pPr>
      <w:r>
        <w:rPr>
          <w:b w:val="false"/>
          <w:bCs w:val="false"/>
          <w:i w:val="false"/>
          <w:iCs w:val="false"/>
          <w:sz w:val="21"/>
          <w:szCs w:val="21"/>
        </w:rPr>
        <w:t xml:space="preserve">9.3 If the premium is not received even within the Grace Period, the Policy shall lapse, and all Health Cover and accrued benefits under the Policy shall stand forfeited with effect from the original Premium Due Date, not the end of the Grace Period.</w:t>
      </w:r>
    </w:p>
    <w:p>
      <w:pPr>
        <w:spacing w:after="60"/>
      </w:pPr>
      <w:r>
        <w:rPr>
          <w:sz w:val="16"/>
          <w:szCs w:val="16"/>
        </w:rPr>
        <w:t xml:space="preserve">9.4 Notwithstanding the Grace Period referred to in the Policy Schedule and in Section 9.1 above, for the purposes of determining continuity of coverage for Pre-Existing Disease and Specific Illness waiting periods under Part III, Section B, the Company shall apply a grace period of fifteen (15) days from the Premium Due Date. Any hospitalization event occurring between the 16th and 30th day after a Premium Due Date, where the renewal premium remains unpaid as of the date of the event, shall not count towards continuity of coverage for waiting-period purposes, notwithstanding that the Policy had not yet lapsed under Section 9.1.</w:t>
      </w:r>
    </w:p>
    <w:p>
      <w:pPr>
        <w:pStyle w:val="Heading2"/>
        <w:spacing w:after="100" w:before="200"/>
      </w:pPr>
      <w:r>
        <w:rPr>
          <w:b/>
          <w:bCs/>
        </w:rPr>
        <w:t xml:space="preserve">Section G: Free-Look Period</w:t>
      </w:r>
    </w:p>
    <w:p>
      <w:pPr>
        <w:spacing w:after="120"/>
      </w:pPr>
      <w:r>
        <w:rPr>
          <w:b w:val="false"/>
          <w:bCs w:val="false"/>
          <w:i w:val="false"/>
          <w:iCs w:val="false"/>
          <w:sz w:val="21"/>
          <w:szCs w:val="21"/>
        </w:rPr>
        <w:t xml:space="preserve">10.1 The Policyholder has the option to review the terms and conditions of this Policy within 15 days from the date of receipt of the Policy Document. If the Policyholder disagrees with any terms or conditions, the Policyholder has the option to return the Policy, stating the reasons for objection, and shall be entitled to a refund of premium paid, subject only to a deduction of proportionate risk premium for the period of cover, stamp duty charges, and any medical examination expenses incurred by the Company.</w:t>
      </w:r>
    </w:p>
    <w:p>
      <w:pPr>
        <w:pStyle w:val="Heading1"/>
        <w:spacing w:after="150" w:before="300"/>
      </w:pPr>
      <w:r>
        <w:rPr>
          <w:b/>
          <w:bCs/>
        </w:rPr>
        <w:t xml:space="preserve">Part V — Section H: Maturity Benefit and Payout</w:t>
      </w:r>
    </w:p>
    <w:p>
      <w:pPr>
        <w:spacing w:after="120"/>
      </w:pPr>
      <w:r>
        <w:rPr>
          <w:b w:val="false"/>
          <w:bCs w:val="false"/>
          <w:i w:val="false"/>
          <w:iCs w:val="false"/>
          <w:sz w:val="21"/>
          <w:szCs w:val="21"/>
        </w:rPr>
        <w:t xml:space="preserve">11.1 Subject to all premiums due having been paid in full up to the Premium Payment Term and this Policy being in force, the Company shall pay the Guaranteed Maturity Benefit of ₹18,50,000 to the Policyholder on survival to the Policy Maturity Date of 10 April 2064.</w:t>
      </w:r>
    </w:p>
    <w:p>
      <w:pPr>
        <w:spacing w:after="120"/>
      </w:pPr>
      <w:r>
        <w:rPr>
          <w:b w:val="false"/>
          <w:bCs w:val="false"/>
          <w:i w:val="false"/>
          <w:iCs w:val="false"/>
          <w:sz w:val="21"/>
          <w:szCs w:val="21"/>
        </w:rPr>
        <w:t xml:space="preserve">11.2 The Policyholder is advised that the Policy Maturity Date falls when the Policyholder attains the age of 99 years, being 45 years after the final premium is due under the Premium Payment Term (which concludes in 2038). No partial withdrawal of the Guaranteed Maturity Benefit is permitted before the Policy Maturity Date except as provided under Section I (Surrender Value and Policy Loan).</w:t>
      </w:r>
    </w:p>
    <w:p>
      <w:pPr>
        <w:spacing w:after="120"/>
      </w:pPr>
      <w:r>
        <w:rPr>
          <w:b w:val="false"/>
          <w:bCs w:val="false"/>
          <w:i w:val="false"/>
          <w:iCs w:val="false"/>
          <w:sz w:val="21"/>
          <w:szCs w:val="21"/>
        </w:rPr>
        <w:t xml:space="preserve">11.3 In the event of the death of the Policyholder at any time after the Policy is in force and before the Policy Maturity Date, the Nominee shall receive the Sum Assured of ₹10,00,000 (Health Cover component only); the Guaranteed Maturity Benefit shall not be payable on death and shall stand extinguished.</w:t>
      </w:r>
    </w:p>
    <w:p>
      <w:pPr>
        <w:pStyle w:val="Heading2"/>
        <w:spacing w:after="100" w:before="200"/>
      </w:pPr>
      <w:r>
        <w:rPr>
          <w:b/>
          <w:bCs/>
        </w:rPr>
        <w:t xml:space="preserve">Section I: Surrender Value and Policy Loan</w:t>
      </w:r>
    </w:p>
    <w:p>
      <w:pPr>
        <w:spacing w:after="120"/>
      </w:pPr>
      <w:r>
        <w:rPr>
          <w:b w:val="false"/>
          <w:bCs w:val="false"/>
          <w:i w:val="false"/>
          <w:iCs w:val="false"/>
          <w:sz w:val="21"/>
          <w:szCs w:val="21"/>
        </w:rPr>
        <w:t xml:space="preserve">12.1 This Policy acquires a Surrender Value only after completion of 3 continuous Policy Years, subject to all due premiums having been paid.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shd w:fill="D9E2F3" w:val="clear"/>
          </w:tcPr>
          <w:p>
            <w:r>
              <w:rPr>
                <w:b/>
                <w:bCs/>
                <w:sz w:val="20"/>
                <w:szCs w:val="20"/>
              </w:rPr>
              <w:t xml:space="preserve">Surrender Timing</w:t>
            </w:r>
          </w:p>
        </w:tc>
        <w:tc>
          <w:tcPr>
            <w:tcW w:type="dxa" w:w="5500"/>
            <w:shd w:fill="D9E2F3" w:val="clear"/>
          </w:tcPr>
          <w:p>
            <w:r>
              <w:rPr>
                <w:b/>
                <w:bCs/>
                <w:sz w:val="20"/>
                <w:szCs w:val="20"/>
              </w:rPr>
              <w:t xml:space="preserve">Surrender Value Payable</w:t>
            </w:r>
          </w:p>
        </w:tc>
      </w:tr>
      <w:tr>
        <w:tc>
          <w:tcPr>
            <w:tcW w:type="dxa" w:w="4500"/>
          </w:tcPr>
          <w:p>
            <w:r>
              <w:rPr>
                <w:b w:val="false"/>
                <w:bCs w:val="false"/>
                <w:sz w:val="20"/>
                <w:szCs w:val="20"/>
              </w:rPr>
              <w:t xml:space="preserve">Before completion of 5 Policy Years</w:t>
            </w:r>
          </w:p>
        </w:tc>
        <w:tc>
          <w:tcPr>
            <w:tcW w:type="dxa" w:w="5500"/>
          </w:tcPr>
          <w:p>
            <w:r>
              <w:rPr>
                <w:b w:val="false"/>
                <w:bCs w:val="false"/>
                <w:sz w:val="20"/>
                <w:szCs w:val="20"/>
              </w:rPr>
              <w:t xml:space="preserve">Nil (0% of premiums paid)</w:t>
            </w:r>
          </w:p>
        </w:tc>
      </w:tr>
      <w:tr>
        <w:tc>
          <w:tcPr>
            <w:tcW w:type="dxa" w:w="4500"/>
          </w:tcPr>
          <w:p>
            <w:r>
              <w:rPr>
                <w:b w:val="false"/>
                <w:bCs w:val="false"/>
                <w:sz w:val="20"/>
                <w:szCs w:val="20"/>
              </w:rPr>
              <w:t xml:space="preserve">Between 5 and 10 completed Policy Years</w:t>
            </w:r>
          </w:p>
        </w:tc>
        <w:tc>
          <w:tcPr>
            <w:tcW w:type="dxa" w:w="5500"/>
          </w:tcPr>
          <w:p>
            <w:r>
              <w:rPr>
                <w:b w:val="false"/>
                <w:bCs w:val="false"/>
                <w:sz w:val="20"/>
                <w:szCs w:val="20"/>
              </w:rPr>
              <w:t xml:space="preserve">70% of premiums paid, less a surrender charge of 30%</w:t>
            </w:r>
          </w:p>
        </w:tc>
      </w:tr>
      <w:tr>
        <w:tc>
          <w:tcPr>
            <w:tcW w:type="dxa" w:w="4500"/>
          </w:tcPr>
          <w:p>
            <w:r>
              <w:rPr>
                <w:b w:val="false"/>
                <w:bCs w:val="false"/>
                <w:sz w:val="20"/>
                <w:szCs w:val="20"/>
              </w:rPr>
              <w:t xml:space="preserve">After 10 completed Policy Years</w:t>
            </w:r>
          </w:p>
        </w:tc>
        <w:tc>
          <w:tcPr>
            <w:tcW w:type="dxa" w:w="5500"/>
          </w:tcPr>
          <w:p>
            <w:r>
              <w:rPr>
                <w:b w:val="false"/>
                <w:bCs w:val="false"/>
                <w:sz w:val="20"/>
                <w:szCs w:val="20"/>
              </w:rPr>
              <w:t xml:space="preserve">90% of premiums paid, less a surrender charge of 10%, and less any accrued bonus already vested</w:t>
            </w:r>
          </w:p>
        </w:tc>
      </w:tr>
    </w:tbl>
    <w:p>
      <w:pPr>
        <w:spacing w:after="120"/>
      </w:pPr>
      <w:r>
        <w:rPr>
          <w:b w:val="false"/>
          <w:bCs w:val="false"/>
          <w:i w:val="false"/>
          <w:iCs w:val="false"/>
          <w:sz w:val="21"/>
          <w:szCs w:val="21"/>
        </w:rPr>
        <w:t xml:space="preserve">12.2 A Policy Loan of up to 80% of the Surrender Value is available after completion of 3 Policy Years, at an interest rate of 10.5% per annum (subject to revision by the Company from time to time). Any outstanding loan amount together with accrued interest shall be deducted from the Guaranteed Maturity Benefit or the death benefit, as applicable, at the time of payout.</w:t>
      </w:r>
    </w:p>
    <w:p>
      <w:pPr>
        <w:pStyle w:val="Heading1"/>
        <w:spacing w:after="150" w:before="300"/>
      </w:pPr>
      <w:r>
        <w:rPr>
          <w:b/>
          <w:bCs/>
        </w:rPr>
        <w:t xml:space="preserve">Part VI — Section J: Claim Procedure and Conditions for Rejection</w:t>
      </w:r>
    </w:p>
    <w:p>
      <w:pPr>
        <w:spacing w:after="120"/>
      </w:pPr>
      <w:r>
        <w:rPr>
          <w:b w:val="false"/>
          <w:bCs w:val="false"/>
          <w:i w:val="false"/>
          <w:iCs w:val="false"/>
          <w:sz w:val="21"/>
          <w:szCs w:val="21"/>
        </w:rPr>
        <w:t xml:space="preserve">13.1 Written notice of any hospitalization event giving rise to a claim must be given to the Company within 48 hours of admission (or before discharge in case of emergency admission), and the completed claim form together with supporting documents must be submitted within 30 days of discharge from the hospital. Claims submitted after 90 days of discharge shall not be entertained unless the Policyholder furnishes, to the Company's satisfaction, written justification for the delay.</w:t>
      </w:r>
    </w:p>
    <w:p>
      <w:pPr>
        <w:spacing w:after="120"/>
      </w:pPr>
      <w:r>
        <w:rPr>
          <w:b w:val="false"/>
          <w:bCs w:val="false"/>
          <w:i w:val="false"/>
          <w:iCs w:val="false"/>
          <w:sz w:val="21"/>
          <w:szCs w:val="21"/>
        </w:rPr>
        <w:t xml:space="preserve">13.2 A claim shall be rejected by the Company in any of the following circumstances:</w:t>
      </w:r>
    </w:p>
    <w:p>
      <w:pPr>
        <w:pStyle w:val="ListParagraph"/>
        <w:numPr>
          <w:ilvl w:val="0"/>
          <w:numId w:val="1"/>
        </w:numPr>
        <w:spacing w:after="60"/>
      </w:pPr>
      <w:r>
        <w:rPr>
          <w:sz w:val="21"/>
          <w:szCs w:val="21"/>
        </w:rPr>
        <w:t xml:space="preserve">Non-disclosure or misrepresentation of any material fact, including any Pre-Existing Disease, at the time of proposal, whether innocent or otherwise.</w:t>
      </w:r>
    </w:p>
    <w:p>
      <w:pPr>
        <w:pStyle w:val="ListParagraph"/>
        <w:numPr>
          <w:ilvl w:val="0"/>
          <w:numId w:val="1"/>
        </w:numPr>
        <w:spacing w:after="60"/>
      </w:pPr>
      <w:r>
        <w:rPr>
          <w:sz w:val="21"/>
          <w:szCs w:val="21"/>
        </w:rPr>
        <w:t xml:space="preserve">The claim relates to a condition falling within an applicable waiting period under Part III, Section B.</w:t>
      </w:r>
    </w:p>
    <w:p>
      <w:pPr>
        <w:pStyle w:val="ListParagraph"/>
        <w:numPr>
          <w:ilvl w:val="0"/>
          <w:numId w:val="1"/>
        </w:numPr>
        <w:spacing w:after="60"/>
      </w:pPr>
      <w:r>
        <w:rPr>
          <w:sz w:val="21"/>
          <w:szCs w:val="21"/>
        </w:rPr>
        <w:t xml:space="preserve">The claim relates to a treatment or condition listed as an Exclusion under Part III, Section D.</w:t>
      </w:r>
    </w:p>
    <w:p>
      <w:pPr>
        <w:pStyle w:val="ListParagraph"/>
        <w:numPr>
          <w:ilvl w:val="0"/>
          <w:numId w:val="1"/>
        </w:numPr>
        <w:spacing w:after="60"/>
      </w:pPr>
      <w:r>
        <w:rPr>
          <w:sz w:val="21"/>
          <w:szCs w:val="21"/>
        </w:rPr>
        <w:t xml:space="preserve">The claim arises from a hospitalization event occurring during a period treated as a continuity gap under Section 9.4, even where the Policy had not technically lapsed.</w:t>
      </w:r>
    </w:p>
    <w:p>
      <w:pPr>
        <w:pStyle w:val="ListParagraph"/>
        <w:numPr>
          <w:ilvl w:val="0"/>
          <w:numId w:val="1"/>
        </w:numPr>
        <w:spacing w:after="60"/>
      </w:pPr>
      <w:r>
        <w:rPr>
          <w:sz w:val="21"/>
          <w:szCs w:val="21"/>
        </w:rPr>
        <w:t xml:space="preserve">The Policyholder has failed to provide requested documents or has provided documents that are, in the Company's sole opinion, inconsistent or incomplete.</w:t>
      </w:r>
    </w:p>
    <w:p>
      <w:pPr>
        <w:spacing w:after="120"/>
      </w:pPr>
      <w:r>
        <w:rPr>
          <w:b w:val="false"/>
          <w:bCs w:val="false"/>
          <w:i w:val="false"/>
          <w:iCs w:val="false"/>
          <w:sz w:val="21"/>
          <w:szCs w:val="21"/>
        </w:rPr>
        <w:t xml:space="preserve">13.3 In the event of any discrepancy or inconsistency in the information provided by the Policyholder at the proposal stage, whether or not discovered before or after a claim, the entire risk and financial consequence of such discrepancy shall lie with the Policyholder or the Nominee, as the case may be, and the Company shall bear no liability whatsoever for any claim so affected, including claims already admitted where such discrepancy is discovered subsequently, in which case the Company reserves the right to recover amounts already paid.</w:t>
      </w:r>
    </w:p>
    <w:p>
      <w:pPr>
        <w:pStyle w:val="Heading2"/>
        <w:spacing w:after="100" w:before="200"/>
      </w:pPr>
      <w:r>
        <w:rPr>
          <w:b/>
          <w:bCs/>
        </w:rPr>
        <w:t xml:space="preserve">Section K: Nominee Details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shd w:fill="D9E2F3" w:val="clear"/>
          </w:tcPr>
          <w:p>
            <w:r>
              <w:rPr>
                <w:b/>
                <w:bCs/>
                <w:sz w:val="20"/>
                <w:szCs w:val="20"/>
              </w:rPr>
              <w:t xml:space="preserve">Field</w:t>
            </w:r>
          </w:p>
        </w:tc>
        <w:tc>
          <w:tcPr>
            <w:tcW w:type="dxa" w:w="5500"/>
            <w:shd w:fill="D9E2F3" w:val="clear"/>
          </w:tcPr>
          <w:p>
            <w:r>
              <w:rPr>
                <w:b/>
                <w:bCs/>
                <w:sz w:val="20"/>
                <w:szCs w:val="20"/>
              </w:rPr>
              <w:t xml:space="preserve">Details</w:t>
            </w:r>
          </w:p>
        </w:tc>
      </w:tr>
      <w:tr>
        <w:tc>
          <w:tcPr>
            <w:tcW w:type="dxa" w:w="4500"/>
          </w:tcPr>
          <w:p>
            <w:r>
              <w:rPr>
                <w:b w:val="false"/>
                <w:bCs w:val="false"/>
                <w:sz w:val="20"/>
                <w:szCs w:val="20"/>
              </w:rPr>
              <w:t xml:space="preserve">Nominee Name</w:t>
            </w:r>
          </w:p>
        </w:tc>
        <w:tc>
          <w:tcPr>
            <w:tcW w:type="dxa" w:w="5500"/>
          </w:tcPr>
          <w:p>
            <w:r>
              <w:rPr>
                <w:b w:val="false"/>
                <w:bCs w:val="false"/>
                <w:sz w:val="20"/>
                <w:szCs w:val="20"/>
              </w:rPr>
              <w:t xml:space="preserve">Sunita Iyer</w:t>
            </w:r>
          </w:p>
        </w:tc>
      </w:tr>
      <w:tr>
        <w:tc>
          <w:tcPr>
            <w:tcW w:type="dxa" w:w="4500"/>
          </w:tcPr>
          <w:p>
            <w:r>
              <w:rPr>
                <w:b w:val="false"/>
                <w:bCs w:val="false"/>
                <w:sz w:val="20"/>
                <w:szCs w:val="20"/>
              </w:rPr>
              <w:t xml:space="preserve">Relationship to Policyholder</w:t>
            </w:r>
          </w:p>
        </w:tc>
        <w:tc>
          <w:tcPr>
            <w:tcW w:type="dxa" w:w="5500"/>
          </w:tcPr>
          <w:p>
            <w:r>
              <w:rPr>
                <w:b w:val="false"/>
                <w:bCs w:val="false"/>
                <w:sz w:val="20"/>
                <w:szCs w:val="20"/>
              </w:rPr>
              <w:t xml:space="preserve">Wife</w:t>
            </w:r>
          </w:p>
        </w:tc>
      </w:tr>
      <w:tr>
        <w:tc>
          <w:tcPr>
            <w:tcW w:type="dxa" w:w="4500"/>
          </w:tcPr>
          <w:p>
            <w:r>
              <w:rPr>
                <w:b w:val="false"/>
                <w:bCs w:val="false"/>
                <w:sz w:val="20"/>
                <w:szCs w:val="20"/>
              </w:rPr>
              <w:t xml:space="preserve">Nominee Date of Birth</w:t>
            </w:r>
          </w:p>
        </w:tc>
        <w:tc>
          <w:tcPr>
            <w:tcW w:type="dxa" w:w="5500"/>
          </w:tcPr>
          <w:p>
            <w:r>
              <w:rPr>
                <w:b w:val="false"/>
                <w:bCs w:val="false"/>
                <w:sz w:val="20"/>
                <w:szCs w:val="20"/>
              </w:rPr>
              <w:t xml:space="preserve">2 September 1968</w:t>
            </w:r>
          </w:p>
        </w:tc>
      </w:tr>
      <w:tr>
        <w:tc>
          <w:tcPr>
            <w:tcW w:type="dxa" w:w="4500"/>
          </w:tcPr>
          <w:p>
            <w:r>
              <w:rPr>
                <w:b w:val="false"/>
                <w:bCs w:val="false"/>
                <w:sz w:val="20"/>
                <w:szCs w:val="20"/>
              </w:rPr>
              <w:t xml:space="preserve">Nominee Address</w:t>
            </w:r>
          </w:p>
        </w:tc>
        <w:tc>
          <w:tcPr>
            <w:tcW w:type="dxa" w:w="5500"/>
          </w:tcPr>
          <w:p>
            <w:r>
              <w:rPr>
                <w:b w:val="false"/>
                <w:bCs w:val="false"/>
                <w:sz w:val="20"/>
                <w:szCs w:val="20"/>
              </w:rPr>
              <w:t xml:space="preserve">Same as Policyholder</w:t>
            </w:r>
          </w:p>
        </w:tc>
      </w:tr>
    </w:tbl>
    <w:p>
      <w:pPr>
        <w:pStyle w:val="Heading1"/>
        <w:spacing w:after="150" w:before="300"/>
      </w:pPr>
      <w:r>
        <w:rPr>
          <w:b/>
          <w:bCs/>
        </w:rPr>
        <w:t xml:space="preserve">Part VII — Section L: Terms and Conditions (Miscellaneous)</w:t>
      </w:r>
    </w:p>
    <w:p>
      <w:pPr>
        <w:spacing w:after="60"/>
      </w:pPr>
      <w:r>
        <w:rPr>
          <w:sz w:val="16"/>
          <w:szCs w:val="16"/>
        </w:rPr>
        <w:t xml:space="preserve">14.1 This Policy, unless cancelled by the Policyholder by written notice delivered to the Company's registered office at least sixty (60) days prior to the Policy Anniversary, shall be deemed to automatically renew for a further term of one (1) Policy Year on each Policy Anniversary, at the Company's then-prevailing premium rates, terms, and conditions, without requirement of any further notice, reminder, or consent from the Policyholder.</w:t>
      </w:r>
    </w:p>
    <w:p>
      <w:pPr>
        <w:spacing w:after="60"/>
      </w:pPr>
      <w:r>
        <w:rPr>
          <w:sz w:val="16"/>
          <w:szCs w:val="16"/>
        </w:rPr>
        <w:t xml:space="preserve">14.2 The Company reserves the right to revise the premium rates, terms, conditions, sub-limits, and co-payment provisions of this Policy at any time in connection with a renewal, at its sole discretion, upon thirty (30) days' written intimation to the Policyholder's last known address on record. Continuation of the Policy beyond such intimation shall constitute deemed acceptance of the revised terms by the Policyholder.</w:t>
      </w:r>
    </w:p>
    <w:p>
      <w:pPr>
        <w:spacing w:after="60"/>
      </w:pPr>
      <w:r>
        <w:rPr>
          <w:sz w:val="16"/>
          <w:szCs w:val="16"/>
        </w:rPr>
        <w:t xml:space="preserve">14.3 All disputes arising under or in connection with this Policy shall be subject to the exclusive jurisdiction of the courts at Mumbai, and shall in the first instance be referred to arbitration under the Arbitration and Conciliation Act, 1996, the cost of which shall be borne equally by both parties regardless of outcome.</w:t>
      </w:r>
    </w:p>
    <w:p>
      <w:pPr>
        <w:spacing w:after="60"/>
      </w:pPr>
      <w:r>
        <w:rPr>
          <w:sz w:val="16"/>
          <w:szCs w:val="16"/>
        </w:rPr>
        <w:t xml:space="preserve">14.4 The Company may, at its discretion, appoint a Third-Party Administrator (TPA) for claims processing. The Policyholder authorizes the Company and any appointed TPA to call for, and the Policyholder's treating physicians and hospitals to release, any medical records or information the Company deems relevant, without further authorization from the Policyholder.</w:t>
      </w:r>
    </w:p>
    <w:p>
      <w:pPr>
        <w:spacing w:after="60"/>
      </w:pPr>
      <w:r>
        <w:rPr>
          <w:sz w:val="16"/>
          <w:szCs w:val="16"/>
        </w:rPr>
        <w:t xml:space="preserve">14.5 No agent, broker, or intermediary is authorized to waive, alter, or modify any term or condition of this Policy, or to bind the Company to any representation not contained in this Policy Document, notwithstanding any oral or written representation made during the sale of this Policy.</w:t>
      </w:r>
    </w:p>
    <w:p>
      <w:pPr>
        <w:spacing w:after="60"/>
      </w:pPr>
      <w:r>
        <w:rPr>
          <w:sz w:val="16"/>
          <w:szCs w:val="16"/>
        </w:rPr>
        <w:t xml:space="preserve">14.6 This Policy Document, the Proposal Form, and any endorsements issued by the Company constitute the entire agreement between the parties. Any illustration, brochure, or benefit calculation provided at the point of sale is indicative only and does not form part of this Policy Document.</w:t>
      </w:r>
    </w:p>
    <w:p>
      <w:pPr>
        <w:spacing w:after="60"/>
      </w:pPr>
      <w:r>
        <w:rPr>
          <w:sz w:val="16"/>
          <w:szCs w:val="16"/>
        </w:rPr>
        <w:t xml:space="preserve">14.7 Notwithstanding anything contained in Part V, the Guaranteed Maturity Benefit stated in the Policy Schedule is guaranteed only if the Policyholder has not exercised any Policy Loan option under Section I; where a Policy Loan is outstanding at any time during the Policy Term, the Guaranteed Maturity Benefit shall be treated as a non-guaranteed benefit subject to recomputation by the Company's actuarial department at the time of maturity.</w:t>
      </w:r>
    </w:p>
    <w:p>
      <w:pPr>
        <w:pStyle w:val="Heading1"/>
        <w:spacing w:after="150" w:before="300"/>
      </w:pPr>
      <w:r>
        <w:rPr>
          <w:b/>
          <w:bCs/>
        </w:rPr>
        <w:t xml:space="preserve">Annexure A — Day Care Procedures (Extract)</w:t>
      </w:r>
    </w:p>
    <w:p>
      <w:pPr>
        <w:spacing w:after="120"/>
      </w:pPr>
      <w:r>
        <w:rPr>
          <w:b w:val="false"/>
          <w:bCs w:val="false"/>
          <w:i w:val="false"/>
          <w:iCs w:val="false"/>
          <w:sz w:val="21"/>
          <w:szCs w:val="21"/>
        </w:rPr>
        <w:t xml:space="preserve">Cataract surgery, Tonsillectomy, Dilation and Curettage, Lithotripsy, Chemotherapy, Radiotherapy, Hemodialysis, Coronary Angiography, Fracture reduction under anaesthesia, and 131 other procedures as per the Company's published list, available at www.sentinelhealth-sample.example/annexure-c (fictional URL for testing).</w:t>
      </w:r>
    </w:p>
    <w:p>
      <w:pPr>
        <w:pStyle w:val="Heading1"/>
        <w:spacing w:after="150" w:before="300"/>
      </w:pPr>
      <w:r>
        <w:rPr>
          <w:b/>
          <w:bCs/>
        </w:rPr>
        <w:t xml:space="preserve">Annexure B — Specific Illnesses (24-month waiting period)</w:t>
      </w:r>
    </w:p>
    <w:p>
      <w:pPr>
        <w:spacing w:after="120"/>
      </w:pPr>
      <w:r>
        <w:rPr>
          <w:b w:val="false"/>
          <w:bCs w:val="false"/>
          <w:i w:val="false"/>
          <w:iCs w:val="false"/>
          <w:sz w:val="21"/>
          <w:szCs w:val="21"/>
        </w:rPr>
        <w:t xml:space="preserve">Cataract, Benign Prostatic Hypertrophy, Hernia of all types, Hydrocele, Non-Infective Arthritis, Piles/Fistula in anus, Sinusitis and related disorders, Hysterectomy for non-malignant reasons, Joint Replacement Surgery, Age-related Osteoarthritis, Kidney Stone / Ureteric Stone.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r>
      <w:rPr>
        <w:color w:val="AA0000"/>
        <w:sz w:val="14"/>
        <w:szCs w:val="14"/>
      </w:rPr>
      <w:t xml:space="preserve">   |   SAMPLE DOCUMENT — FOR TESTING PURPOSES ONLY — NOT A REAL POLICY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Sentinel Life &amp; Health Assurance Co. Ltd. — Policy No. SH-2019-0047231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2026-07-04T17:59:58.712Z</dcterms:created>
  <dcterms:modified xsi:type="dcterms:W3CDTF">2026-07-04T17:59:58.742Z</dcterms:modified>
</cp:coreProperties>
</file>

<file path=docProps/custom.xml><?xml version="1.0" encoding="utf-8"?>
<Properties xmlns="http://schemas.openxmlformats.org/officeDocument/2006/custom-properties" xmlns:vt="http://schemas.openxmlformats.org/officeDocument/2006/docPropsVTypes"/>
</file>