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SECUREDRIVE GENERAL INSURANCE CO. LTD.</w:t>
      </w:r>
    </w:p>
    <w:p>
      <w:pPr>
        <w:spacing w:after="300"/>
        <w:jc w:val="center"/>
      </w:pPr>
      <w:r>
        <w:rPr>
          <w:i/>
          <w:iCs/>
          <w:color w:val="595959"/>
          <w:sz w:val="16"/>
          <w:szCs w:val="16"/>
        </w:rPr>
        <w:t xml:space="preserve">IRDAI Registration No. 999999999 (Fictional — for testing purposes only)</w:t>
      </w:r>
    </w:p>
    <w:p>
      <w:pPr>
        <w:spacing w:after="400"/>
        <w:jc w:val="center"/>
      </w:pPr>
      <w:r>
        <w:rPr>
          <w:b/>
          <w:bCs/>
          <w:sz w:val="26"/>
          <w:szCs w:val="26"/>
        </w:rPr>
        <w:t xml:space="preserve">PRIVATE CAR COMPREHENSIVE INSURANCE POLICY SCHEDULE</w:t>
      </w:r>
    </w:p>
    <w:p>
      <w:pPr>
        <w:pStyle w:val="Heading1"/>
        <w:spacing w:after="150" w:before="300"/>
      </w:pPr>
      <w:r>
        <w:rPr>
          <w:b/>
          <w:bCs/>
          <w:color w:val="1F3864"/>
        </w:rPr>
        <w:t xml:space="preserve">1. Policy Snapshot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F2F2" w:val="clear"/>
            <w:tcMar>
              <w:top w:type="dxa" w:w="80"/>
              <w:left w:type="dxa" w:w="100"/>
              <w:bottom w:type="dxa" w:w="80"/>
              <w:right w:type="dxa" w:w="100"/>
            </w:tcMar>
            <w:vAlign w:val="center"/>
          </w:tcPr>
          <w:p>
            <w:r>
              <w:rPr>
                <w:b/>
                <w:bCs/>
                <w:sz w:val="20"/>
                <w:szCs w:val="20"/>
              </w:rPr>
              <w:t xml:space="preserve">Policy Number</w:t>
            </w:r>
          </w:p>
        </w:tc>
        <w:tc>
          <w:tcPr>
            <w:tcW w:type="dxa" w:w="6200"/>
            <w:shd w:fill="F2F2F2" w:val="clear"/>
            <w:tcMar>
              <w:top w:type="dxa" w:w="80"/>
              <w:left w:type="dxa" w:w="100"/>
              <w:bottom w:type="dxa" w:w="80"/>
              <w:right w:type="dxa" w:w="100"/>
            </w:tcMar>
            <w:vAlign w:val="center"/>
          </w:tcPr>
          <w:p>
            <w:r>
              <w:rPr>
                <w:sz w:val="20"/>
                <w:szCs w:val="20"/>
              </w:rPr>
              <w:t xml:space="preserve">SD-PC-2026-0047231</w:t>
            </w:r>
          </w:p>
        </w:tc>
      </w:tr>
      <w:tr>
        <w:tc>
          <w:tcPr>
            <w:tcW w:type="dxa" w:w="3200"/>
            <w:tcMar>
              <w:top w:type="dxa" w:w="80"/>
              <w:left w:type="dxa" w:w="100"/>
              <w:bottom w:type="dxa" w:w="80"/>
              <w:right w:type="dxa" w:w="100"/>
            </w:tcMar>
            <w:vAlign w:val="center"/>
          </w:tcPr>
          <w:p>
            <w:r>
              <w:rPr>
                <w:b/>
                <w:bCs/>
                <w:sz w:val="20"/>
                <w:szCs w:val="20"/>
              </w:rPr>
              <w:t xml:space="preserve">Policyholder Name</w:t>
            </w:r>
          </w:p>
        </w:tc>
        <w:tc>
          <w:tcPr>
            <w:tcW w:type="dxa" w:w="6200"/>
            <w:tcMar>
              <w:top w:type="dxa" w:w="80"/>
              <w:left w:type="dxa" w:w="100"/>
              <w:bottom w:type="dxa" w:w="80"/>
              <w:right w:type="dxa" w:w="100"/>
            </w:tcMar>
            <w:vAlign w:val="center"/>
          </w:tcPr>
          <w:p>
            <w:r>
              <w:rPr>
                <w:sz w:val="20"/>
                <w:szCs w:val="20"/>
              </w:rPr>
              <w:t xml:space="preserve">Anjali R. Kapoor</w:t>
            </w:r>
          </w:p>
        </w:tc>
      </w:tr>
      <w:tr>
        <w:tc>
          <w:tcPr>
            <w:tcW w:type="dxa" w:w="3200"/>
            <w:shd w:fill="F2F2F2" w:val="clear"/>
            <w:tcMar>
              <w:top w:type="dxa" w:w="80"/>
              <w:left w:type="dxa" w:w="100"/>
              <w:bottom w:type="dxa" w:w="80"/>
              <w:right w:type="dxa" w:w="100"/>
            </w:tcMar>
            <w:vAlign w:val="center"/>
          </w:tcPr>
          <w:p>
            <w:r>
              <w:rPr>
                <w:b/>
                <w:bCs/>
                <w:sz w:val="20"/>
                <w:szCs w:val="20"/>
              </w:rPr>
              <w:t xml:space="preserve">Policyholder Address</w:t>
            </w:r>
          </w:p>
        </w:tc>
        <w:tc>
          <w:tcPr>
            <w:tcW w:type="dxa" w:w="6200"/>
            <w:shd w:fill="F2F2F2" w:val="clear"/>
            <w:tcMar>
              <w:top w:type="dxa" w:w="80"/>
              <w:left w:type="dxa" w:w="100"/>
              <w:bottom w:type="dxa" w:w="80"/>
              <w:right w:type="dxa" w:w="100"/>
            </w:tcMar>
            <w:vAlign w:val="center"/>
          </w:tcPr>
          <w:p>
            <w:r>
              <w:rPr>
                <w:sz w:val="20"/>
                <w:szCs w:val="20"/>
              </w:rPr>
              <w:t xml:space="preserve">14B, Lotus Enclave, Sector 21, Navi Mumbai, Maharashtra 400706</w:t>
            </w:r>
          </w:p>
        </w:tc>
      </w:tr>
      <w:tr>
        <w:tc>
          <w:tcPr>
            <w:tcW w:type="dxa" w:w="3200"/>
            <w:tcMar>
              <w:top w:type="dxa" w:w="80"/>
              <w:left w:type="dxa" w:w="100"/>
              <w:bottom w:type="dxa" w:w="80"/>
              <w:right w:type="dxa" w:w="100"/>
            </w:tcMar>
            <w:vAlign w:val="center"/>
          </w:tcPr>
          <w:p>
            <w:r>
              <w:rPr>
                <w:b/>
                <w:bCs/>
                <w:sz w:val="20"/>
                <w:szCs w:val="20"/>
              </w:rPr>
              <w:t xml:space="preserve">Vehicle Make &amp; Model</w:t>
            </w:r>
          </w:p>
        </w:tc>
        <w:tc>
          <w:tcPr>
            <w:tcW w:type="dxa" w:w="6200"/>
            <w:tcMar>
              <w:top w:type="dxa" w:w="80"/>
              <w:left w:type="dxa" w:w="100"/>
              <w:bottom w:type="dxa" w:w="80"/>
              <w:right w:type="dxa" w:w="100"/>
            </w:tcMar>
            <w:vAlign w:val="center"/>
          </w:tcPr>
          <w:p>
            <w:r>
              <w:rPr>
                <w:sz w:val="20"/>
                <w:szCs w:val="20"/>
              </w:rPr>
              <w:t xml:space="preserve">Hyundai Creta SX (Diesel, Manual)</w:t>
            </w:r>
          </w:p>
        </w:tc>
      </w:tr>
      <w:tr>
        <w:tc>
          <w:tcPr>
            <w:tcW w:type="dxa" w:w="3200"/>
            <w:shd w:fill="F2F2F2" w:val="clear"/>
            <w:tcMar>
              <w:top w:type="dxa" w:w="80"/>
              <w:left w:type="dxa" w:w="100"/>
              <w:bottom w:type="dxa" w:w="80"/>
              <w:right w:type="dxa" w:w="100"/>
            </w:tcMar>
            <w:vAlign w:val="center"/>
          </w:tcPr>
          <w:p>
            <w:r>
              <w:rPr>
                <w:b/>
                <w:bCs/>
                <w:sz w:val="20"/>
                <w:szCs w:val="20"/>
              </w:rPr>
              <w:t xml:space="preserve">Registration Number</w:t>
            </w:r>
          </w:p>
        </w:tc>
        <w:tc>
          <w:tcPr>
            <w:tcW w:type="dxa" w:w="6200"/>
            <w:shd w:fill="F2F2F2" w:val="clear"/>
            <w:tcMar>
              <w:top w:type="dxa" w:w="80"/>
              <w:left w:type="dxa" w:w="100"/>
              <w:bottom w:type="dxa" w:w="80"/>
              <w:right w:type="dxa" w:w="100"/>
            </w:tcMar>
            <w:vAlign w:val="center"/>
          </w:tcPr>
          <w:p>
            <w:r>
              <w:rPr>
                <w:sz w:val="20"/>
                <w:szCs w:val="20"/>
              </w:rPr>
              <w:t xml:space="preserve">MH-43-AK-7712</w:t>
            </w:r>
          </w:p>
        </w:tc>
      </w:tr>
      <w:tr>
        <w:tc>
          <w:tcPr>
            <w:tcW w:type="dxa" w:w="3200"/>
            <w:tcMar>
              <w:top w:type="dxa" w:w="80"/>
              <w:left w:type="dxa" w:w="100"/>
              <w:bottom w:type="dxa" w:w="80"/>
              <w:right w:type="dxa" w:w="100"/>
            </w:tcMar>
            <w:vAlign w:val="center"/>
          </w:tcPr>
          <w:p>
            <w:r>
              <w:rPr>
                <w:b/>
                <w:bCs/>
                <w:sz w:val="20"/>
                <w:szCs w:val="20"/>
              </w:rPr>
              <w:t xml:space="preserve">Year of Manufacture</w:t>
            </w:r>
          </w:p>
        </w:tc>
        <w:tc>
          <w:tcPr>
            <w:tcW w:type="dxa" w:w="6200"/>
            <w:tcMar>
              <w:top w:type="dxa" w:w="80"/>
              <w:left w:type="dxa" w:w="100"/>
              <w:bottom w:type="dxa" w:w="80"/>
              <w:right w:type="dxa" w:w="100"/>
            </w:tcMar>
            <w:vAlign w:val="center"/>
          </w:tcPr>
          <w:p>
            <w:r>
              <w:rPr>
                <w:sz w:val="20"/>
                <w:szCs w:val="20"/>
              </w:rPr>
              <w:t xml:space="preserve">2023</w:t>
            </w:r>
          </w:p>
        </w:tc>
      </w:tr>
      <w:tr>
        <w:tc>
          <w:tcPr>
            <w:tcW w:type="dxa" w:w="3200"/>
            <w:shd w:fill="F2F2F2" w:val="clear"/>
            <w:tcMar>
              <w:top w:type="dxa" w:w="80"/>
              <w:left w:type="dxa" w:w="100"/>
              <w:bottom w:type="dxa" w:w="80"/>
              <w:right w:type="dxa" w:w="100"/>
            </w:tcMar>
            <w:vAlign w:val="center"/>
          </w:tcPr>
          <w:p>
            <w:r>
              <w:rPr>
                <w:b/>
                <w:bCs/>
                <w:sz w:val="20"/>
                <w:szCs w:val="20"/>
              </w:rPr>
              <w:t xml:space="preserve">Engine / Chassis No.</w:t>
            </w:r>
          </w:p>
        </w:tc>
        <w:tc>
          <w:tcPr>
            <w:tcW w:type="dxa" w:w="6200"/>
            <w:shd w:fill="F2F2F2" w:val="clear"/>
            <w:tcMar>
              <w:top w:type="dxa" w:w="80"/>
              <w:left w:type="dxa" w:w="100"/>
              <w:bottom w:type="dxa" w:w="80"/>
              <w:right w:type="dxa" w:w="100"/>
            </w:tcMar>
            <w:vAlign w:val="center"/>
          </w:tcPr>
          <w:p>
            <w:r>
              <w:rPr>
                <w:sz w:val="20"/>
                <w:szCs w:val="20"/>
              </w:rPr>
              <w:t xml:space="preserve">ENG-887234XX / CHS-556219YY</w:t>
            </w:r>
          </w:p>
        </w:tc>
      </w:tr>
      <w:tr>
        <w:tc>
          <w:tcPr>
            <w:tcW w:type="dxa" w:w="3200"/>
            <w:tcMar>
              <w:top w:type="dxa" w:w="80"/>
              <w:left w:type="dxa" w:w="100"/>
              <w:bottom w:type="dxa" w:w="80"/>
              <w:right w:type="dxa" w:w="100"/>
            </w:tcMar>
            <w:vAlign w:val="center"/>
          </w:tcPr>
          <w:p>
            <w:r>
              <w:rPr>
                <w:b/>
                <w:bCs/>
                <w:sz w:val="20"/>
                <w:szCs w:val="20"/>
              </w:rPr>
              <w:t xml:space="preserve">Insured Declared Value (IDV)</w:t>
            </w:r>
          </w:p>
        </w:tc>
        <w:tc>
          <w:tcPr>
            <w:tcW w:type="dxa" w:w="6200"/>
            <w:tcMar>
              <w:top w:type="dxa" w:w="80"/>
              <w:left w:type="dxa" w:w="100"/>
              <w:bottom w:type="dxa" w:w="80"/>
              <w:right w:type="dxa" w:w="100"/>
            </w:tcMar>
            <w:vAlign w:val="center"/>
          </w:tcPr>
          <w:p>
            <w:r>
              <w:rPr>
                <w:sz w:val="20"/>
                <w:szCs w:val="20"/>
              </w:rPr>
              <w:t xml:space="preserve">₹8,45,000</w:t>
            </w:r>
          </w:p>
        </w:tc>
      </w:tr>
      <w:tr>
        <w:tc>
          <w:tcPr>
            <w:tcW w:type="dxa" w:w="3200"/>
            <w:shd w:fill="F2F2F2" w:val="clear"/>
            <w:tcMar>
              <w:top w:type="dxa" w:w="80"/>
              <w:left w:type="dxa" w:w="100"/>
              <w:bottom w:type="dxa" w:w="80"/>
              <w:right w:type="dxa" w:w="100"/>
            </w:tcMar>
            <w:vAlign w:val="center"/>
          </w:tcPr>
          <w:p>
            <w:r>
              <w:rPr>
                <w:b/>
                <w:bCs/>
                <w:sz w:val="20"/>
                <w:szCs w:val="20"/>
              </w:rPr>
              <w:t xml:space="preserve">Policy Type</w:t>
            </w:r>
          </w:p>
        </w:tc>
        <w:tc>
          <w:tcPr>
            <w:tcW w:type="dxa" w:w="6200"/>
            <w:shd w:fill="F2F2F2" w:val="clear"/>
            <w:tcMar>
              <w:top w:type="dxa" w:w="80"/>
              <w:left w:type="dxa" w:w="100"/>
              <w:bottom w:type="dxa" w:w="80"/>
              <w:right w:type="dxa" w:w="100"/>
            </w:tcMar>
            <w:vAlign w:val="center"/>
          </w:tcPr>
          <w:p>
            <w:r>
              <w:rPr>
                <w:sz w:val="20"/>
                <w:szCs w:val="20"/>
              </w:rPr>
              <w:t xml:space="preserve">Comprehensive (Own Damage + Third Party Liability)</w:t>
            </w:r>
          </w:p>
        </w:tc>
      </w:tr>
      <w:tr>
        <w:tc>
          <w:tcPr>
            <w:tcW w:type="dxa" w:w="3200"/>
            <w:tcMar>
              <w:top w:type="dxa" w:w="80"/>
              <w:left w:type="dxa" w:w="100"/>
              <w:bottom w:type="dxa" w:w="80"/>
              <w:right w:type="dxa" w:w="100"/>
            </w:tcMar>
            <w:vAlign w:val="center"/>
          </w:tcPr>
          <w:p>
            <w:r>
              <w:rPr>
                <w:b/>
                <w:bCs/>
                <w:sz w:val="20"/>
                <w:szCs w:val="20"/>
              </w:rPr>
              <w:t xml:space="preserve">Policy Period</w:t>
            </w:r>
          </w:p>
        </w:tc>
        <w:tc>
          <w:tcPr>
            <w:tcW w:type="dxa" w:w="6200"/>
            <w:tcMar>
              <w:top w:type="dxa" w:w="80"/>
              <w:left w:type="dxa" w:w="100"/>
              <w:bottom w:type="dxa" w:w="80"/>
              <w:right w:type="dxa" w:w="100"/>
            </w:tcMar>
            <w:vAlign w:val="center"/>
          </w:tcPr>
          <w:p>
            <w:r>
              <w:rPr>
                <w:sz w:val="20"/>
                <w:szCs w:val="20"/>
              </w:rPr>
              <w:t xml:space="preserve">From 00:00 hrs on 08-Jul-2025 to Midnight of 07-Jul-2026</w:t>
            </w:r>
          </w:p>
        </w:tc>
      </w:tr>
      <w:tr>
        <w:tc>
          <w:tcPr>
            <w:tcW w:type="dxa" w:w="3200"/>
            <w:shd w:fill="F2F2F2" w:val="clear"/>
            <w:tcMar>
              <w:top w:type="dxa" w:w="80"/>
              <w:left w:type="dxa" w:w="100"/>
              <w:bottom w:type="dxa" w:w="80"/>
              <w:right w:type="dxa" w:w="100"/>
            </w:tcMar>
            <w:vAlign w:val="center"/>
          </w:tcPr>
          <w:p>
            <w:r>
              <w:rPr>
                <w:b/>
                <w:bCs/>
                <w:sz w:val="20"/>
                <w:szCs w:val="20"/>
              </w:rPr>
              <w:t xml:space="preserve">Previous Insurer</w:t>
            </w:r>
          </w:p>
        </w:tc>
        <w:tc>
          <w:tcPr>
            <w:tcW w:type="dxa" w:w="6200"/>
            <w:shd w:fill="F2F2F2" w:val="clear"/>
            <w:tcMar>
              <w:top w:type="dxa" w:w="80"/>
              <w:left w:type="dxa" w:w="100"/>
              <w:bottom w:type="dxa" w:w="80"/>
              <w:right w:type="dxa" w:w="100"/>
            </w:tcMar>
            <w:vAlign w:val="center"/>
          </w:tcPr>
          <w:p>
            <w:r>
              <w:rPr>
                <w:sz w:val="20"/>
                <w:szCs w:val="20"/>
              </w:rPr>
              <w:t xml:space="preserve">Bharosa General Insurance Ltd.</w:t>
            </w:r>
          </w:p>
        </w:tc>
      </w:tr>
      <w:tr>
        <w:tc>
          <w:tcPr>
            <w:tcW w:type="dxa" w:w="3200"/>
            <w:tcMar>
              <w:top w:type="dxa" w:w="80"/>
              <w:left w:type="dxa" w:w="100"/>
              <w:bottom w:type="dxa" w:w="80"/>
              <w:right w:type="dxa" w:w="100"/>
            </w:tcMar>
            <w:vAlign w:val="center"/>
          </w:tcPr>
          <w:p>
            <w:r>
              <w:rPr>
                <w:b/>
                <w:bCs/>
                <w:sz w:val="20"/>
                <w:szCs w:val="20"/>
              </w:rPr>
              <w:t xml:space="preserve">No Claim Bonus (NCB) — Current Year</w:t>
            </w:r>
          </w:p>
        </w:tc>
        <w:tc>
          <w:tcPr>
            <w:tcW w:type="dxa" w:w="6200"/>
            <w:tcMar>
              <w:top w:type="dxa" w:w="80"/>
              <w:left w:type="dxa" w:w="100"/>
              <w:bottom w:type="dxa" w:w="80"/>
              <w:right w:type="dxa" w:w="100"/>
            </w:tcMar>
            <w:vAlign w:val="center"/>
          </w:tcPr>
          <w:p>
            <w:r>
              <w:rPr>
                <w:sz w:val="20"/>
                <w:szCs w:val="20"/>
              </w:rPr>
              <w:t xml:space="preserve">20%</w:t>
            </w:r>
          </w:p>
        </w:tc>
      </w:tr>
    </w:tbl>
    <w:p>
      <w:pPr>
        <w:pStyle w:val="Heading1"/>
        <w:spacing w:after="150" w:before="300"/>
      </w:pPr>
      <w:r>
        <w:rPr>
          <w:b/>
          <w:bCs/>
          <w:color w:val="1F3864"/>
        </w:rPr>
        <w:t xml:space="preserve">2. Premium Breakup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F2F2" w:val="clear"/>
            <w:tcMar>
              <w:top w:type="dxa" w:w="80"/>
              <w:left w:type="dxa" w:w="100"/>
              <w:bottom w:type="dxa" w:w="80"/>
              <w:right w:type="dxa" w:w="100"/>
            </w:tcMar>
            <w:vAlign w:val="center"/>
          </w:tcPr>
          <w:p>
            <w:r>
              <w:rPr>
                <w:b/>
                <w:bCs/>
                <w:sz w:val="20"/>
                <w:szCs w:val="20"/>
              </w:rPr>
              <w:t xml:space="preserve">Own Damage (OD) Premium</w:t>
            </w:r>
          </w:p>
        </w:tc>
        <w:tc>
          <w:tcPr>
            <w:tcW w:type="dxa" w:w="6200"/>
            <w:shd w:fill="F2F2F2" w:val="clear"/>
            <w:tcMar>
              <w:top w:type="dxa" w:w="80"/>
              <w:left w:type="dxa" w:w="100"/>
              <w:bottom w:type="dxa" w:w="80"/>
              <w:right w:type="dxa" w:w="100"/>
            </w:tcMar>
            <w:vAlign w:val="center"/>
          </w:tcPr>
          <w:p>
            <w:r>
              <w:rPr>
                <w:sz w:val="20"/>
                <w:szCs w:val="20"/>
              </w:rPr>
              <w:t xml:space="preserve">₹13,400</w:t>
            </w:r>
          </w:p>
        </w:tc>
      </w:tr>
      <w:tr>
        <w:tc>
          <w:tcPr>
            <w:tcW w:type="dxa" w:w="3200"/>
            <w:tcMar>
              <w:top w:type="dxa" w:w="80"/>
              <w:left w:type="dxa" w:w="100"/>
              <w:bottom w:type="dxa" w:w="80"/>
              <w:right w:type="dxa" w:w="100"/>
            </w:tcMar>
            <w:vAlign w:val="center"/>
          </w:tcPr>
          <w:p>
            <w:r>
              <w:rPr>
                <w:b/>
                <w:bCs/>
                <w:sz w:val="20"/>
                <w:szCs w:val="20"/>
              </w:rPr>
              <w:t xml:space="preserve">Third Party (TP) Liability Premium</w:t>
            </w:r>
          </w:p>
        </w:tc>
        <w:tc>
          <w:tcPr>
            <w:tcW w:type="dxa" w:w="6200"/>
            <w:tcMar>
              <w:top w:type="dxa" w:w="80"/>
              <w:left w:type="dxa" w:w="100"/>
              <w:bottom w:type="dxa" w:w="80"/>
              <w:right w:type="dxa" w:w="100"/>
            </w:tcMar>
            <w:vAlign w:val="center"/>
          </w:tcPr>
          <w:p>
            <w:r>
              <w:rPr>
                <w:sz w:val="20"/>
                <w:szCs w:val="20"/>
              </w:rPr>
              <w:t xml:space="preserve">₹4,850 (as per IRDAI-mandated TP tariff)</w:t>
            </w:r>
          </w:p>
        </w:tc>
      </w:tr>
      <w:tr>
        <w:tc>
          <w:tcPr>
            <w:tcW w:type="dxa" w:w="3200"/>
            <w:shd w:fill="F2F2F2" w:val="clear"/>
            <w:tcMar>
              <w:top w:type="dxa" w:w="80"/>
              <w:left w:type="dxa" w:w="100"/>
              <w:bottom w:type="dxa" w:w="80"/>
              <w:right w:type="dxa" w:w="100"/>
            </w:tcMar>
            <w:vAlign w:val="center"/>
          </w:tcPr>
          <w:p>
            <w:r>
              <w:rPr>
                <w:b/>
                <w:bCs/>
                <w:sz w:val="20"/>
                <w:szCs w:val="20"/>
              </w:rPr>
              <w:t xml:space="preserve">Zero Depreciation Add-on</w:t>
            </w:r>
          </w:p>
        </w:tc>
        <w:tc>
          <w:tcPr>
            <w:tcW w:type="dxa" w:w="6200"/>
            <w:shd w:fill="F2F2F2" w:val="clear"/>
            <w:tcMar>
              <w:top w:type="dxa" w:w="80"/>
              <w:left w:type="dxa" w:w="100"/>
              <w:bottom w:type="dxa" w:w="80"/>
              <w:right w:type="dxa" w:w="100"/>
            </w:tcMar>
            <w:vAlign w:val="center"/>
          </w:tcPr>
          <w:p>
            <w:r>
              <w:rPr>
                <w:sz w:val="20"/>
                <w:szCs w:val="20"/>
              </w:rPr>
              <w:t xml:space="preserve">₹2,150</w:t>
            </w:r>
          </w:p>
        </w:tc>
      </w:tr>
      <w:tr>
        <w:tc>
          <w:tcPr>
            <w:tcW w:type="dxa" w:w="3200"/>
            <w:tcMar>
              <w:top w:type="dxa" w:w="80"/>
              <w:left w:type="dxa" w:w="100"/>
              <w:bottom w:type="dxa" w:w="80"/>
              <w:right w:type="dxa" w:w="100"/>
            </w:tcMar>
            <w:vAlign w:val="center"/>
          </w:tcPr>
          <w:p>
            <w:r>
              <w:rPr>
                <w:b/>
                <w:bCs/>
                <w:sz w:val="20"/>
                <w:szCs w:val="20"/>
              </w:rPr>
              <w:t xml:space="preserve">Engine &amp; Gearbox Protect Add-on</w:t>
            </w:r>
          </w:p>
        </w:tc>
        <w:tc>
          <w:tcPr>
            <w:tcW w:type="dxa" w:w="6200"/>
            <w:tcMar>
              <w:top w:type="dxa" w:w="80"/>
              <w:left w:type="dxa" w:w="100"/>
              <w:bottom w:type="dxa" w:w="80"/>
              <w:right w:type="dxa" w:w="100"/>
            </w:tcMar>
            <w:vAlign w:val="center"/>
          </w:tcPr>
          <w:p>
            <w:r>
              <w:rPr>
                <w:sz w:val="20"/>
                <w:szCs w:val="20"/>
              </w:rPr>
              <w:t xml:space="preserve">₹1,100</w:t>
            </w:r>
          </w:p>
        </w:tc>
      </w:tr>
      <w:tr>
        <w:tc>
          <w:tcPr>
            <w:tcW w:type="dxa" w:w="3200"/>
            <w:shd w:fill="F2F2F2" w:val="clear"/>
            <w:tcMar>
              <w:top w:type="dxa" w:w="80"/>
              <w:left w:type="dxa" w:w="100"/>
              <w:bottom w:type="dxa" w:w="80"/>
              <w:right w:type="dxa" w:w="100"/>
            </w:tcMar>
            <w:vAlign w:val="center"/>
          </w:tcPr>
          <w:p>
            <w:r>
              <w:rPr>
                <w:b/>
                <w:bCs/>
                <w:sz w:val="20"/>
                <w:szCs w:val="20"/>
              </w:rPr>
              <w:t xml:space="preserve">Roadside Assistance Add-on</w:t>
            </w:r>
          </w:p>
        </w:tc>
        <w:tc>
          <w:tcPr>
            <w:tcW w:type="dxa" w:w="6200"/>
            <w:shd w:fill="F2F2F2" w:val="clear"/>
            <w:tcMar>
              <w:top w:type="dxa" w:w="80"/>
              <w:left w:type="dxa" w:w="100"/>
              <w:bottom w:type="dxa" w:w="80"/>
              <w:right w:type="dxa" w:w="100"/>
            </w:tcMar>
            <w:vAlign w:val="center"/>
          </w:tcPr>
          <w:p>
            <w:r>
              <w:rPr>
                <w:sz w:val="20"/>
                <w:szCs w:val="20"/>
              </w:rPr>
              <w:t xml:space="preserve">₹350</w:t>
            </w:r>
          </w:p>
        </w:tc>
      </w:tr>
      <w:tr>
        <w:tc>
          <w:tcPr>
            <w:tcW w:type="dxa" w:w="3200"/>
            <w:tcMar>
              <w:top w:type="dxa" w:w="80"/>
              <w:left w:type="dxa" w:w="100"/>
              <w:bottom w:type="dxa" w:w="80"/>
              <w:right w:type="dxa" w:w="100"/>
            </w:tcMar>
            <w:vAlign w:val="center"/>
          </w:tcPr>
          <w:p>
            <w:r>
              <w:rPr>
                <w:b/>
                <w:bCs/>
                <w:sz w:val="20"/>
                <w:szCs w:val="20"/>
              </w:rPr>
              <w:t xml:space="preserve">Consumables Cover Add-on</w:t>
            </w:r>
          </w:p>
        </w:tc>
        <w:tc>
          <w:tcPr>
            <w:tcW w:type="dxa" w:w="6200"/>
            <w:tcMar>
              <w:top w:type="dxa" w:w="80"/>
              <w:left w:type="dxa" w:w="100"/>
              <w:bottom w:type="dxa" w:w="80"/>
              <w:right w:type="dxa" w:w="100"/>
            </w:tcMar>
            <w:vAlign w:val="center"/>
          </w:tcPr>
          <w:p>
            <w:r>
              <w:rPr>
                <w:sz w:val="20"/>
                <w:szCs w:val="20"/>
              </w:rPr>
              <w:t xml:space="preserve">₹600</w:t>
            </w:r>
          </w:p>
        </w:tc>
      </w:tr>
      <w:tr>
        <w:tc>
          <w:tcPr>
            <w:tcW w:type="dxa" w:w="3200"/>
            <w:shd w:fill="F2F2F2" w:val="clear"/>
            <w:tcMar>
              <w:top w:type="dxa" w:w="80"/>
              <w:left w:type="dxa" w:w="100"/>
              <w:bottom w:type="dxa" w:w="80"/>
              <w:right w:type="dxa" w:w="100"/>
            </w:tcMar>
            <w:vAlign w:val="center"/>
          </w:tcPr>
          <w:p>
            <w:r>
              <w:rPr>
                <w:b/>
                <w:bCs/>
                <w:sz w:val="20"/>
                <w:szCs w:val="20"/>
              </w:rPr>
              <w:t xml:space="preserve">NCB Discount Applied</w:t>
            </w:r>
          </w:p>
        </w:tc>
        <w:tc>
          <w:tcPr>
            <w:tcW w:type="dxa" w:w="6200"/>
            <w:shd w:fill="F2F2F2" w:val="clear"/>
            <w:tcMar>
              <w:top w:type="dxa" w:w="80"/>
              <w:left w:type="dxa" w:w="100"/>
              <w:bottom w:type="dxa" w:w="80"/>
              <w:right w:type="dxa" w:w="100"/>
            </w:tcMar>
            <w:vAlign w:val="center"/>
          </w:tcPr>
          <w:p>
            <w:r>
              <w:rPr>
                <w:sz w:val="20"/>
                <w:szCs w:val="20"/>
              </w:rPr>
              <w:t xml:space="preserve">− ₹2,680 (20% of OD premium)</w:t>
            </w:r>
          </w:p>
        </w:tc>
      </w:tr>
      <w:tr>
        <w:tc>
          <w:tcPr>
            <w:tcW w:type="dxa" w:w="3200"/>
            <w:tcMar>
              <w:top w:type="dxa" w:w="80"/>
              <w:left w:type="dxa" w:w="100"/>
              <w:bottom w:type="dxa" w:w="80"/>
              <w:right w:type="dxa" w:w="100"/>
            </w:tcMar>
            <w:vAlign w:val="center"/>
          </w:tcPr>
          <w:p>
            <w:r>
              <w:rPr>
                <w:b/>
                <w:bCs/>
                <w:sz w:val="20"/>
                <w:szCs w:val="20"/>
              </w:rPr>
              <w:t xml:space="preserve">Voluntary Deductible Discount</w:t>
            </w:r>
          </w:p>
        </w:tc>
        <w:tc>
          <w:tcPr>
            <w:tcW w:type="dxa" w:w="6200"/>
            <w:tcMar>
              <w:top w:type="dxa" w:w="80"/>
              <w:left w:type="dxa" w:w="100"/>
              <w:bottom w:type="dxa" w:w="80"/>
              <w:right w:type="dxa" w:w="100"/>
            </w:tcMar>
            <w:vAlign w:val="center"/>
          </w:tcPr>
          <w:p>
            <w:r>
              <w:rPr>
                <w:sz w:val="20"/>
                <w:szCs w:val="20"/>
              </w:rPr>
              <w:t xml:space="preserve">− ₹950 (₹2,500 voluntary excess selected)</w:t>
            </w:r>
          </w:p>
        </w:tc>
      </w:tr>
      <w:tr>
        <w:tc>
          <w:tcPr>
            <w:tcW w:type="dxa" w:w="3200"/>
            <w:shd w:fill="F2F2F2" w:val="clear"/>
            <w:tcMar>
              <w:top w:type="dxa" w:w="80"/>
              <w:left w:type="dxa" w:w="100"/>
              <w:bottom w:type="dxa" w:w="80"/>
              <w:right w:type="dxa" w:w="100"/>
            </w:tcMar>
            <w:vAlign w:val="center"/>
          </w:tcPr>
          <w:p>
            <w:r>
              <w:rPr>
                <w:b/>
                <w:bCs/>
                <w:sz w:val="20"/>
                <w:szCs w:val="20"/>
              </w:rPr>
              <w:t xml:space="preserve">Subtotal</w:t>
            </w:r>
          </w:p>
        </w:tc>
        <w:tc>
          <w:tcPr>
            <w:tcW w:type="dxa" w:w="6200"/>
            <w:shd w:fill="F2F2F2" w:val="clear"/>
            <w:tcMar>
              <w:top w:type="dxa" w:w="80"/>
              <w:left w:type="dxa" w:w="100"/>
              <w:bottom w:type="dxa" w:w="80"/>
              <w:right w:type="dxa" w:w="100"/>
            </w:tcMar>
            <w:vAlign w:val="center"/>
          </w:tcPr>
          <w:p>
            <w:r>
              <w:rPr>
                <w:sz w:val="20"/>
                <w:szCs w:val="20"/>
              </w:rPr>
              <w:t xml:space="preserve">₹19,220</w:t>
            </w:r>
          </w:p>
        </w:tc>
      </w:tr>
      <w:tr>
        <w:tc>
          <w:tcPr>
            <w:tcW w:type="dxa" w:w="3200"/>
            <w:tcMar>
              <w:top w:type="dxa" w:w="80"/>
              <w:left w:type="dxa" w:w="100"/>
              <w:bottom w:type="dxa" w:w="80"/>
              <w:right w:type="dxa" w:w="100"/>
            </w:tcMar>
            <w:vAlign w:val="center"/>
          </w:tcPr>
          <w:p>
            <w:r>
              <w:rPr>
                <w:b/>
                <w:bCs/>
                <w:sz w:val="20"/>
                <w:szCs w:val="20"/>
              </w:rPr>
              <w:t xml:space="preserve">GST (18%)</w:t>
            </w:r>
          </w:p>
        </w:tc>
        <w:tc>
          <w:tcPr>
            <w:tcW w:type="dxa" w:w="6200"/>
            <w:tcMar>
              <w:top w:type="dxa" w:w="80"/>
              <w:left w:type="dxa" w:w="100"/>
              <w:bottom w:type="dxa" w:w="80"/>
              <w:right w:type="dxa" w:w="100"/>
            </w:tcMar>
            <w:vAlign w:val="center"/>
          </w:tcPr>
          <w:p>
            <w:r>
              <w:rPr>
                <w:sz w:val="20"/>
                <w:szCs w:val="20"/>
              </w:rPr>
              <w:t xml:space="preserve">₹3,460</w:t>
            </w:r>
          </w:p>
        </w:tc>
      </w:tr>
      <w:tr>
        <w:tc>
          <w:tcPr>
            <w:tcW w:type="dxa" w:w="3200"/>
            <w:shd w:fill="F2F2F2" w:val="clear"/>
            <w:tcMar>
              <w:top w:type="dxa" w:w="80"/>
              <w:left w:type="dxa" w:w="100"/>
              <w:bottom w:type="dxa" w:w="80"/>
              <w:right w:type="dxa" w:w="100"/>
            </w:tcMar>
            <w:vAlign w:val="center"/>
          </w:tcPr>
          <w:p>
            <w:r>
              <w:rPr>
                <w:b/>
                <w:bCs/>
                <w:sz w:val="20"/>
                <w:szCs w:val="20"/>
              </w:rPr>
              <w:t xml:space="preserve">Total Premium Payable</w:t>
            </w:r>
          </w:p>
        </w:tc>
        <w:tc>
          <w:tcPr>
            <w:tcW w:type="dxa" w:w="6200"/>
            <w:shd w:fill="F2F2F2" w:val="clear"/>
            <w:tcMar>
              <w:top w:type="dxa" w:w="80"/>
              <w:left w:type="dxa" w:w="100"/>
              <w:bottom w:type="dxa" w:w="80"/>
              <w:right w:type="dxa" w:w="100"/>
            </w:tcMar>
            <w:vAlign w:val="center"/>
          </w:tcPr>
          <w:p>
            <w:r>
              <w:rPr>
                <w:sz w:val="20"/>
                <w:szCs w:val="20"/>
              </w:rPr>
              <w:t xml:space="preserve">₹22,680</w:t>
            </w:r>
          </w:p>
        </w:tc>
      </w:tr>
      <w:tr>
        <w:tc>
          <w:tcPr>
            <w:tcW w:type="dxa" w:w="3200"/>
            <w:tcMar>
              <w:top w:type="dxa" w:w="80"/>
              <w:left w:type="dxa" w:w="100"/>
              <w:bottom w:type="dxa" w:w="80"/>
              <w:right w:type="dxa" w:w="100"/>
            </w:tcMar>
            <w:vAlign w:val="center"/>
          </w:tcPr>
          <w:p>
            <w:r>
              <w:rPr>
                <w:b/>
                <w:bCs/>
                <w:sz w:val="20"/>
                <w:szCs w:val="20"/>
              </w:rPr>
              <w:t xml:space="preserve">Compulsory Excess (borne by policyholder on every own-damage claim)</w:t>
            </w:r>
          </w:p>
        </w:tc>
        <w:tc>
          <w:tcPr>
            <w:tcW w:type="dxa" w:w="6200"/>
            <w:tcMar>
              <w:top w:type="dxa" w:w="80"/>
              <w:left w:type="dxa" w:w="100"/>
              <w:bottom w:type="dxa" w:w="80"/>
              <w:right w:type="dxa" w:w="100"/>
            </w:tcMar>
            <w:vAlign w:val="center"/>
          </w:tcPr>
          <w:p>
            <w:r>
              <w:rPr>
                <w:sz w:val="20"/>
                <w:szCs w:val="20"/>
              </w:rPr>
              <w:t xml:space="preserve">₹2,000</w:t>
            </w:r>
          </w:p>
        </w:tc>
      </w:tr>
      <w:tr>
        <w:tc>
          <w:tcPr>
            <w:tcW w:type="dxa" w:w="3200"/>
            <w:shd w:fill="F2F2F2" w:val="clear"/>
            <w:tcMar>
              <w:top w:type="dxa" w:w="80"/>
              <w:left w:type="dxa" w:w="100"/>
              <w:bottom w:type="dxa" w:w="80"/>
              <w:right w:type="dxa" w:w="100"/>
            </w:tcMar>
            <w:vAlign w:val="center"/>
          </w:tcPr>
          <w:p>
            <w:r>
              <w:rPr>
                <w:b/>
                <w:bCs/>
                <w:sz w:val="20"/>
                <w:szCs w:val="20"/>
              </w:rPr>
              <w:t xml:space="preserve">Voluntary Excess (additional, borne by policyholder on every own-damage claim)</w:t>
            </w:r>
          </w:p>
        </w:tc>
        <w:tc>
          <w:tcPr>
            <w:tcW w:type="dxa" w:w="6200"/>
            <w:shd w:fill="F2F2F2" w:val="clear"/>
            <w:tcMar>
              <w:top w:type="dxa" w:w="80"/>
              <w:left w:type="dxa" w:w="100"/>
              <w:bottom w:type="dxa" w:w="80"/>
              <w:right w:type="dxa" w:w="100"/>
            </w:tcMar>
            <w:vAlign w:val="center"/>
          </w:tcPr>
          <w:p>
            <w:r>
              <w:rPr>
                <w:sz w:val="20"/>
                <w:szCs w:val="20"/>
              </w:rPr>
              <w:t xml:space="preserve">₹2,500</w:t>
            </w:r>
          </w:p>
        </w:tc>
      </w:tr>
    </w:tbl>
    <w:p>
      <w:pPr>
        <w:spacing w:after="120"/>
      </w:pPr>
      <w:r>
        <w:rPr>
          <w:i/>
          <w:iCs/>
          <w:sz w:val="18"/>
          <w:szCs w:val="18"/>
        </w:rPr>
        <w:t xml:space="preserve">Note: Compulsory and voluntary excess amounts are deducted from every own-damage claim settlement regardless of fault, before any depreciation adjustment is applied.</w:t>
      </w:r>
    </w:p>
    <w:p>
      <w:pPr>
        <w:pStyle w:val="Heading1"/>
        <w:spacing w:after="150" w:before="300"/>
      </w:pPr>
      <w:r>
        <w:rPr>
          <w:b/>
          <w:bCs/>
          <w:color w:val="1F3864"/>
        </w:rPr>
        <w:t xml:space="preserve">3. What Is Covered</w:t>
      </w:r>
    </w:p>
    <w:p>
      <w:pPr>
        <w:pStyle w:val="ListParagraph"/>
        <w:numPr>
          <w:ilvl w:val="0"/>
          <w:numId w:val="1"/>
        </w:numPr>
        <w:spacing w:after="80"/>
      </w:pPr>
      <w:r>
        <w:rPr>
          <w:sz w:val="21"/>
          <w:szCs w:val="21"/>
        </w:rPr>
        <w:t xml:space="preserve">Accidental loss or damage to the insured vehicle caused by collision, overturning, fire, self-ignition, or external explosion.</w:t>
      </w:r>
    </w:p>
    <w:p>
      <w:pPr>
        <w:pStyle w:val="ListParagraph"/>
        <w:numPr>
          <w:ilvl w:val="0"/>
          <w:numId w:val="1"/>
        </w:numPr>
        <w:spacing w:after="80"/>
      </w:pPr>
      <w:r>
        <w:rPr>
          <w:sz w:val="21"/>
          <w:szCs w:val="21"/>
        </w:rPr>
        <w:t xml:space="preserve">Loss or damage caused by lightning, earthquake, flood, cyclone, storm, or other listed natural perils.</w:t>
      </w:r>
    </w:p>
    <w:p>
      <w:pPr>
        <w:pStyle w:val="ListParagraph"/>
        <w:numPr>
          <w:ilvl w:val="0"/>
          <w:numId w:val="1"/>
        </w:numPr>
        <w:spacing w:after="80"/>
      </w:pPr>
      <w:r>
        <w:rPr>
          <w:sz w:val="21"/>
          <w:szCs w:val="21"/>
        </w:rPr>
        <w:t xml:space="preserve">Loss due to burglary, housebreaking, or theft of the insured vehicle.</w:t>
      </w:r>
    </w:p>
    <w:p>
      <w:pPr>
        <w:pStyle w:val="ListParagraph"/>
        <w:numPr>
          <w:ilvl w:val="0"/>
          <w:numId w:val="1"/>
        </w:numPr>
        <w:spacing w:after="80"/>
      </w:pPr>
      <w:r>
        <w:rPr>
          <w:sz w:val="21"/>
          <w:szCs w:val="21"/>
        </w:rPr>
        <w:t xml:space="preserve">Damage sustained during transit by road, rail, inland waterway, lift, elevator, or air.</w:t>
      </w:r>
    </w:p>
    <w:p>
      <w:pPr>
        <w:pStyle w:val="ListParagraph"/>
        <w:numPr>
          <w:ilvl w:val="0"/>
          <w:numId w:val="1"/>
        </w:numPr>
        <w:spacing w:after="80"/>
      </w:pPr>
      <w:r>
        <w:rPr>
          <w:sz w:val="21"/>
          <w:szCs w:val="21"/>
        </w:rPr>
        <w:t xml:space="preserve">Third-party legal liability for death, bodily injury, or property damage as mandated under the Motor Vehicles Act.</w:t>
      </w:r>
    </w:p>
    <w:p>
      <w:pPr>
        <w:pStyle w:val="ListParagraph"/>
        <w:numPr>
          <w:ilvl w:val="0"/>
          <w:numId w:val="1"/>
        </w:numPr>
        <w:spacing w:after="80"/>
      </w:pPr>
      <w:r>
        <w:rPr>
          <w:sz w:val="21"/>
          <w:szCs w:val="21"/>
        </w:rPr>
        <w:t xml:space="preserve">Personal Accident cover of ₹15,00,000 for the owner-driver, subject to the owner-driver holding a valid driving license at the time of the accident.</w:t>
      </w:r>
    </w:p>
    <w:p>
      <w:pPr>
        <w:pStyle w:val="ListParagraph"/>
        <w:numPr>
          <w:ilvl w:val="0"/>
          <w:numId w:val="1"/>
        </w:numPr>
        <w:spacing w:after="80"/>
      </w:pPr>
      <w:r>
        <w:rPr>
          <w:sz w:val="21"/>
          <w:szCs w:val="21"/>
        </w:rPr>
        <w:t xml:space="preserve">Zero Depreciation add-on: full claim value paid on eligible parts without deduction for depreciation, subject to Section 5 conditions below.</w:t>
      </w:r>
    </w:p>
    <w:p>
      <w:pPr>
        <w:pStyle w:val="Heading1"/>
        <w:spacing w:after="150" w:before="300"/>
      </w:pPr>
      <w:r>
        <w:rPr>
          <w:b/>
          <w:bCs/>
          <w:color w:val="1F3864"/>
        </w:rPr>
        <w:t xml:space="preserve">4. What Is NOT Covered (Exclusions)</w:t>
      </w:r>
    </w:p>
    <w:p>
      <w:pPr>
        <w:pStyle w:val="ListParagraph"/>
        <w:numPr>
          <w:ilvl w:val="0"/>
          <w:numId w:val="1"/>
        </w:numPr>
        <w:spacing w:after="80"/>
      </w:pPr>
      <w:r>
        <w:rPr>
          <w:sz w:val="21"/>
          <w:szCs w:val="21"/>
        </w:rPr>
        <w:t xml:space="preserve">Normal wear and tear, mechanical or electrical breakdown, and consequential damages not arising from an insured peril.</w:t>
      </w:r>
    </w:p>
    <w:p>
      <w:pPr>
        <w:pStyle w:val="ListParagraph"/>
        <w:numPr>
          <w:ilvl w:val="0"/>
          <w:numId w:val="1"/>
        </w:numPr>
        <w:spacing w:after="80"/>
      </w:pPr>
      <w:r>
        <w:rPr>
          <w:sz w:val="21"/>
          <w:szCs w:val="21"/>
        </w:rPr>
        <w:t xml:space="preserve">Damage while the vehicle is driven by a person without a valid and effective driving license at the time of the accident.</w:t>
      </w:r>
    </w:p>
    <w:p>
      <w:pPr>
        <w:pStyle w:val="ListParagraph"/>
        <w:numPr>
          <w:ilvl w:val="0"/>
          <w:numId w:val="1"/>
        </w:numPr>
        <w:spacing w:after="80"/>
      </w:pPr>
      <w:r>
        <w:rPr>
          <w:sz w:val="21"/>
          <w:szCs w:val="21"/>
        </w:rPr>
        <w:t xml:space="preserve">Any loss or damage while the vehicle is driven under the influence of alcohol or drugs.</w:t>
      </w:r>
    </w:p>
    <w:p>
      <w:pPr>
        <w:pStyle w:val="ListParagraph"/>
        <w:numPr>
          <w:ilvl w:val="0"/>
          <w:numId w:val="1"/>
        </w:numPr>
        <w:spacing w:after="80"/>
      </w:pPr>
      <w:r>
        <w:rPr>
          <w:sz w:val="21"/>
          <w:szCs w:val="21"/>
        </w:rPr>
        <w:t xml:space="preserve">Loss or damage arising from participation in racing, speed testing, or use of the vehicle for purposes other than those stated in the Registration Certificate (e.g., commercial or ride-hailing use of a vehicle registered as private).</w:t>
      </w:r>
    </w:p>
    <w:p>
      <w:pPr>
        <w:pStyle w:val="ListParagraph"/>
        <w:numPr>
          <w:ilvl w:val="0"/>
          <w:numId w:val="1"/>
        </w:numPr>
        <w:spacing w:after="80"/>
      </w:pPr>
      <w:r>
        <w:rPr>
          <w:sz w:val="21"/>
          <w:szCs w:val="21"/>
        </w:rPr>
        <w:t xml:space="preserve">Depreciation, loss of value, and consequential loss of any kind.</w:t>
      </w:r>
    </w:p>
    <w:p>
      <w:pPr>
        <w:pStyle w:val="ListParagraph"/>
        <w:numPr>
          <w:ilvl w:val="0"/>
          <w:numId w:val="1"/>
        </w:numPr>
        <w:spacing w:after="80"/>
      </w:pPr>
      <w:r>
        <w:rPr>
          <w:sz w:val="21"/>
          <w:szCs w:val="21"/>
        </w:rPr>
        <w:t xml:space="preserve">Damage arising from war, invasion, act of foreign enemy, or nuclear risk.</w:t>
      </w:r>
    </w:p>
    <w:p>
      <w:pPr>
        <w:pStyle w:val="ListParagraph"/>
        <w:numPr>
          <w:ilvl w:val="0"/>
          <w:numId w:val="1"/>
        </w:numPr>
        <w:spacing w:after="80"/>
      </w:pPr>
      <w:r>
        <w:rPr>
          <w:sz w:val="21"/>
          <w:szCs w:val="21"/>
        </w:rPr>
        <w:t xml:space="preserve">Any modification, alteration, or accessory fitted to the vehicle that was not declared to and endorsed by the Company prior to the date of loss.</w:t>
      </w:r>
    </w:p>
    <w:p>
      <w:pPr>
        <w:pStyle w:val="ListParagraph"/>
        <w:numPr>
          <w:ilvl w:val="0"/>
          <w:numId w:val="1"/>
        </w:numPr>
        <w:spacing w:after="80"/>
      </w:pPr>
      <w:r>
        <w:rPr>
          <w:sz w:val="21"/>
          <w:szCs w:val="21"/>
        </w:rPr>
        <w:t xml:space="preserve">Electrical or mechanical breakdown of the engine, gearbox, or any consumable item unless the relevant add-on cover is purchased and in force at the time of loss.</w:t>
      </w:r>
    </w:p>
    <w:p>
      <w:pPr>
        <w:pStyle w:val="Heading1"/>
        <w:spacing w:after="150" w:before="300"/>
      </w:pPr>
      <w:r>
        <w:rPr>
          <w:b/>
          <w:bCs/>
          <w:color w:val="1F3864"/>
        </w:rPr>
        <w:t xml:space="preserve">5. Add-On Covers — Sub-Limits &amp; Waiting Periods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2F2F2" w:val="clear"/>
            <w:tcMar>
              <w:top w:type="dxa" w:w="80"/>
              <w:left w:type="dxa" w:w="100"/>
              <w:bottom w:type="dxa" w:w="80"/>
              <w:right w:type="dxa" w:w="100"/>
            </w:tcMar>
            <w:vAlign w:val="center"/>
          </w:tcPr>
          <w:p>
            <w:r>
              <w:rPr>
                <w:b/>
                <w:bCs/>
                <w:sz w:val="20"/>
                <w:szCs w:val="20"/>
              </w:rPr>
              <w:t xml:space="preserve">Zero Depreciation Add-on</w:t>
            </w:r>
          </w:p>
        </w:tc>
        <w:tc>
          <w:tcPr>
            <w:tcW w:type="dxa" w:w="6800"/>
            <w:shd w:fill="F2F2F2" w:val="clear"/>
            <w:tcMar>
              <w:top w:type="dxa" w:w="80"/>
              <w:left w:type="dxa" w:w="100"/>
              <w:bottom w:type="dxa" w:w="80"/>
              <w:right w:type="dxa" w:w="100"/>
            </w:tcMar>
            <w:vAlign w:val="center"/>
          </w:tcPr>
          <w:p>
            <w:r>
              <w:rPr>
                <w:sz w:val="20"/>
                <w:szCs w:val="20"/>
              </w:rPr>
              <w:t xml:space="preserve">Maximum 2 claims permitted per policy year. Not applicable if the vehicle is more than 5 years old. 15-day waiting period applies if this add-on is purchased or reinstated mid-term rather than at inception.</w:t>
            </w:r>
          </w:p>
        </w:tc>
      </w:tr>
      <w:tr>
        <w:tc>
          <w:tcPr>
            <w:tcW w:type="dxa" w:w="2600"/>
            <w:tcMar>
              <w:top w:type="dxa" w:w="80"/>
              <w:left w:type="dxa" w:w="100"/>
              <w:bottom w:type="dxa" w:w="80"/>
              <w:right w:type="dxa" w:w="100"/>
            </w:tcMar>
            <w:vAlign w:val="center"/>
          </w:tcPr>
          <w:p>
            <w:r>
              <w:rPr>
                <w:b/>
                <w:bCs/>
                <w:sz w:val="20"/>
                <w:szCs w:val="20"/>
              </w:rPr>
              <w:t xml:space="preserve">Engine &amp; Gearbox Protect</w:t>
            </w:r>
          </w:p>
        </w:tc>
        <w:tc>
          <w:tcPr>
            <w:tcW w:type="dxa" w:w="6800"/>
            <w:tcMar>
              <w:top w:type="dxa" w:w="80"/>
              <w:left w:type="dxa" w:w="100"/>
              <w:bottom w:type="dxa" w:w="80"/>
              <w:right w:type="dxa" w:w="100"/>
            </w:tcMar>
            <w:vAlign w:val="center"/>
          </w:tcPr>
          <w:p>
            <w:r>
              <w:rPr>
                <w:sz w:val="20"/>
                <w:szCs w:val="20"/>
              </w:rPr>
              <w:t xml:space="preserve">Covers hydrostatic lock and consequential engine damage due to water ingestion only if the vehicle was NOT started/re-started after entering waterlogged areas. Claims where the owner attempted to restart the engine after water ingestion are void under this add-on.</w:t>
            </w:r>
          </w:p>
        </w:tc>
      </w:tr>
      <w:tr>
        <w:tc>
          <w:tcPr>
            <w:tcW w:type="dxa" w:w="2600"/>
            <w:shd w:fill="F2F2F2" w:val="clear"/>
            <w:tcMar>
              <w:top w:type="dxa" w:w="80"/>
              <w:left w:type="dxa" w:w="100"/>
              <w:bottom w:type="dxa" w:w="80"/>
              <w:right w:type="dxa" w:w="100"/>
            </w:tcMar>
            <w:vAlign w:val="center"/>
          </w:tcPr>
          <w:p>
            <w:r>
              <w:rPr>
                <w:b/>
                <w:bCs/>
                <w:sz w:val="20"/>
                <w:szCs w:val="20"/>
              </w:rPr>
              <w:t xml:space="preserve">Consumables Cover</w:t>
            </w:r>
          </w:p>
        </w:tc>
        <w:tc>
          <w:tcPr>
            <w:tcW w:type="dxa" w:w="6800"/>
            <w:shd w:fill="F2F2F2" w:val="clear"/>
            <w:tcMar>
              <w:top w:type="dxa" w:w="80"/>
              <w:left w:type="dxa" w:w="100"/>
              <w:bottom w:type="dxa" w:w="80"/>
              <w:right w:type="dxa" w:w="100"/>
            </w:tcMar>
            <w:vAlign w:val="center"/>
          </w:tcPr>
          <w:p>
            <w:r>
              <w:rPr>
                <w:sz w:val="20"/>
                <w:szCs w:val="20"/>
              </w:rPr>
              <w:t xml:space="preserve">Capped at ₹2,000 per claim regardless of actual consumable replacement cost (engine oil, nuts, bolts, grease, clip, washer).</w:t>
            </w:r>
          </w:p>
        </w:tc>
      </w:tr>
      <w:tr>
        <w:tc>
          <w:tcPr>
            <w:tcW w:type="dxa" w:w="2600"/>
            <w:tcMar>
              <w:top w:type="dxa" w:w="80"/>
              <w:left w:type="dxa" w:w="100"/>
              <w:bottom w:type="dxa" w:w="80"/>
              <w:right w:type="dxa" w:w="100"/>
            </w:tcMar>
            <w:vAlign w:val="center"/>
          </w:tcPr>
          <w:p>
            <w:r>
              <w:rPr>
                <w:b/>
                <w:bCs/>
                <w:sz w:val="20"/>
                <w:szCs w:val="20"/>
              </w:rPr>
              <w:t xml:space="preserve">Roadside Assistance</w:t>
            </w:r>
          </w:p>
        </w:tc>
        <w:tc>
          <w:tcPr>
            <w:tcW w:type="dxa" w:w="6800"/>
            <w:tcMar>
              <w:top w:type="dxa" w:w="80"/>
              <w:left w:type="dxa" w:w="100"/>
              <w:bottom w:type="dxa" w:w="80"/>
              <w:right w:type="dxa" w:w="100"/>
            </w:tcMar>
            <w:vAlign w:val="center"/>
          </w:tcPr>
          <w:p>
            <w:r>
              <w:rPr>
                <w:sz w:val="20"/>
                <w:szCs w:val="20"/>
              </w:rPr>
              <w:t xml:space="preserve">Limited to 2 service call-outs per policy year; each call-out beyond a 25 km radius of the registered address attracts additional charges borne by the policyholder.</w:t>
            </w:r>
          </w:p>
        </w:tc>
      </w:tr>
      <w:tr>
        <w:tc>
          <w:tcPr>
            <w:tcW w:type="dxa" w:w="2600"/>
            <w:shd w:fill="F2F2F2" w:val="clear"/>
            <w:tcMar>
              <w:top w:type="dxa" w:w="80"/>
              <w:left w:type="dxa" w:w="100"/>
              <w:bottom w:type="dxa" w:w="80"/>
              <w:right w:type="dxa" w:w="100"/>
            </w:tcMar>
            <w:vAlign w:val="center"/>
          </w:tcPr>
          <w:p>
            <w:r>
              <w:rPr>
                <w:b/>
                <w:bCs/>
                <w:sz w:val="20"/>
                <w:szCs w:val="20"/>
              </w:rPr>
              <w:t xml:space="preserve">Key Replacement (bundled within Consumables)</w:t>
            </w:r>
          </w:p>
        </w:tc>
        <w:tc>
          <w:tcPr>
            <w:tcW w:type="dxa" w:w="6800"/>
            <w:shd w:fill="F2F2F2" w:val="clear"/>
            <w:tcMar>
              <w:top w:type="dxa" w:w="80"/>
              <w:left w:type="dxa" w:w="100"/>
              <w:bottom w:type="dxa" w:w="80"/>
              <w:right w:type="dxa" w:w="100"/>
            </w:tcMar>
            <w:vAlign w:val="center"/>
          </w:tcPr>
          <w:p>
            <w:r>
              <w:rPr>
                <w:sz w:val="20"/>
                <w:szCs w:val="20"/>
              </w:rPr>
              <w:t xml:space="preserve">Capped at ₹1,500 per policy year; lost keys must be reported to police within 48 hours or the claim is void.</w:t>
            </w:r>
          </w:p>
        </w:tc>
      </w:tr>
    </w:tbl>
    <w:p>
      <w:r>
        <w:br w:type="page"/>
      </w:r>
    </w:p>
    <w:p>
      <w:pPr>
        <w:pStyle w:val="Heading1"/>
        <w:spacing w:after="150" w:before="300"/>
      </w:pPr>
      <w:r>
        <w:rPr>
          <w:b/>
          <w:bCs/>
          <w:color w:val="1F3864"/>
        </w:rPr>
        <w:t xml:space="preserve">6. Claim Conditions &amp; Settlement Basis</w:t>
      </w:r>
    </w:p>
    <w:p>
      <w:pPr>
        <w:pStyle w:val="ListParagraph"/>
        <w:numPr>
          <w:ilvl w:val="0"/>
          <w:numId w:val="1"/>
        </w:numPr>
        <w:spacing w:after="80"/>
      </w:pPr>
      <w:r>
        <w:rPr>
          <w:sz w:val="21"/>
          <w:szCs w:val="21"/>
        </w:rPr>
        <w:t xml:space="preserve">All claims are settled on a depreciation basis as per the Indian Motor Tariff schedule unless Zero Depreciation add-on is active and applicable to the specific part.</w:t>
      </w:r>
    </w:p>
    <w:p>
      <w:pPr>
        <w:pStyle w:val="ListParagraph"/>
        <w:numPr>
          <w:ilvl w:val="0"/>
          <w:numId w:val="1"/>
        </w:numPr>
        <w:spacing w:after="80"/>
      </w:pPr>
      <w:r>
        <w:rPr>
          <w:sz w:val="21"/>
          <w:szCs w:val="21"/>
        </w:rPr>
        <w:t xml:space="preserve">Depreciation scale for own-damage claims: 0–6 months: Nil; 6 months–1 yr: 5%; 1–2 yrs: 10%; 2–3 yrs: 15%; 3–4 yrs: 25%; 4–5 yrs: 35%; 5–10 yrs: 40%; over 10 yrs: 50%. Rubber, nylon, plastic parts, tyres, tubes and batteries are depreciated at 50% regardless of vehicle age.</w:t>
      </w:r>
    </w:p>
    <w:p>
      <w:pPr>
        <w:pStyle w:val="ListParagraph"/>
        <w:numPr>
          <w:ilvl w:val="0"/>
          <w:numId w:val="1"/>
        </w:numPr>
        <w:spacing w:after="80"/>
      </w:pPr>
      <w:r>
        <w:rPr>
          <w:sz w:val="21"/>
          <w:szCs w:val="21"/>
        </w:rPr>
        <w:t xml:space="preserve">The policyholder must intimate the Company within 48 hours of any loss event. Claims intimated after 7 days from the date of loss may be repudiated at the Company's discretion.</w:t>
      </w:r>
    </w:p>
    <w:p>
      <w:pPr>
        <w:pStyle w:val="ListParagraph"/>
        <w:numPr>
          <w:ilvl w:val="0"/>
          <w:numId w:val="1"/>
        </w:numPr>
        <w:spacing w:after="80"/>
      </w:pPr>
      <w:r>
        <w:rPr>
          <w:sz w:val="21"/>
          <w:szCs w:val="21"/>
        </w:rPr>
        <w:t xml:space="preserve">The vehicle must not be repaired or disposed of before a survey by the Company's authorized surveyor, except in the case of an emergency where reasonable steps are necessary to prevent further loss.</w:t>
      </w:r>
    </w:p>
    <w:p>
      <w:pPr>
        <w:pStyle w:val="ListParagraph"/>
        <w:numPr>
          <w:ilvl w:val="0"/>
          <w:numId w:val="1"/>
        </w:numPr>
        <w:spacing w:after="80"/>
      </w:pPr>
      <w:r>
        <w:rPr>
          <w:sz w:val="21"/>
          <w:szCs w:val="21"/>
        </w:rPr>
        <w:t xml:space="preserve">No Claim Bonus is forfeited entirely upon intimation of any own-damage claim in the current policy year, irrespective of whether the claim is subsequently withdrawn.</w:t>
      </w:r>
    </w:p>
    <w:p>
      <w:pPr>
        <w:pStyle w:val="Heading1"/>
        <w:spacing w:after="150" w:before="300"/>
      </w:pPr>
      <w:r>
        <w:rPr>
          <w:b/>
          <w:bCs/>
          <w:color w:val="1F3864"/>
        </w:rPr>
        <w:t xml:space="preserve">7. Fine Print — Renewal, Cancellation &amp; Free-Look Terms</w:t>
      </w:r>
    </w:p>
    <w:p>
      <w:pPr>
        <w:spacing w:after="120"/>
      </w:pPr>
      <w:r>
        <w:rPr>
          <w:b/>
          <w:bCs/>
          <w:sz w:val="19"/>
          <w:szCs w:val="19"/>
        </w:rPr>
        <w:t xml:space="preserve">Clause 14.1 — Free-Look Period</w:t>
      </w:r>
    </w:p>
    <w:p>
      <w:pPr>
        <w:spacing w:after="60"/>
      </w:pPr>
      <w:r>
        <w:rPr>
          <w:color w:val="595959"/>
          <w:sz w:val="14"/>
          <w:szCs w:val="14"/>
        </w:rPr>
        <w:t xml:space="preserve">The Policyholder may review the terms of this Policy within 15 days from the date of receipt of the policy document ('the Free-Look Period'). If the Policyholder disagrees with any of the terms and conditions, they have the option to cancel the Policy stating the reasons for cancellation, subject to a deduction of the proportionate risk premium for the period of cover, and stamp duty charges actually incurred. Requests received after the 15-day window will not be treated as a free-look cancellation and will instead be processed under Clause 14.4 (Mid-Term Cancellation).</w:t>
      </w:r>
    </w:p>
    <w:p>
      <w:pPr>
        <w:spacing w:after="120"/>
      </w:pPr>
      <w:r>
        <w:rPr>
          <w:b/>
          <w:bCs/>
          <w:sz w:val="19"/>
          <w:szCs w:val="19"/>
        </w:rPr>
        <w:t xml:space="preserve">Clause 14.2 — Automatic Renewal</w:t>
      </w:r>
    </w:p>
    <w:p>
      <w:pPr>
        <w:spacing w:after="60"/>
      </w:pPr>
      <w:r>
        <w:rPr>
          <w:color w:val="595959"/>
          <w:sz w:val="14"/>
          <w:szCs w:val="14"/>
        </w:rPr>
        <w:t xml:space="preserve">Unless the Company receives written notice of cancellation from the Policyholder at least 15 days prior to the Policy expiry date stated in Section 1, this Policy shall be deemed to be renewed automatically for a further period of twelve (12) months at the premium rate applicable at the time of renewal, which may be higher than the premium stated in Section 2 above, and the renewal premium shall be charged to the payment instrument or bank mandate last used by the Policyholder without further confirmation being sought.</w:t>
      </w:r>
    </w:p>
    <w:p>
      <w:pPr>
        <w:spacing w:after="120"/>
      </w:pPr>
      <w:r>
        <w:rPr>
          <w:b/>
          <w:bCs/>
          <w:sz w:val="19"/>
          <w:szCs w:val="19"/>
        </w:rPr>
        <w:t xml:space="preserve">Clause 14.3 — Grace Period on Renewal</w:t>
      </w:r>
    </w:p>
    <w:p>
      <w:pPr>
        <w:spacing w:after="60"/>
      </w:pPr>
      <w:r>
        <w:rPr>
          <w:color w:val="595959"/>
          <w:sz w:val="14"/>
          <w:szCs w:val="14"/>
        </w:rPr>
        <w:t xml:space="preserve">Where the Policyholder does not pay the renewal premium on or before the expiry date, a grace period of 15 days from the expiry date is available during which the Policy may be renewed without a fresh pre-inspection of the vehicle, provided no claim has arisen during the grace period. Continuity of No Claim Bonus is preserved only if renewal is completed within this 15-day grace period; renewal after the grace period will be treated as a fresh policy with NCB reset to 0% and mandatory pre-inspection of the vehicle at the Policyholder's cost.</w:t>
      </w:r>
    </w:p>
    <w:p>
      <w:pPr>
        <w:spacing w:after="120"/>
      </w:pPr>
      <w:r>
        <w:rPr>
          <w:b/>
          <w:bCs/>
          <w:sz w:val="19"/>
          <w:szCs w:val="19"/>
        </w:rPr>
        <w:t xml:space="preserve">Clause 14.4 — Mid-Term Cancellation Penalty</w:t>
      </w:r>
    </w:p>
    <w:p>
      <w:pPr>
        <w:spacing w:after="60"/>
      </w:pPr>
      <w:r>
        <w:rPr>
          <w:color w:val="595959"/>
          <w:sz w:val="14"/>
          <w:szCs w:val="14"/>
        </w:rPr>
        <w:t xml:space="preserve">Should the Policyholder wish to cancel this Policy at any time after the Free-Look Period and before expiry, the Company will refund premium on the Own Damage section only, calculated on a short-period scale rather than a pro-rata basis: up to 1 month — 25% retained by Company; 1–3 months — 40% retained; 3–6 months — 60% retained; 6–9 months — 80% retained; beyond 9 months — no refund. The Third Party Liability premium is non-refundable under any circumstances once the Policy has commenced, in accordance with IRDAI tariff regulations.</w:t>
      </w:r>
    </w:p>
    <w:p>
      <w:pPr>
        <w:spacing w:after="120"/>
      </w:pPr>
      <w:r>
        <w:rPr>
          <w:b/>
          <w:bCs/>
          <w:sz w:val="19"/>
          <w:szCs w:val="19"/>
        </w:rPr>
        <w:t xml:space="preserve">Clause 14.5 — Liability Shift on Unauthorized Vehicle Use</w:t>
      </w:r>
    </w:p>
    <w:p>
      <w:pPr>
        <w:spacing w:after="60"/>
      </w:pPr>
      <w:r>
        <w:rPr>
          <w:color w:val="595959"/>
          <w:sz w:val="14"/>
          <w:szCs w:val="14"/>
        </w:rPr>
        <w:t xml:space="preserve">In the event the insured vehicle is, at the time of loss, being driven by a person other than the Policyholder or a person named in Section 1 without the Policyholder's express prior written consent on record with the Company, any liability arising to third parties shall, to the extent permitted by law, be recoverable by the Company from the Policyholder personally, and the Company's obligation shall be limited to the minimum statutory liability under the Motor Vehicles Act, notwithstanding the Third Party Liability premium collected under Section 2.</w:t>
      </w:r>
    </w:p>
    <w:p>
      <w:pPr>
        <w:spacing w:after="120"/>
      </w:pPr>
      <w:r>
        <w:rPr>
          <w:b/>
          <w:bCs/>
          <w:sz w:val="19"/>
          <w:szCs w:val="19"/>
        </w:rPr>
        <w:t xml:space="preserve">Clause 14.6 — Non-Disclosure and Claim Rejection</w:t>
      </w:r>
    </w:p>
    <w:p>
      <w:pPr>
        <w:spacing w:after="60"/>
      </w:pPr>
      <w:r>
        <w:rPr>
          <w:color w:val="595959"/>
          <w:sz w:val="14"/>
          <w:szCs w:val="14"/>
        </w:rPr>
        <w:t xml:space="preserve">Any claim shall be void and all benefits forfeited if there has been any misdescription, non-disclosure, or misrepresentation of a material fact, including but not limited to undeclared modifications, undisclosed commercial use, undisclosed prior accident history, or failure to inform the Company of a change in the vehicle's registered use, whether such non-disclosure was innocent or otherwise.</w:t>
      </w:r>
    </w:p>
    <w:p>
      <w:pPr>
        <w:pStyle w:val="Heading1"/>
        <w:spacing w:after="150" w:before="300"/>
      </w:pPr>
      <w:r>
        <w:rPr>
          <w:b/>
          <w:bCs/>
          <w:color w:val="1F3864"/>
        </w:rPr>
        <w:t xml:space="preserve">8. Important Dates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F2F2" w:val="clear"/>
            <w:tcMar>
              <w:top w:type="dxa" w:w="80"/>
              <w:left w:type="dxa" w:w="100"/>
              <w:bottom w:type="dxa" w:w="80"/>
              <w:right w:type="dxa" w:w="100"/>
            </w:tcMar>
            <w:vAlign w:val="center"/>
          </w:tcPr>
          <w:p>
            <w:r>
              <w:rPr>
                <w:b/>
                <w:bCs/>
                <w:sz w:val="20"/>
                <w:szCs w:val="20"/>
              </w:rPr>
              <w:t xml:space="preserve">Policy Issue / Document Receipt Date</w:t>
            </w:r>
          </w:p>
        </w:tc>
        <w:tc>
          <w:tcPr>
            <w:tcW w:type="dxa" w:w="6200"/>
            <w:shd w:fill="F2F2F2" w:val="clear"/>
            <w:tcMar>
              <w:top w:type="dxa" w:w="80"/>
              <w:left w:type="dxa" w:w="100"/>
              <w:bottom w:type="dxa" w:w="80"/>
              <w:right w:type="dxa" w:w="100"/>
            </w:tcMar>
            <w:vAlign w:val="center"/>
          </w:tcPr>
          <w:p>
            <w:r>
              <w:rPr>
                <w:sz w:val="20"/>
                <w:szCs w:val="20"/>
              </w:rPr>
              <w:t xml:space="preserve">08-Jul-2025</w:t>
            </w:r>
          </w:p>
        </w:tc>
      </w:tr>
      <w:tr>
        <w:tc>
          <w:tcPr>
            <w:tcW w:type="dxa" w:w="3200"/>
            <w:tcMar>
              <w:top w:type="dxa" w:w="80"/>
              <w:left w:type="dxa" w:w="100"/>
              <w:bottom w:type="dxa" w:w="80"/>
              <w:right w:type="dxa" w:w="100"/>
            </w:tcMar>
            <w:vAlign w:val="center"/>
          </w:tcPr>
          <w:p>
            <w:r>
              <w:rPr>
                <w:b/>
                <w:bCs/>
                <w:sz w:val="20"/>
                <w:szCs w:val="20"/>
              </w:rPr>
              <w:t xml:space="preserve">Free-Look Review Deadline</w:t>
            </w:r>
          </w:p>
        </w:tc>
        <w:tc>
          <w:tcPr>
            <w:tcW w:type="dxa" w:w="6200"/>
            <w:tcMar>
              <w:top w:type="dxa" w:w="80"/>
              <w:left w:type="dxa" w:w="100"/>
              <w:bottom w:type="dxa" w:w="80"/>
              <w:right w:type="dxa" w:w="100"/>
            </w:tcMar>
            <w:vAlign w:val="center"/>
          </w:tcPr>
          <w:p>
            <w:r>
              <w:rPr>
                <w:sz w:val="20"/>
                <w:szCs w:val="20"/>
              </w:rPr>
              <w:t xml:space="preserve">23-Jul-2025 (15 days from receipt)</w:t>
            </w:r>
          </w:p>
        </w:tc>
      </w:tr>
      <w:tr>
        <w:tc>
          <w:tcPr>
            <w:tcW w:type="dxa" w:w="3200"/>
            <w:shd w:fill="F2F2F2" w:val="clear"/>
            <w:tcMar>
              <w:top w:type="dxa" w:w="80"/>
              <w:left w:type="dxa" w:w="100"/>
              <w:bottom w:type="dxa" w:w="80"/>
              <w:right w:type="dxa" w:w="100"/>
            </w:tcMar>
            <w:vAlign w:val="center"/>
          </w:tcPr>
          <w:p>
            <w:r>
              <w:rPr>
                <w:b/>
                <w:bCs/>
                <w:sz w:val="20"/>
                <w:szCs w:val="20"/>
              </w:rPr>
              <w:t xml:space="preserve">Policy Start Date</w:t>
            </w:r>
          </w:p>
        </w:tc>
        <w:tc>
          <w:tcPr>
            <w:tcW w:type="dxa" w:w="6200"/>
            <w:shd w:fill="F2F2F2" w:val="clear"/>
            <w:tcMar>
              <w:top w:type="dxa" w:w="80"/>
              <w:left w:type="dxa" w:w="100"/>
              <w:bottom w:type="dxa" w:w="80"/>
              <w:right w:type="dxa" w:w="100"/>
            </w:tcMar>
            <w:vAlign w:val="center"/>
          </w:tcPr>
          <w:p>
            <w:r>
              <w:rPr>
                <w:sz w:val="20"/>
                <w:szCs w:val="20"/>
              </w:rPr>
              <w:t xml:space="preserve">08-Jul-2025</w:t>
            </w:r>
          </w:p>
        </w:tc>
      </w:tr>
      <w:tr>
        <w:tc>
          <w:tcPr>
            <w:tcW w:type="dxa" w:w="3200"/>
            <w:tcMar>
              <w:top w:type="dxa" w:w="80"/>
              <w:left w:type="dxa" w:w="100"/>
              <w:bottom w:type="dxa" w:w="80"/>
              <w:right w:type="dxa" w:w="100"/>
            </w:tcMar>
            <w:vAlign w:val="center"/>
          </w:tcPr>
          <w:p>
            <w:r>
              <w:rPr>
                <w:b/>
                <w:bCs/>
                <w:sz w:val="20"/>
                <w:szCs w:val="20"/>
              </w:rPr>
              <w:t xml:space="preserve">Policy Expiry Date</w:t>
            </w:r>
          </w:p>
        </w:tc>
        <w:tc>
          <w:tcPr>
            <w:tcW w:type="dxa" w:w="6200"/>
            <w:tcMar>
              <w:top w:type="dxa" w:w="80"/>
              <w:left w:type="dxa" w:w="100"/>
              <w:bottom w:type="dxa" w:w="80"/>
              <w:right w:type="dxa" w:w="100"/>
            </w:tcMar>
            <w:vAlign w:val="center"/>
          </w:tcPr>
          <w:p>
            <w:r>
              <w:rPr>
                <w:sz w:val="20"/>
                <w:szCs w:val="20"/>
              </w:rPr>
              <w:t xml:space="preserve">07-Jul-2026</w:t>
            </w:r>
          </w:p>
        </w:tc>
      </w:tr>
      <w:tr>
        <w:tc>
          <w:tcPr>
            <w:tcW w:type="dxa" w:w="3200"/>
            <w:shd w:fill="F2F2F2" w:val="clear"/>
            <w:tcMar>
              <w:top w:type="dxa" w:w="80"/>
              <w:left w:type="dxa" w:w="100"/>
              <w:bottom w:type="dxa" w:w="80"/>
              <w:right w:type="dxa" w:w="100"/>
            </w:tcMar>
            <w:vAlign w:val="center"/>
          </w:tcPr>
          <w:p>
            <w:r>
              <w:rPr>
                <w:b/>
                <w:bCs/>
                <w:sz w:val="20"/>
                <w:szCs w:val="20"/>
              </w:rPr>
              <w:t xml:space="preserve">Renewal Notice Cut-off (Company auto-renews after this date)</w:t>
            </w:r>
          </w:p>
        </w:tc>
        <w:tc>
          <w:tcPr>
            <w:tcW w:type="dxa" w:w="6200"/>
            <w:shd w:fill="F2F2F2" w:val="clear"/>
            <w:tcMar>
              <w:top w:type="dxa" w:w="80"/>
              <w:left w:type="dxa" w:w="100"/>
              <w:bottom w:type="dxa" w:w="80"/>
              <w:right w:type="dxa" w:w="100"/>
            </w:tcMar>
            <w:vAlign w:val="center"/>
          </w:tcPr>
          <w:p>
            <w:r>
              <w:rPr>
                <w:sz w:val="20"/>
                <w:szCs w:val="20"/>
              </w:rPr>
              <w:t xml:space="preserve">23-Jun-2026 (15 days before expiry)</w:t>
            </w:r>
          </w:p>
        </w:tc>
      </w:tr>
      <w:tr>
        <w:tc>
          <w:tcPr>
            <w:tcW w:type="dxa" w:w="3200"/>
            <w:tcMar>
              <w:top w:type="dxa" w:w="80"/>
              <w:left w:type="dxa" w:w="100"/>
              <w:bottom w:type="dxa" w:w="80"/>
              <w:right w:type="dxa" w:w="100"/>
            </w:tcMar>
            <w:vAlign w:val="center"/>
          </w:tcPr>
          <w:p>
            <w:r>
              <w:rPr>
                <w:b/>
                <w:bCs/>
                <w:sz w:val="20"/>
                <w:szCs w:val="20"/>
              </w:rPr>
              <w:t xml:space="preserve">Grace Period for Renewal (NCB preserved if paid within this window)</w:t>
            </w:r>
          </w:p>
        </w:tc>
        <w:tc>
          <w:tcPr>
            <w:tcW w:type="dxa" w:w="6200"/>
            <w:tcMar>
              <w:top w:type="dxa" w:w="80"/>
              <w:left w:type="dxa" w:w="100"/>
              <w:bottom w:type="dxa" w:w="80"/>
              <w:right w:type="dxa" w:w="100"/>
            </w:tcMar>
            <w:vAlign w:val="center"/>
          </w:tcPr>
          <w:p>
            <w:r>
              <w:rPr>
                <w:sz w:val="20"/>
                <w:szCs w:val="20"/>
              </w:rPr>
              <w:t xml:space="preserve">08-Jul-2026 to 22-Jul-2026</w:t>
            </w:r>
          </w:p>
        </w:tc>
      </w:tr>
      <w:tr>
        <w:tc>
          <w:tcPr>
            <w:tcW w:type="dxa" w:w="3200"/>
            <w:shd w:fill="F2F2F2" w:val="clear"/>
            <w:tcMar>
              <w:top w:type="dxa" w:w="80"/>
              <w:left w:type="dxa" w:w="100"/>
              <w:bottom w:type="dxa" w:w="80"/>
              <w:right w:type="dxa" w:w="100"/>
            </w:tcMar>
            <w:vAlign w:val="center"/>
          </w:tcPr>
          <w:p>
            <w:r>
              <w:rPr>
                <w:b/>
                <w:bCs/>
                <w:sz w:val="20"/>
                <w:szCs w:val="20"/>
              </w:rPr>
              <w:t xml:space="preserve">Claim Intimation Deadline (per loss event)</w:t>
            </w:r>
          </w:p>
        </w:tc>
        <w:tc>
          <w:tcPr>
            <w:tcW w:type="dxa" w:w="6200"/>
            <w:shd w:fill="F2F2F2" w:val="clear"/>
            <w:tcMar>
              <w:top w:type="dxa" w:w="80"/>
              <w:left w:type="dxa" w:w="100"/>
              <w:bottom w:type="dxa" w:w="80"/>
              <w:right w:type="dxa" w:w="100"/>
            </w:tcMar>
            <w:vAlign w:val="center"/>
          </w:tcPr>
          <w:p>
            <w:r>
              <w:rPr>
                <w:sz w:val="20"/>
                <w:szCs w:val="20"/>
              </w:rPr>
              <w:t xml:space="preserve">Within 48 hours of loss</w:t>
            </w:r>
          </w:p>
        </w:tc>
      </w:tr>
      <w:tr>
        <w:tc>
          <w:tcPr>
            <w:tcW w:type="dxa" w:w="3200"/>
            <w:tcMar>
              <w:top w:type="dxa" w:w="80"/>
              <w:left w:type="dxa" w:w="100"/>
              <w:bottom w:type="dxa" w:w="80"/>
              <w:right w:type="dxa" w:w="100"/>
            </w:tcMar>
            <w:vAlign w:val="center"/>
          </w:tcPr>
          <w:p>
            <w:r>
              <w:rPr>
                <w:b/>
                <w:bCs/>
                <w:sz w:val="20"/>
                <w:szCs w:val="20"/>
              </w:rPr>
              <w:t xml:space="preserve">Claim Documentation Submission Deadline</w:t>
            </w:r>
          </w:p>
        </w:tc>
        <w:tc>
          <w:tcPr>
            <w:tcW w:type="dxa" w:w="6200"/>
            <w:tcMar>
              <w:top w:type="dxa" w:w="80"/>
              <w:left w:type="dxa" w:w="100"/>
              <w:bottom w:type="dxa" w:w="80"/>
              <w:right w:type="dxa" w:w="100"/>
            </w:tcMar>
            <w:vAlign w:val="center"/>
          </w:tcPr>
          <w:p>
            <w:r>
              <w:rPr>
                <w:sz w:val="20"/>
                <w:szCs w:val="20"/>
              </w:rPr>
              <w:t xml:space="preserve">Within 7 days of loss</w:t>
            </w:r>
          </w:p>
        </w:tc>
      </w:tr>
    </w:tbl>
    <w:p>
      <w:pPr>
        <w:pStyle w:val="Heading1"/>
        <w:spacing w:after="150" w:before="300"/>
      </w:pPr>
      <w:r>
        <w:rPr>
          <w:b/>
          <w:bCs/>
          <w:color w:val="1F3864"/>
        </w:rPr>
        <w:t xml:space="preserve">9. Nominee &amp; Contact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F2F2" w:val="clear"/>
            <w:tcMar>
              <w:top w:type="dxa" w:w="80"/>
              <w:left w:type="dxa" w:w="100"/>
              <w:bottom w:type="dxa" w:w="80"/>
              <w:right w:type="dxa" w:w="100"/>
            </w:tcMar>
            <w:vAlign w:val="center"/>
          </w:tcPr>
          <w:p>
            <w:r>
              <w:rPr>
                <w:b/>
                <w:bCs/>
                <w:sz w:val="20"/>
                <w:szCs w:val="20"/>
              </w:rPr>
              <w:t xml:space="preserve">Financier / Hypothecation</w:t>
            </w:r>
          </w:p>
        </w:tc>
        <w:tc>
          <w:tcPr>
            <w:tcW w:type="dxa" w:w="6200"/>
            <w:shd w:fill="F2F2F2" w:val="clear"/>
            <w:tcMar>
              <w:top w:type="dxa" w:w="80"/>
              <w:left w:type="dxa" w:w="100"/>
              <w:bottom w:type="dxa" w:w="80"/>
              <w:right w:type="dxa" w:w="100"/>
            </w:tcMar>
            <w:vAlign w:val="center"/>
          </w:tcPr>
          <w:p>
            <w:r>
              <w:rPr>
                <w:sz w:val="20"/>
                <w:szCs w:val="20"/>
              </w:rPr>
              <w:t xml:space="preserve">Nil (vehicle owned outright, no loan)</w:t>
            </w:r>
          </w:p>
        </w:tc>
      </w:tr>
      <w:tr>
        <w:tc>
          <w:tcPr>
            <w:tcW w:type="dxa" w:w="3200"/>
            <w:tcMar>
              <w:top w:type="dxa" w:w="80"/>
              <w:left w:type="dxa" w:w="100"/>
              <w:bottom w:type="dxa" w:w="80"/>
              <w:right w:type="dxa" w:w="100"/>
            </w:tcMar>
            <w:vAlign w:val="center"/>
          </w:tcPr>
          <w:p>
            <w:r>
              <w:rPr>
                <w:b/>
                <w:bCs/>
                <w:sz w:val="20"/>
                <w:szCs w:val="20"/>
              </w:rPr>
              <w:t xml:space="preserve">Emergency Claims Helpline</w:t>
            </w:r>
          </w:p>
        </w:tc>
        <w:tc>
          <w:tcPr>
            <w:tcW w:type="dxa" w:w="6200"/>
            <w:tcMar>
              <w:top w:type="dxa" w:w="80"/>
              <w:left w:type="dxa" w:w="100"/>
              <w:bottom w:type="dxa" w:w="80"/>
              <w:right w:type="dxa" w:w="100"/>
            </w:tcMar>
            <w:vAlign w:val="center"/>
          </w:tcPr>
          <w:p>
            <w:r>
              <w:rPr>
                <w:sz w:val="20"/>
                <w:szCs w:val="20"/>
              </w:rPr>
              <w:t xml:space="preserve">1800-XXX-4321 (toll-free, 24x7)</w:t>
            </w:r>
          </w:p>
        </w:tc>
      </w:tr>
      <w:tr>
        <w:tc>
          <w:tcPr>
            <w:tcW w:type="dxa" w:w="3200"/>
            <w:shd w:fill="F2F2F2" w:val="clear"/>
            <w:tcMar>
              <w:top w:type="dxa" w:w="80"/>
              <w:left w:type="dxa" w:w="100"/>
              <w:bottom w:type="dxa" w:w="80"/>
              <w:right w:type="dxa" w:w="100"/>
            </w:tcMar>
            <w:vAlign w:val="center"/>
          </w:tcPr>
          <w:p>
            <w:r>
              <w:rPr>
                <w:b/>
                <w:bCs/>
                <w:sz w:val="20"/>
                <w:szCs w:val="20"/>
              </w:rPr>
              <w:t xml:space="preserve">Grievance Redressal Officer</w:t>
            </w:r>
          </w:p>
        </w:tc>
        <w:tc>
          <w:tcPr>
            <w:tcW w:type="dxa" w:w="6200"/>
            <w:shd w:fill="F2F2F2" w:val="clear"/>
            <w:tcMar>
              <w:top w:type="dxa" w:w="80"/>
              <w:left w:type="dxa" w:w="100"/>
              <w:bottom w:type="dxa" w:w="80"/>
              <w:right w:type="dxa" w:w="100"/>
            </w:tcMar>
            <w:vAlign w:val="center"/>
          </w:tcPr>
          <w:p>
            <w:r>
              <w:rPr>
                <w:sz w:val="20"/>
                <w:szCs w:val="20"/>
              </w:rPr>
              <w:t xml:space="preserve">grievance@securedrive-fictional.example</w:t>
            </w:r>
          </w:p>
        </w:tc>
      </w:tr>
      <w:tr>
        <w:tc>
          <w:tcPr>
            <w:tcW w:type="dxa" w:w="3200"/>
            <w:tcMar>
              <w:top w:type="dxa" w:w="80"/>
              <w:left w:type="dxa" w:w="100"/>
              <w:bottom w:type="dxa" w:w="80"/>
              <w:right w:type="dxa" w:w="100"/>
            </w:tcMar>
            <w:vAlign w:val="center"/>
          </w:tcPr>
          <w:p>
            <w:r>
              <w:rPr>
                <w:b/>
                <w:bCs/>
                <w:sz w:val="20"/>
                <w:szCs w:val="20"/>
              </w:rPr>
              <w:t xml:space="preserve">Servicing Branch</w:t>
            </w:r>
          </w:p>
        </w:tc>
        <w:tc>
          <w:tcPr>
            <w:tcW w:type="dxa" w:w="6200"/>
            <w:tcMar>
              <w:top w:type="dxa" w:w="80"/>
              <w:left w:type="dxa" w:w="100"/>
              <w:bottom w:type="dxa" w:w="80"/>
              <w:right w:type="dxa" w:w="100"/>
            </w:tcMar>
            <w:vAlign w:val="center"/>
          </w:tcPr>
          <w:p>
            <w:r>
              <w:rPr>
                <w:sz w:val="20"/>
                <w:szCs w:val="20"/>
              </w:rPr>
              <w:t xml:space="preserve">Navi Mumbai — Sector 17 Branch</w:t>
            </w:r>
          </w:p>
        </w:tc>
      </w:tr>
    </w:tbl>
    <w:p>
      <w:pPr>
        <w:spacing w:after="120"/>
      </w:pPr>
      <w:r>
        <w:rPr>
          <w:sz w:val="21"/>
          <w:szCs w:val="21"/>
        </w:rPr>
        <w:t xml:space="preserve"/>
      </w:r>
    </w:p>
    <w:p>
      <w:pPr>
        <w:spacing w:after="120"/>
      </w:pPr>
      <w:r>
        <w:rPr>
          <w:i/>
          <w:iCs/>
          <w:color w:val="595959"/>
          <w:sz w:val="16"/>
          <w:szCs w:val="16"/>
        </w:rPr>
        <w:t xml:space="preserve">This is a fictional, synthetically generated policy document created solely for software testing purposes. All names, numbers, and identifiers are fictional and any resemblance to a real policy, insurer, or individual is coincidental.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2026-07-04T18:04:16.987Z</dcterms:created>
  <dcterms:modified xsi:type="dcterms:W3CDTF">2026-07-04T18:04:16.987Z</dcterms:modified>
</cp:coreProperties>
</file>

<file path=docProps/custom.xml><?xml version="1.0" encoding="utf-8"?>
<Properties xmlns="http://schemas.openxmlformats.org/officeDocument/2006/custom-properties" xmlns:vt="http://schemas.openxmlformats.org/officeDocument/2006/docPropsVTypes"/>
</file>