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526" w:rsidRDefault="00DC6E2A">
      <w:pPr>
        <w:rPr>
          <w:rFonts w:ascii="Arial" w:hAnsi="Arial" w:cs="Arial"/>
          <w:sz w:val="27"/>
          <w:szCs w:val="27"/>
          <w:shd w:val="clear" w:color="auto" w:fill="FFFFFF"/>
        </w:rPr>
      </w:pPr>
      <w:r>
        <w:rPr>
          <w:rFonts w:ascii="Arial" w:hAnsi="Arial" w:cs="Arial"/>
          <w:sz w:val="27"/>
          <w:szCs w:val="27"/>
          <w:shd w:val="clear" w:color="auto" w:fill="FFFFFF"/>
        </w:rPr>
        <w:t>Fall:</w:t>
      </w:r>
      <w:r>
        <w:rPr>
          <w:rFonts w:ascii="Arial" w:hAnsi="Arial" w:cs="Arial"/>
          <w:sz w:val="27"/>
          <w:szCs w:val="27"/>
        </w:rPr>
        <w:br/>
      </w:r>
      <w:r>
        <w:rPr>
          <w:rFonts w:ascii="Arial" w:hAnsi="Arial" w:cs="Arial"/>
          <w:sz w:val="27"/>
          <w:szCs w:val="27"/>
          <w:shd w:val="clear" w:color="auto" w:fill="FFFFFF"/>
        </w:rPr>
        <w:t>A. ist Studierender der Informatik und arbeitet in der Sem.-Ferien für</w:t>
      </w:r>
      <w:r>
        <w:rPr>
          <w:rFonts w:ascii="Arial" w:hAnsi="Arial" w:cs="Arial"/>
          <w:sz w:val="27"/>
          <w:szCs w:val="27"/>
        </w:rPr>
        <w:br/>
      </w:r>
      <w:r>
        <w:rPr>
          <w:rFonts w:ascii="Arial" w:hAnsi="Arial" w:cs="Arial"/>
          <w:sz w:val="27"/>
          <w:szCs w:val="27"/>
          <w:shd w:val="clear" w:color="auto" w:fill="FFFFFF"/>
        </w:rPr>
        <w:t>ein Wachunternehmen. Als er in der B-Bank Geld abholen will, wird er</w:t>
      </w:r>
      <w:r>
        <w:rPr>
          <w:rFonts w:ascii="Arial" w:hAnsi="Arial" w:cs="Arial"/>
          <w:sz w:val="27"/>
          <w:szCs w:val="27"/>
        </w:rPr>
        <w:br/>
      </w:r>
      <w:r>
        <w:rPr>
          <w:rFonts w:ascii="Arial" w:hAnsi="Arial" w:cs="Arial"/>
          <w:sz w:val="27"/>
          <w:szCs w:val="27"/>
          <w:shd w:val="clear" w:color="auto" w:fill="FFFFFF"/>
        </w:rPr>
        <w:t>von einem Bankräuber bedroht, die Geldtasche zu übergeben. Dieser</w:t>
      </w:r>
      <w:r>
        <w:rPr>
          <w:rFonts w:ascii="Arial" w:hAnsi="Arial" w:cs="Arial"/>
          <w:sz w:val="27"/>
          <w:szCs w:val="27"/>
        </w:rPr>
        <w:br/>
      </w:r>
      <w:r>
        <w:rPr>
          <w:rFonts w:ascii="Arial" w:hAnsi="Arial" w:cs="Arial"/>
          <w:sz w:val="27"/>
          <w:szCs w:val="27"/>
          <w:shd w:val="clear" w:color="auto" w:fill="FFFFFF"/>
        </w:rPr>
        <w:t>schießt zwar nicht au</w:t>
      </w:r>
      <w:r>
        <w:rPr>
          <w:rFonts w:ascii="Arial" w:hAnsi="Arial" w:cs="Arial"/>
          <w:sz w:val="27"/>
          <w:szCs w:val="27"/>
          <w:shd w:val="clear" w:color="auto" w:fill="FFFFFF"/>
        </w:rPr>
        <w:t>f</w:t>
      </w:r>
      <w:r>
        <w:rPr>
          <w:rFonts w:ascii="Arial" w:hAnsi="Arial" w:cs="Arial"/>
          <w:sz w:val="27"/>
          <w:szCs w:val="27"/>
          <w:shd w:val="clear" w:color="auto" w:fill="FFFFFF"/>
        </w:rPr>
        <w:t xml:space="preserve"> ihn, lässt aber durch Passanten festgenommen</w:t>
      </w:r>
      <w:r>
        <w:rPr>
          <w:rFonts w:ascii="Arial" w:hAnsi="Arial" w:cs="Arial"/>
          <w:sz w:val="27"/>
          <w:szCs w:val="27"/>
        </w:rPr>
        <w:br/>
      </w:r>
      <w:r>
        <w:rPr>
          <w:rFonts w:ascii="Arial" w:hAnsi="Arial" w:cs="Arial"/>
          <w:sz w:val="27"/>
          <w:szCs w:val="27"/>
          <w:shd w:val="clear" w:color="auto" w:fill="FFFFFF"/>
        </w:rPr>
        <w:t>des Gewehr fallen, es löst sich ein Schuss, A. wird in den Kopf</w:t>
      </w:r>
      <w:r>
        <w:rPr>
          <w:rFonts w:ascii="Arial" w:hAnsi="Arial" w:cs="Arial"/>
          <w:sz w:val="27"/>
          <w:szCs w:val="27"/>
        </w:rPr>
        <w:br/>
      </w:r>
      <w:r>
        <w:rPr>
          <w:rFonts w:ascii="Arial" w:hAnsi="Arial" w:cs="Arial"/>
          <w:sz w:val="27"/>
          <w:szCs w:val="27"/>
          <w:shd w:val="clear" w:color="auto" w:fill="FFFFFF"/>
        </w:rPr>
        <w:t>getroffen, wird erwerbsunfähig und zum "Pflegefall".</w:t>
      </w:r>
    </w:p>
    <w:p w:rsidR="00DC6E2A" w:rsidRDefault="00DC6E2A">
      <w:pPr>
        <w:rPr>
          <w:rFonts w:ascii="Arial" w:hAnsi="Arial" w:cs="Arial"/>
          <w:sz w:val="27"/>
          <w:szCs w:val="27"/>
          <w:shd w:val="clear" w:color="auto" w:fill="FFFFFF"/>
        </w:rPr>
      </w:pPr>
      <w:r>
        <w:rPr>
          <w:rFonts w:ascii="Arial" w:hAnsi="Arial" w:cs="Arial"/>
          <w:sz w:val="27"/>
          <w:szCs w:val="27"/>
          <w:shd w:val="clear" w:color="auto" w:fill="FFFFFF"/>
        </w:rPr>
        <w:t xml:space="preserve">Lösung: SGB VII: Es </w:t>
      </w:r>
      <w:proofErr w:type="spellStart"/>
      <w:r>
        <w:rPr>
          <w:rFonts w:ascii="Arial" w:hAnsi="Arial" w:cs="Arial"/>
          <w:sz w:val="27"/>
          <w:szCs w:val="27"/>
          <w:shd w:val="clear" w:color="auto" w:fill="FFFFFF"/>
        </w:rPr>
        <w:t>iegt</w:t>
      </w:r>
      <w:proofErr w:type="spellEnd"/>
      <w:r>
        <w:rPr>
          <w:rFonts w:ascii="Arial" w:hAnsi="Arial" w:cs="Arial"/>
          <w:sz w:val="27"/>
          <w:szCs w:val="27"/>
          <w:shd w:val="clear" w:color="auto" w:fill="FFFFFF"/>
        </w:rPr>
        <w:t xml:space="preserve"> ein Arbeitsunfall vor. Wo steht hier, was ein</w:t>
      </w:r>
      <w:r>
        <w:rPr>
          <w:rFonts w:ascii="Arial" w:hAnsi="Arial" w:cs="Arial"/>
          <w:sz w:val="27"/>
          <w:szCs w:val="27"/>
        </w:rPr>
        <w:br/>
      </w:r>
      <w:r>
        <w:rPr>
          <w:rFonts w:ascii="Arial" w:hAnsi="Arial" w:cs="Arial"/>
          <w:sz w:val="27"/>
          <w:szCs w:val="27"/>
          <w:shd w:val="clear" w:color="auto" w:fill="FFFFFF"/>
        </w:rPr>
        <w:t>Unfall ist und warum passt das hier auch?</w:t>
      </w:r>
      <w:r>
        <w:rPr>
          <w:rFonts w:ascii="Arial" w:hAnsi="Arial" w:cs="Arial"/>
          <w:sz w:val="27"/>
          <w:szCs w:val="27"/>
        </w:rPr>
        <w:br/>
      </w:r>
      <w:r>
        <w:rPr>
          <w:rFonts w:ascii="Arial" w:hAnsi="Arial" w:cs="Arial"/>
          <w:sz w:val="27"/>
          <w:szCs w:val="27"/>
          <w:shd w:val="clear" w:color="auto" w:fill="FFFFFF"/>
        </w:rPr>
        <w:t xml:space="preserve">OEG: Liegt tatsächlich eine Gewalttat vor? </w:t>
      </w:r>
      <w:proofErr w:type="spellStart"/>
      <w:r>
        <w:rPr>
          <w:rFonts w:ascii="Arial" w:hAnsi="Arial" w:cs="Arial"/>
          <w:sz w:val="27"/>
          <w:szCs w:val="27"/>
          <w:shd w:val="clear" w:color="auto" w:fill="FFFFFF"/>
        </w:rPr>
        <w:t>Lies</w:t>
      </w:r>
      <w:proofErr w:type="spellEnd"/>
      <w:r>
        <w:rPr>
          <w:rFonts w:ascii="Arial" w:hAnsi="Arial" w:cs="Arial"/>
          <w:sz w:val="27"/>
          <w:szCs w:val="27"/>
          <w:shd w:val="clear" w:color="auto" w:fill="FFFFFF"/>
        </w:rPr>
        <w:t xml:space="preserve"> § 1 Satz 1 OEG!</w:t>
      </w:r>
      <w:r>
        <w:rPr>
          <w:rFonts w:ascii="Arial" w:hAnsi="Arial" w:cs="Arial"/>
          <w:sz w:val="27"/>
          <w:szCs w:val="27"/>
        </w:rPr>
        <w:br/>
      </w:r>
      <w:r>
        <w:rPr>
          <w:rFonts w:ascii="Arial" w:hAnsi="Arial" w:cs="Arial"/>
          <w:sz w:val="27"/>
          <w:szCs w:val="27"/>
          <w:shd w:val="clear" w:color="auto" w:fill="FFFFFF"/>
        </w:rPr>
        <w:t>Tipp: Einheitliche Sicht auf das Geschehen macht das versehentliche</w:t>
      </w:r>
      <w:r>
        <w:rPr>
          <w:rFonts w:ascii="Arial" w:hAnsi="Arial" w:cs="Arial"/>
          <w:sz w:val="27"/>
          <w:szCs w:val="27"/>
        </w:rPr>
        <w:br/>
      </w:r>
      <w:r>
        <w:rPr>
          <w:rFonts w:ascii="Arial" w:hAnsi="Arial" w:cs="Arial"/>
          <w:sz w:val="27"/>
          <w:szCs w:val="27"/>
          <w:shd w:val="clear" w:color="auto" w:fill="FFFFFF"/>
        </w:rPr>
        <w:t>Auslösen des Schusses im Gesamtgeschehen des Banküberfalls zum</w:t>
      </w:r>
      <w:r>
        <w:rPr>
          <w:rFonts w:ascii="Arial" w:hAnsi="Arial" w:cs="Arial"/>
          <w:sz w:val="27"/>
          <w:szCs w:val="27"/>
        </w:rPr>
        <w:br/>
      </w:r>
      <w:r>
        <w:rPr>
          <w:rFonts w:ascii="Arial" w:hAnsi="Arial" w:cs="Arial"/>
          <w:sz w:val="27"/>
          <w:szCs w:val="27"/>
          <w:shd w:val="clear" w:color="auto" w:fill="FFFFFF"/>
        </w:rPr>
        <w:t>tätlichen Angriff.</w:t>
      </w:r>
      <w:r>
        <w:rPr>
          <w:rFonts w:ascii="Arial" w:hAnsi="Arial" w:cs="Arial"/>
          <w:sz w:val="27"/>
          <w:szCs w:val="27"/>
        </w:rPr>
        <w:br/>
      </w:r>
      <w:r>
        <w:rPr>
          <w:rFonts w:ascii="Arial" w:hAnsi="Arial" w:cs="Arial"/>
          <w:sz w:val="27"/>
          <w:szCs w:val="27"/>
          <w:shd w:val="clear" w:color="auto" w:fill="FFFFFF"/>
        </w:rPr>
        <w:t>Es sind 2 Rechtsgrundlagen einschlägig. Der Verweis am Ende des</w:t>
      </w:r>
      <w:r>
        <w:rPr>
          <w:rFonts w:ascii="Arial" w:hAnsi="Arial" w:cs="Arial"/>
          <w:sz w:val="27"/>
          <w:szCs w:val="27"/>
        </w:rPr>
        <w:br/>
      </w:r>
      <w:r>
        <w:rPr>
          <w:rFonts w:ascii="Arial" w:hAnsi="Arial" w:cs="Arial"/>
          <w:sz w:val="27"/>
          <w:szCs w:val="27"/>
          <w:shd w:val="clear" w:color="auto" w:fill="FFFFFF"/>
        </w:rPr>
        <w:t>ersten Satzes in § 1 OEG auf das Bundesversorgungsgesetz führt zu § 65</w:t>
      </w:r>
      <w:r>
        <w:rPr>
          <w:rFonts w:ascii="Arial" w:hAnsi="Arial" w:cs="Arial"/>
          <w:sz w:val="27"/>
          <w:szCs w:val="27"/>
        </w:rPr>
        <w:br/>
      </w:r>
      <w:r>
        <w:rPr>
          <w:rFonts w:ascii="Arial" w:hAnsi="Arial" w:cs="Arial"/>
          <w:sz w:val="27"/>
          <w:szCs w:val="27"/>
          <w:shd w:val="clear" w:color="auto" w:fill="FFFFFF"/>
        </w:rPr>
        <w:t>BVG, wonach SGB VII vorgeht.</w:t>
      </w:r>
      <w:r>
        <w:rPr>
          <w:rFonts w:ascii="Arial" w:hAnsi="Arial" w:cs="Arial"/>
          <w:sz w:val="27"/>
          <w:szCs w:val="27"/>
        </w:rPr>
        <w:br/>
      </w:r>
      <w:r>
        <w:rPr>
          <w:rFonts w:ascii="Arial" w:hAnsi="Arial" w:cs="Arial"/>
          <w:sz w:val="27"/>
          <w:szCs w:val="27"/>
          <w:shd w:val="clear" w:color="auto" w:fill="FFFFFF"/>
        </w:rPr>
        <w:t>Vergleichen Sie nun die jeweiligen Leistungen insbesondere im SGB VII,</w:t>
      </w:r>
      <w:r>
        <w:rPr>
          <w:rFonts w:ascii="Arial" w:hAnsi="Arial" w:cs="Arial"/>
          <w:sz w:val="27"/>
          <w:szCs w:val="27"/>
        </w:rPr>
        <w:br/>
      </w:r>
      <w:r>
        <w:rPr>
          <w:rFonts w:ascii="Arial" w:hAnsi="Arial" w:cs="Arial"/>
          <w:sz w:val="27"/>
          <w:szCs w:val="27"/>
          <w:shd w:val="clear" w:color="auto" w:fill="FFFFFF"/>
        </w:rPr>
        <w:t>wo sie unter "Pflege" einen § finden, der genau gelesen Auskunft gibt</w:t>
      </w:r>
      <w:r>
        <w:rPr>
          <w:rFonts w:ascii="Arial" w:hAnsi="Arial" w:cs="Arial"/>
          <w:sz w:val="27"/>
          <w:szCs w:val="27"/>
        </w:rPr>
        <w:br/>
      </w:r>
      <w:r>
        <w:rPr>
          <w:rFonts w:ascii="Arial" w:hAnsi="Arial" w:cs="Arial"/>
          <w:sz w:val="27"/>
          <w:szCs w:val="27"/>
          <w:shd w:val="clear" w:color="auto" w:fill="FFFFFF"/>
        </w:rPr>
        <w:t>über das, was hier zusteht.</w:t>
      </w:r>
      <w:r>
        <w:rPr>
          <w:rFonts w:ascii="Arial" w:hAnsi="Arial" w:cs="Arial"/>
          <w:sz w:val="27"/>
          <w:szCs w:val="27"/>
        </w:rPr>
        <w:br/>
      </w:r>
      <w:r>
        <w:rPr>
          <w:rFonts w:ascii="Arial" w:hAnsi="Arial" w:cs="Arial"/>
          <w:sz w:val="27"/>
          <w:szCs w:val="27"/>
          <w:shd w:val="clear" w:color="auto" w:fill="FFFFFF"/>
        </w:rPr>
        <w:t>Ist die Aussage richtig, wonach im Pflegefall fast alles Sinnvolle</w:t>
      </w:r>
      <w:r>
        <w:rPr>
          <w:rFonts w:ascii="Arial" w:hAnsi="Arial" w:cs="Arial"/>
          <w:sz w:val="27"/>
          <w:szCs w:val="27"/>
        </w:rPr>
        <w:br/>
      </w:r>
      <w:r>
        <w:rPr>
          <w:rFonts w:ascii="Arial" w:hAnsi="Arial" w:cs="Arial"/>
          <w:sz w:val="27"/>
          <w:szCs w:val="27"/>
          <w:shd w:val="clear" w:color="auto" w:fill="FFFFFF"/>
        </w:rPr>
        <w:t>geleistet wird?</w:t>
      </w:r>
    </w:p>
    <w:p w:rsidR="00DC6E2A" w:rsidRDefault="00DC6E2A">
      <w:pPr>
        <w:rPr>
          <w:rFonts w:ascii="Arial" w:hAnsi="Arial" w:cs="Arial"/>
          <w:sz w:val="27"/>
          <w:szCs w:val="27"/>
          <w:shd w:val="clear" w:color="auto" w:fill="FFFFFF"/>
        </w:rPr>
      </w:pP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Fall 1:</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 </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B. nimmt während einer "schweißtreibenden" Tätigkeit in seinem</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Beschäftigungsbetrieb öfters mal einen kräftigen Schluck aus einer</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Getränkeflasche. Versehentlich erwischt er diesmal das giftige Lösungsmittel, das</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sein Kollege dort hineingefüllt hatte, um es in Reichweite der Maschine zum</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Reinigen bereit zu haben. Er erleidet einen Gesundheitsschaden. Liegt ein</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Arbeitsunfall vor?</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Lösung: Es handelt sich auch hier um einen Arbeitsunfall, wenn auch der Begriff des Unfalls nach SGB VII eine Einwirkung von außen voraussetzt. Das innere Wirken des Lösungsmittels und das eigenhändige Beibringen ändern nichts hieran!</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 </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lastRenderedPageBreak/>
        <w:t>Fall 2: A. ist auf dem Weg zur Arbeit mit seinem PKW unterwegs. Während der</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Fahrt wird er von B. geschnitten, der gerade aus dem Krankenhaus entlassen</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worden war, nachdem er mit einer Lösungsmittelvergiftung dort behandelt</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werden musste, die ihm ein Arbeitskollege zugefügt hatte. An der nächsten</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Ampel stellt A. , der ein ausgeprägtes Sendungsbewusstsein hat, dem B. zur</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Rede. Dabei kommt es zu einer Auseinandersetzung, in deren Verlauf B. dem A.</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das Nasenbein bricht. B. kann unerkannt entkommen. Die zuständige</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Berufsgenossenschaft verweigert die Kostenübernahme mit der Begründung, es</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liege eine selbst geschaffene Gefahr vor, die Verletzung sei kein typisches</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Wegerisiko. Liegt die Versicherung richtig?</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Lösung: Man hat das als Wegeunfall im SGB VII bewertet, Mal lesen dort in § 8 SGB VII.</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Das mag verwundern, zeigt aber, wie unvorhersehbar oft der Ausgang vor Gericht ist.</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 </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Fall 3: A. kommt nun nach Hause und muss immer noch über sein</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Sendungsbewusstsein reflektieren, da bemerkt er, dass er keinen</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Wohnungsschlüssel hat. Er kehrt zum Ort der Auseinandersetzung mit B. zurück</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 um zu suchen. Wäre er bei der Suche unfallversichert?</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 </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Da A. seinen Schlüssel nicht gefunden hat, er aber trotzdem in seine Wohnung</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möchte, die im 1. Stock gelegen ist, nimmt er eine Leiter, die im Garten liegt und</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betritt damit seine Wohnung. Ist er hierbei unfallversichert?</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 </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Lösung: Weil er seinen Arbeitsweg schließlich irgendwie zu Ende bringen musste, wurden auch diese Varianten als jeweilige Arbeitsunfälle bewertet.</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 </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lastRenderedPageBreak/>
        <w:t> </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Fall 4:  Peter W. ist Sozialpädagoge in einer Tageseinrichtung für</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Kinderbetreuung. Er kocht mittags mit den 3 bis 4 Jahre alten Kindern in der</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Küche der Einrichtung. Er passt einen Moment lang nicht auf die Kinder auf, weil</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der Postbote klingelt. Da passiert es:  Der kleine Willi reißt den Topf mit heißem</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Wasser herunter und dabei wird Harald schwer verbrüht. Peter kommt zu Ihnen,</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weil die Eltern des Harald ihn verklagen wollen. Was werden Sie Peter sagen?</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 </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Lösung: Wenn sie einmal in § 2 SGB VII nachlesen!! Finden sie sowohl Kinder , Schüler als auch Studierende wieder. Diese sind gratis versichert, man nennt das unechte Unfallversicherung! Echt Unfallversichert ist der Sozialpädagoge hier. Beide, das verbrühte Kind und der Kollege sind also im übertragenen Sinne Arbeitskollegen. Das zur Grundsituation.</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Lesen sie mal jetzt an dieser Stelle die §§ 104, 105 SGB VII dazu. Die zivilrechtlichen Konsequenzen , wie Schadensersatz , entfallen hier! Sowohl Ansprüche gegen Arbeitgeber, als auch gegen Arbeitskollegen im übertragenen Sinne (hier) entfallen. Grund: Betriebsfrieden!</w:t>
      </w:r>
    </w:p>
    <w:p w:rsidR="00DC6E2A" w:rsidRPr="00DC6E2A" w:rsidRDefault="00DC6E2A" w:rsidP="00DC6E2A">
      <w:pPr>
        <w:shd w:val="clear" w:color="auto" w:fill="FFFFFF"/>
        <w:spacing w:before="100" w:beforeAutospacing="1" w:after="100" w:afterAutospacing="1" w:line="240" w:lineRule="auto"/>
        <w:rPr>
          <w:rFonts w:ascii="Calibri" w:eastAsia="Times New Roman" w:hAnsi="Calibri" w:cs="Calibri"/>
          <w:color w:val="000000"/>
          <w:sz w:val="24"/>
          <w:szCs w:val="24"/>
          <w:lang w:eastAsia="de-DE"/>
        </w:rPr>
      </w:pPr>
      <w:r w:rsidRPr="00DC6E2A">
        <w:rPr>
          <w:rFonts w:ascii="Calibri" w:eastAsia="Times New Roman" w:hAnsi="Calibri" w:cs="Calibri"/>
          <w:color w:val="000000"/>
          <w:sz w:val="24"/>
          <w:szCs w:val="24"/>
          <w:lang w:eastAsia="de-DE"/>
        </w:rPr>
        <w:t>Das kommt hier auch zur Anwendung, womit man den Sozialpädagogen beruhigen kann.</w:t>
      </w:r>
    </w:p>
    <w:p w:rsidR="00DC6E2A" w:rsidRDefault="00DC6E2A">
      <w:bookmarkStart w:id="0" w:name="_GoBack"/>
      <w:bookmarkEnd w:id="0"/>
    </w:p>
    <w:sectPr w:rsidR="00DC6E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C8"/>
    <w:rsid w:val="00761AC8"/>
    <w:rsid w:val="00802526"/>
    <w:rsid w:val="00DC6E2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47AA"/>
  <w15:chartTrackingRefBased/>
  <w15:docId w15:val="{1F630945-7009-459B-AE98-F2C02902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02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610</Words>
  <Characters>3848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2</cp:revision>
  <dcterms:created xsi:type="dcterms:W3CDTF">2020-07-21T18:30:00Z</dcterms:created>
  <dcterms:modified xsi:type="dcterms:W3CDTF">2020-07-21T18:34:00Z</dcterms:modified>
</cp:coreProperties>
</file>