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Probeklausur Wissenschaftliches Arbeiten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1). a). Stellen sie die fünf wichtigsten Publikationstypen dar! (5 Punkte)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Für Wissenschaftliche Arbeiten:</w:t>
      </w:r>
    </w:p>
    <w:p w:rsidR="00000000" w:rsidDel="00000000" w:rsidP="00000000" w:rsidRDefault="00000000" w:rsidRPr="00000000" w14:paraId="00000004">
      <w:pPr>
        <w:jc w:val="both"/>
        <w:rPr>
          <w:b w:val="1"/>
          <w:sz w:val="24"/>
          <w:szCs w:val="24"/>
        </w:rPr>
      </w:pPr>
      <w:r w:rsidDel="00000000" w:rsidR="00000000" w:rsidRPr="00000000">
        <w:rPr>
          <w:sz w:val="24"/>
          <w:szCs w:val="24"/>
          <w:rtl w:val="0"/>
        </w:rPr>
        <w:t xml:space="preserve">Wissenschaftliche Monographie (WM): Buch von Autor selbst verfasst- gut bis sehr gut</w:t>
        <w:br w:type="textWrapping"/>
        <w:t xml:space="preserve">Sammelwerk-/band: Von mehreren Autoren zusammengefasste Artikel- gut bis sehr gut</w:t>
        <w:br w:type="textWrapping"/>
        <w:t xml:space="preserve">Beitrag zu Sammelwerk: einzelner Aufsatz: gut bis sehr gut</w:t>
        <w:br w:type="textWrapping"/>
        <w:t xml:space="preserve">Allgemeiner Wissenschaftl. Zeitschriftenartikel (AZ): Artikel für Fachpublikum verfasst: gut geeignet</w:t>
        <w:br w:type="textWrapping"/>
      </w:r>
      <w:r w:rsidDel="00000000" w:rsidR="00000000" w:rsidRPr="00000000">
        <w:rPr>
          <w:b w:val="1"/>
          <w:sz w:val="24"/>
          <w:szCs w:val="24"/>
          <w:rtl w:val="0"/>
        </w:rPr>
        <w:t xml:space="preserve">Peer-Review- Fachzeitschriften Artikel: mehrstufiger Begutachtungsprozess- merhfache Korrektur- sehr gut geeignet Königsklasse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 Geben Sie je ein erfundenes Beispiel! (5 Punkte)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WM:</w:t>
        <w:br w:type="textWrapping"/>
        <w:t xml:space="preserve">Mayer, Angelina; Schmidt, Rico (2020): Einfluss und Auswirkung einer gesunder Ernährung auf das physische und psychische Wohlbefinden. 4. Auflage. Springer: Wiesbaden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Sammelband:</w:t>
        <w:br w:type="textWrapping"/>
        <w:t xml:space="preserve">Leu, Hans Ruedi/Behr, Anna von (Hrsg.) (2010). Forschung und Praxis der Frühpädagogik. Profiwissen für die Arbeit mit Kindern von 0-3 Jahren. München: Reinhardt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Beitrag zu Sammelband</w:t>
        <w:br w:type="textWrapping"/>
        <w:t xml:space="preserve">Lange, Andreas (2010). Bildung ist für alle da oder die Kolonialisierung des Kinder- und Familienlebens durch ein ambivalentes Dispositiv. In: Bühler Niederberger, Doris/Mierendorff, Johanna/Lange, Andreas (Hrsg.). Kindheit zwischen fürsorglichem Zugriff und gesellschaftlicher Teilhabe. Wiesbaden: VS, 89-114.</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AZ:</w:t>
        <w:br w:type="textWrapping"/>
        <w:t xml:space="preserve">Müller, Kerstin (2019): Dispositive Effekte der Gruppenarbeit an Hochschulen in Deutschland. Zeitschrift für Sozialpädagogik, 10, 3, 250-262</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Peer- Review- Artikel</w:t>
        <w:br w:type="textWrapping"/>
        <w:t xml:space="preserve">Sid, Manfred (2020): Kooperation innerhalb sozialer Gefüge zur Bekämpfung allgemeiner Armut in sozial benachteiligten Wohnvierteln. In: Mayer, Angelina; Schmidt, Rico (Hrsg.). Folgen der Globalisierung auf die nationale Verteilung von Gütern. Springer: Wiesbaden, 120-138</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Lieschen Müller ist Studentin der sozialen Arbeit im ersten Semester und schreibt eine Arbeit zum Thema „Armut in Deutschland“.</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Machen Sie Ihr fünf Vorschläge für eine Hausarbeit, die Lieschen Müller nicht an den Rand der Verzweiflung bringt! (10 Punkte)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Rechtzeitig anfangen. Prokrastination hat schwerwiegende Folgen, Zeit geht am Ende auf Kosten der Qualität. So passen weder Inhalt, noch Form.</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Tägliches Zeitfenster zum Schreiben einplanen. Die Arbeit abwechslungsreich gestalten und auf einen möglichst gleichbleibendes Pensum an Seiten einplanen. Ein Teil der Zeit kann zum Schreiben verwendet werden, ein weiterer Teil zur Recherche, exzerptieren, Korrektur lesen, Formatierung bearbeiten…</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Aufgabe anhand einer Fragestellung bearbeiten und gezielt nach Informationen suchen, Thema eingrenzen</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Aufhören wenn es am schönsten ist, Stichpunkte beim Schreiben vermerken, damit der Wiedereinstieg am nächsten Tag leichter gelingt</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Zeit zum Korrekturlesen am Ende einplanen, es muss nicht alles perfekt sein, wenn eine Stelle beim Schreiben nicht „klappen“ will entsprechend markieren und weiterschreiben, das Volumen ist wichtiger, die Feinarbeit kommt später</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Korrektur lesen- nicht alles auf einmal korrigieren wollen, verschiedene Aufgaben der Reihe nach bearbeiten z. B. Quellen, Abkürzungen, Zeilen und Formatierung, Rechtschreibung, Grammatik, und Inhalt getrennt von einander</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 Schreiben  Sie eine Einleitung zu einer Hausarbeit zum Thema „Soziale Integration durch den Sport: Das Beispiel Public Viewing“ (20 Sätze) (10 Punkte)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Soziale Integration gelingt auf unterschiedlichsten Ebenen. Eine besondere Bedeutung kommt beim Sport zum Tragen, denn hier spielen ethnische Unterschiede im Hinblick auf das bevorstehende Ereignis keine Rolle (</w:t>
      </w:r>
      <w:r w:rsidDel="00000000" w:rsidR="00000000" w:rsidRPr="00000000">
        <w:rPr>
          <w:smallCaps w:val="1"/>
          <w:sz w:val="24"/>
          <w:szCs w:val="24"/>
          <w:rtl w:val="0"/>
        </w:rPr>
        <w:t xml:space="preserve">Sid </w:t>
      </w:r>
      <w:r w:rsidDel="00000000" w:rsidR="00000000" w:rsidRPr="00000000">
        <w:rPr>
          <w:sz w:val="24"/>
          <w:szCs w:val="24"/>
          <w:rtl w:val="0"/>
        </w:rPr>
        <w:t xml:space="preserve">2020: 45).Eine Studie der IAB verdeutlichte ein soziokulturelles Gemeinschaftsgefühl im Hinblick auf bevorstehende Großereignisse. Es ergab sich im Jahr 2006 ein deutlich erhöhtes innerdeutsches Gemeinschaftsgefühl. Dem Public Viewing wird dabei eine besondere Bedeutung beigemessen (</w:t>
      </w:r>
      <w:r w:rsidDel="00000000" w:rsidR="00000000" w:rsidRPr="00000000">
        <w:rPr>
          <w:smallCaps w:val="1"/>
          <w:sz w:val="24"/>
          <w:szCs w:val="24"/>
          <w:rtl w:val="0"/>
        </w:rPr>
        <w:t xml:space="preserve">IAB </w:t>
      </w:r>
      <w:r w:rsidDel="00000000" w:rsidR="00000000" w:rsidRPr="00000000">
        <w:rPr>
          <w:sz w:val="24"/>
          <w:szCs w:val="24"/>
          <w:rtl w:val="0"/>
        </w:rPr>
        <w:t xml:space="preserve">2020).</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Die nachfolgende Arbeit soll die Gemeinsamkeiten und Unterschiede von Großveranstaltungen im Hinblick auf die genutzten Medien verdeutlichen. Es wird der gemeinschaftliche Zusammenhalt im Hinblick auf das gewählte Medium zur Verfolgung des Ereignisses überprüft, dabei werden Public Viewing, Stadionbesuch und privater familiärer Kreis unterschieden. Anschließend werden die aufkommenden Gemeinschaftsgefühle mit den „sonst üblichen“ Gemeinschaftsgefühlen in Relation gesetzt und der Einfluss des Public Viewings im Vergleich zu anderen Formen herausgearbeitet.</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Diese Arbeit stützt sich sowohl auf empirische als auch qualitative Quellen, ebenso werden Umfragen und Statistiken zur Ausarbeitung herangezogen. Des Weiteren werden Trends der letzten Jahre miteinander verglichen und die Veränderung der Lebensführung mit in die Betrachtung einbezogen. Internationalen Großereignissen, Fußball WM und Olympia werden mit saisonalen Großereignissen, Formel 1 und Champions League, in Relation gesetzt. Dabei geht es um den Einfluss der Erreichbarkeit der Sportereignisse und welche Bedeutung der zeitlichen Spanne zwischen den Ereignissen beigemessen werden kann.</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Bembo" w:cs="Bembo" w:eastAsia="Bembo" w:hAnsi="Bembo"/>
          <w:b w:val="1"/>
          <w:i w:val="0"/>
          <w:smallCaps w:val="0"/>
          <w:strike w:val="0"/>
          <w:color w:val="000000"/>
          <w:sz w:val="28"/>
          <w:szCs w:val="28"/>
          <w:u w:val="none"/>
          <w:shd w:fill="auto" w:val="clear"/>
          <w:vertAlign w:val="baseline"/>
        </w:rPr>
      </w:pPr>
      <w:r w:rsidDel="00000000" w:rsidR="00000000" w:rsidRPr="00000000">
        <w:rPr>
          <w:rFonts w:ascii="Bembo" w:cs="Bembo" w:eastAsia="Bembo" w:hAnsi="Bembo"/>
          <w:b w:val="1"/>
          <w:i w:val="0"/>
          <w:smallCaps w:val="0"/>
          <w:strike w:val="0"/>
          <w:color w:val="000000"/>
          <w:sz w:val="28"/>
          <w:szCs w:val="28"/>
          <w:u w:val="none"/>
          <w:shd w:fill="auto" w:val="clear"/>
          <w:vertAlign w:val="baseline"/>
          <w:rtl w:val="0"/>
        </w:rPr>
        <w:t xml:space="preserve">Literaturverzeichnis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Bembo" w:cs="Bembo" w:eastAsia="Bembo" w:hAnsi="Bembo"/>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Bembo" w:cs="Bembo" w:eastAsia="Bembo" w:hAnsi="Bembo"/>
          <w:b w:val="0"/>
          <w:i w:val="0"/>
          <w:smallCaps w:val="1"/>
          <w:strike w:val="0"/>
          <w:color w:val="000000"/>
          <w:sz w:val="22"/>
          <w:szCs w:val="22"/>
          <w:u w:val="none"/>
          <w:shd w:fill="auto" w:val="clear"/>
          <w:vertAlign w:val="baseline"/>
          <w:rtl w:val="0"/>
        </w:rPr>
        <w:t xml:space="preserve">IAB </w:t>
      </w:r>
      <w:r w:rsidDel="00000000" w:rsidR="00000000" w:rsidRPr="00000000">
        <w:rPr>
          <w:rFonts w:ascii="Bembo" w:cs="Bembo" w:eastAsia="Bembo" w:hAnsi="Bembo"/>
          <w:b w:val="0"/>
          <w:i w:val="0"/>
          <w:smallCaps w:val="0"/>
          <w:strike w:val="0"/>
          <w:color w:val="000000"/>
          <w:sz w:val="22"/>
          <w:szCs w:val="22"/>
          <w:u w:val="none"/>
          <w:shd w:fill="auto" w:val="clear"/>
          <w:vertAlign w:val="baseline"/>
          <w:rtl w:val="0"/>
        </w:rPr>
        <w:t xml:space="preserve">(2020): Großveranstaltungen und Sport, 24. Mrz 2020. Stuttgart.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Bembo" w:cs="Bembo" w:eastAsia="Bembo" w:hAnsi="Bembo"/>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Bembo" w:cs="Bembo" w:eastAsia="Bembo" w:hAnsi="Bembo"/>
          <w:b w:val="0"/>
          <w:i w:val="0"/>
          <w:smallCaps w:val="1"/>
          <w:strike w:val="0"/>
          <w:color w:val="000000"/>
          <w:sz w:val="22"/>
          <w:szCs w:val="22"/>
          <w:u w:val="none"/>
          <w:shd w:fill="auto" w:val="clear"/>
          <w:vertAlign w:val="baseline"/>
          <w:rtl w:val="0"/>
        </w:rPr>
        <w:t xml:space="preserve">Sid, Manfred </w:t>
      </w:r>
      <w:r w:rsidDel="00000000" w:rsidR="00000000" w:rsidRPr="00000000">
        <w:rPr>
          <w:rFonts w:ascii="Bembo" w:cs="Bembo" w:eastAsia="Bembo" w:hAnsi="Bembo"/>
          <w:b w:val="0"/>
          <w:i w:val="0"/>
          <w:smallCaps w:val="0"/>
          <w:strike w:val="0"/>
          <w:color w:val="000000"/>
          <w:sz w:val="22"/>
          <w:szCs w:val="22"/>
          <w:u w:val="none"/>
          <w:shd w:fill="auto" w:val="clear"/>
          <w:vertAlign w:val="baseline"/>
          <w:rtl w:val="0"/>
        </w:rPr>
        <w:t xml:space="preserve">(2020): Soziale Veränderung bei sportlichen Großveranstaltungen. In: Soziologie im Sport, Nr. 4, 35, 43–54.</w:t>
      </w:r>
    </w:p>
    <w:p w:rsidR="00000000" w:rsidDel="00000000" w:rsidP="00000000" w:rsidRDefault="00000000" w:rsidRPr="00000000" w14:paraId="0000001B">
      <w:pPr>
        <w:jc w:val="both"/>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4). Sie müssen eine Literaturrecherche zum Thema Aggressionen durch Alkoholkonsum durchführen.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Wie kommen Sie gut und effektiv auf 30 gut für eine Hausarbeit verwertbare Titel? (5 Punkte)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Worttabelle mit Synonymen erstellen- Wortfamilien suchen, probieren geht über studieren. Thesaurus als Wortlexikon verwenden, Boolsche Operatoren verwenden. Trunkierungen verwenden, Oberbegriffe, Unterbegriffe, Allgemeiner fassen bei zu wenig Quellen, auch nur bei Autoren suchen</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Verschiedene Datenbanken verwenden, Bibliographien, Hochschulbibliothek, Verlagsbibliotheken, Google Schoolar, BASE Search, bibliographische Verzeichnisse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Bei gefundener Quelle über das Literaturverzeichnisse weiter suchen, ob etwas verwertbar ist. Über das Literaturverzeichnis zu neuen Quellen „hangeln“</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b). Was machen Sie mit den recherchierten Titeln? (10 Punkte)</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Quelle prüfen! Ist Inhalt passend und Quelle verwendbar, Anlesen</w:t>
        <w:br w:type="textWrapping"/>
        <w:t xml:space="preserve">Zuordnung, Auf Inhalt und Fragestellung prüfen. Überblick, Erst komplett durchlesen</w:t>
        <w:br w:type="textWrapping"/>
        <w:t xml:space="preserve">Exzerpt erstellen, Stichworte vergeben, Bearbeitung, Zusammenfassen, Inhalte markieren</w:t>
        <w:br w:type="textWrapping"/>
        <w:t xml:space="preserve">Verwalten und sortieren, Recherchierte Literatur sinnvoll abspeichern, Nutzung von Citavi.</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Zitation in Text beachten, Zitation korrekt formatieren.</w:t>
        <w:br w:type="textWrapping"/>
        <w:t xml:space="preserve">Abwechslungsreiche Zitation- direkt, indirekt. Autor im Text vermerken z. B. Sid (2020) erläutert den Begriff der Demographie wie folgt… oder „In einer Demographie ist…“ (Sid 2020: 157).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Seitenzahlen an direkte Zitate anpassen</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[sic!] verwenden, bei falscher Schreibweise in direktem Zitat aufgrund von Rechtschreibreformen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„so erging es…im foraus [sic!]…“</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bei fehlendem Wort, …bei mehreren fehlenden Wörtern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f. – und folgende Seite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ff. mehrere folgende Seiten</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vgl. sollte nur ein grober hinweis geben und bei weiterem Interesse in Literatur nachgelesen werden</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Einheitliche Zitation, Formatierung, Fußnoten zur Erklärung nutzen</w:t>
      </w:r>
      <w:r w:rsidDel="00000000" w:rsidR="00000000" w:rsidRPr="00000000">
        <w:rPr>
          <w:sz w:val="24"/>
          <w:szCs w:val="24"/>
          <w:rtl w:val="0"/>
        </w:rPr>
        <w:t xml:space="preserve">🡪 einheitliche Struktur</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Unklare Begriffe nachschlagen</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5). Wie funktioniert das wissenschaftliche Peer-Review-Vefahren? (5 Punkte)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Ein Peer- Review ist eine unabhängige Qualitätssicherung einer wissenschaftlichen Arbeit, dabei werden durch unabhängige und zumeist anonyme Gutachter die Arbeiten kontrolliert und entsprechende Verbesserungsvorschläge angemerkt, selten werden Artikel direkt zum Druck freigegeben. Die sogenannten Peers (Gutachter) können dabei auch mehrfach über den selben Artikel lesen, bevor er in der entsprechenden Fachzeitschrift veröffentlicht wird. Dies dient der Qualitätssicherung der entsprechenden Fachzeitschrift.</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Da Wissenschaftler Wissenschaftler begutachten spricht man von Peers (Gleichrangige, Gleichrangiger) 🡪 Dies entspricht der Königsklasse unter den Publikationen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Bemb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embo" w:cs="Bembo" w:eastAsia="Bembo" w:hAnsi="Bembo"/>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385540"/>
    <w:rPr>
      <w:rFonts w:ascii="Bembo" w:hAnsi="Bembo"/>
    </w:rPr>
  </w:style>
  <w:style w:type="paragraph" w:styleId="berschrift1">
    <w:name w:val="heading 1"/>
    <w:basedOn w:val="Standard"/>
    <w:next w:val="Standard"/>
    <w:link w:val="berschrift1Zchn"/>
    <w:uiPriority w:val="9"/>
    <w:qFormat w:val="1"/>
    <w:rsid w:val="00385540"/>
    <w:pPr>
      <w:keepNext w:val="1"/>
      <w:keepLines w:val="1"/>
      <w:spacing w:after="0" w:before="480"/>
      <w:outlineLvl w:val="0"/>
    </w:pPr>
    <w:rPr>
      <w:rFonts w:cstheme="majorBidi" w:eastAsiaTheme="majorEastAsia"/>
      <w:b w:val="1"/>
      <w:bCs w:val="1"/>
      <w:sz w:val="28"/>
      <w:szCs w:val="28"/>
    </w:rPr>
  </w:style>
  <w:style w:type="paragraph" w:styleId="berschrift2">
    <w:name w:val="heading 2"/>
    <w:basedOn w:val="Standard"/>
    <w:next w:val="Standard"/>
    <w:link w:val="berschrift2Zchn"/>
    <w:uiPriority w:val="9"/>
    <w:semiHidden w:val="1"/>
    <w:unhideWhenUsed w:val="1"/>
    <w:qFormat w:val="1"/>
    <w:rsid w:val="0065117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berschrift3">
    <w:name w:val="heading 3"/>
    <w:basedOn w:val="Standard"/>
    <w:next w:val="Standard"/>
    <w:link w:val="berschrift3Zchn"/>
    <w:uiPriority w:val="9"/>
    <w:semiHidden w:val="1"/>
    <w:unhideWhenUsed w:val="1"/>
    <w:qFormat w:val="1"/>
    <w:rsid w:val="0065117C"/>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berschrift4">
    <w:name w:val="heading 4"/>
    <w:basedOn w:val="Standard"/>
    <w:next w:val="Standard"/>
    <w:link w:val="berschrift4Zchn"/>
    <w:uiPriority w:val="9"/>
    <w:semiHidden w:val="1"/>
    <w:unhideWhenUsed w:val="1"/>
    <w:qFormat w:val="1"/>
    <w:rsid w:val="0065117C"/>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berschrift5">
    <w:name w:val="heading 5"/>
    <w:basedOn w:val="Standard"/>
    <w:next w:val="Standard"/>
    <w:link w:val="berschrift5Zchn"/>
    <w:uiPriority w:val="9"/>
    <w:semiHidden w:val="1"/>
    <w:unhideWhenUsed w:val="1"/>
    <w:qFormat w:val="1"/>
    <w:rsid w:val="0065117C"/>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berschrift6">
    <w:name w:val="heading 6"/>
    <w:basedOn w:val="Standard"/>
    <w:next w:val="Standard"/>
    <w:link w:val="berschrift6Zchn"/>
    <w:uiPriority w:val="9"/>
    <w:semiHidden w:val="1"/>
    <w:unhideWhenUsed w:val="1"/>
    <w:qFormat w:val="1"/>
    <w:rsid w:val="0065117C"/>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berschrift7">
    <w:name w:val="heading 7"/>
    <w:basedOn w:val="Standard"/>
    <w:next w:val="Standard"/>
    <w:link w:val="berschrift7Zchn"/>
    <w:uiPriority w:val="9"/>
    <w:semiHidden w:val="1"/>
    <w:unhideWhenUsed w:val="1"/>
    <w:qFormat w:val="1"/>
    <w:rsid w:val="0065117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berschrift8">
    <w:name w:val="heading 8"/>
    <w:basedOn w:val="Standard"/>
    <w:next w:val="Standard"/>
    <w:link w:val="berschrift8Zchn"/>
    <w:uiPriority w:val="9"/>
    <w:semiHidden w:val="1"/>
    <w:unhideWhenUsed w:val="1"/>
    <w:qFormat w:val="1"/>
    <w:rsid w:val="0065117C"/>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paragraph" w:styleId="berschrift9">
    <w:name w:val="heading 9"/>
    <w:basedOn w:val="Standard"/>
    <w:next w:val="Standard"/>
    <w:link w:val="berschrift9Zchn"/>
    <w:uiPriority w:val="9"/>
    <w:semiHidden w:val="1"/>
    <w:unhideWhenUsed w:val="1"/>
    <w:qFormat w:val="1"/>
    <w:rsid w:val="0065117C"/>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Platzhaltertext">
    <w:name w:val="Placeholder Text"/>
    <w:basedOn w:val="Absatz-Standardschriftart"/>
    <w:uiPriority w:val="99"/>
    <w:semiHidden w:val="1"/>
    <w:rsid w:val="0065117C"/>
    <w:rPr>
      <w:color w:val="808080"/>
    </w:rPr>
  </w:style>
  <w:style w:type="paragraph" w:styleId="Sprechblasentext">
    <w:name w:val="Balloon Text"/>
    <w:basedOn w:val="Standard"/>
    <w:link w:val="SprechblasentextZchn"/>
    <w:uiPriority w:val="99"/>
    <w:semiHidden w:val="1"/>
    <w:unhideWhenUsed w:val="1"/>
    <w:rsid w:val="0065117C"/>
    <w:pPr>
      <w:spacing w:after="0"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65117C"/>
    <w:rPr>
      <w:rFonts w:ascii="Tahoma" w:cs="Tahoma" w:hAnsi="Tahoma"/>
      <w:sz w:val="16"/>
      <w:szCs w:val="16"/>
    </w:rPr>
  </w:style>
  <w:style w:type="paragraph" w:styleId="CitaviBibliographyEntry" w:customStyle="1">
    <w:name w:val="Citavi Bibliography Entry"/>
    <w:basedOn w:val="Standard"/>
    <w:link w:val="CitaviBibliographyEntryZchn"/>
    <w:uiPriority w:val="99"/>
    <w:rsid w:val="0065117C"/>
    <w:pPr>
      <w:spacing w:after="120"/>
    </w:pPr>
  </w:style>
  <w:style w:type="character" w:styleId="CitaviBibliographyEntryZchn" w:customStyle="1">
    <w:name w:val="Citavi Bibliography Entry Zchn"/>
    <w:basedOn w:val="Absatz-Standardschriftart"/>
    <w:link w:val="CitaviBibliographyEntry"/>
    <w:uiPriority w:val="99"/>
    <w:rsid w:val="0065117C"/>
  </w:style>
  <w:style w:type="paragraph" w:styleId="CitaviBibliographyHeading" w:customStyle="1">
    <w:name w:val="Citavi Bibliography Heading"/>
    <w:basedOn w:val="berschrift1"/>
    <w:link w:val="CitaviBibliographyHeadingZchn"/>
    <w:uiPriority w:val="99"/>
    <w:rsid w:val="0065117C"/>
  </w:style>
  <w:style w:type="character" w:styleId="CitaviBibliographyHeadingZchn" w:customStyle="1">
    <w:name w:val="Citavi Bibliography Heading Zchn"/>
    <w:basedOn w:val="Absatz-Standardschriftart"/>
    <w:link w:val="CitaviBibliographyHeading"/>
    <w:uiPriority w:val="99"/>
    <w:rsid w:val="0065117C"/>
    <w:rPr>
      <w:rFonts w:asciiTheme="majorHAnsi" w:cstheme="majorBidi" w:eastAsiaTheme="majorEastAsia" w:hAnsiTheme="majorHAnsi"/>
      <w:b w:val="1"/>
      <w:bCs w:val="1"/>
      <w:color w:val="365f91" w:themeColor="accent1" w:themeShade="0000BF"/>
      <w:sz w:val="28"/>
      <w:szCs w:val="28"/>
    </w:rPr>
  </w:style>
  <w:style w:type="character" w:styleId="berschrift1Zchn" w:customStyle="1">
    <w:name w:val="Überschrift 1 Zchn"/>
    <w:basedOn w:val="Absatz-Standardschriftart"/>
    <w:link w:val="berschrift1"/>
    <w:uiPriority w:val="9"/>
    <w:rsid w:val="00385540"/>
    <w:rPr>
      <w:rFonts w:ascii="Bembo" w:hAnsi="Bembo" w:cstheme="majorBidi" w:eastAsiaTheme="majorEastAsia"/>
      <w:b w:val="1"/>
      <w:bCs w:val="1"/>
      <w:sz w:val="28"/>
      <w:szCs w:val="28"/>
    </w:rPr>
  </w:style>
  <w:style w:type="paragraph" w:styleId="CitaviChapterBibliographyHeading" w:customStyle="1">
    <w:name w:val="Citavi Chapter Bibliography Heading"/>
    <w:basedOn w:val="berschrift2"/>
    <w:link w:val="CitaviChapterBibliographyHeadingZchn"/>
    <w:uiPriority w:val="99"/>
    <w:rsid w:val="0065117C"/>
  </w:style>
  <w:style w:type="character" w:styleId="CitaviChapterBibliographyHeadingZchn" w:customStyle="1">
    <w:name w:val="Citavi Chapter Bibliography Heading Zchn"/>
    <w:basedOn w:val="Absatz-Standardschriftart"/>
    <w:link w:val="CitaviChapterBibliographyHeading"/>
    <w:uiPriority w:val="99"/>
    <w:rsid w:val="0065117C"/>
    <w:rPr>
      <w:rFonts w:asciiTheme="majorHAnsi" w:cstheme="majorBidi" w:eastAsiaTheme="majorEastAsia" w:hAnsiTheme="majorHAnsi"/>
      <w:b w:val="1"/>
      <w:bCs w:val="1"/>
      <w:color w:val="4f81bd" w:themeColor="accent1"/>
      <w:sz w:val="26"/>
      <w:szCs w:val="26"/>
    </w:rPr>
  </w:style>
  <w:style w:type="character" w:styleId="berschrift2Zchn" w:customStyle="1">
    <w:name w:val="Überschrift 2 Zchn"/>
    <w:basedOn w:val="Absatz-Standardschriftart"/>
    <w:link w:val="berschrift2"/>
    <w:uiPriority w:val="9"/>
    <w:semiHidden w:val="1"/>
    <w:rsid w:val="0065117C"/>
    <w:rPr>
      <w:rFonts w:asciiTheme="majorHAnsi" w:cstheme="majorBidi" w:eastAsiaTheme="majorEastAsia" w:hAnsiTheme="majorHAnsi"/>
      <w:b w:val="1"/>
      <w:bCs w:val="1"/>
      <w:color w:val="4f81bd" w:themeColor="accent1"/>
      <w:sz w:val="26"/>
      <w:szCs w:val="26"/>
    </w:rPr>
  </w:style>
  <w:style w:type="paragraph" w:styleId="CitaviBibliographySubheading1" w:customStyle="1">
    <w:name w:val="Citavi Bibliography Subheading 1"/>
    <w:basedOn w:val="berschrift2"/>
    <w:link w:val="CitaviBibliographySubheading1Zchn"/>
    <w:uiPriority w:val="99"/>
    <w:rsid w:val="0065117C"/>
    <w:pPr>
      <w:outlineLvl w:val="9"/>
    </w:pPr>
    <w:rPr>
      <w:rFonts w:ascii="Bembo" w:hAnsi="Bembo"/>
      <w:sz w:val="24"/>
      <w:szCs w:val="24"/>
    </w:rPr>
  </w:style>
  <w:style w:type="character" w:styleId="CitaviBibliographySubheading1Zchn" w:customStyle="1">
    <w:name w:val="Citavi Bibliography Subheading 1 Zchn"/>
    <w:basedOn w:val="Absatz-Standardschriftart"/>
    <w:link w:val="CitaviBibliographySubheading1"/>
    <w:uiPriority w:val="99"/>
    <w:rsid w:val="0065117C"/>
    <w:rPr>
      <w:rFonts w:ascii="Bembo" w:hAnsi="Bembo" w:cstheme="majorBidi" w:eastAsiaTheme="majorEastAsia"/>
      <w:b w:val="1"/>
      <w:bCs w:val="1"/>
      <w:color w:val="4f81bd" w:themeColor="accent1"/>
      <w:sz w:val="24"/>
      <w:szCs w:val="24"/>
    </w:rPr>
  </w:style>
  <w:style w:type="paragraph" w:styleId="CitaviBibliographySubheading2" w:customStyle="1">
    <w:name w:val="Citavi Bibliography Subheading 2"/>
    <w:basedOn w:val="berschrift3"/>
    <w:link w:val="CitaviBibliographySubheading2Zchn"/>
    <w:uiPriority w:val="99"/>
    <w:rsid w:val="0065117C"/>
    <w:pPr>
      <w:outlineLvl w:val="9"/>
    </w:pPr>
    <w:rPr>
      <w:rFonts w:ascii="Bembo" w:hAnsi="Bembo"/>
      <w:sz w:val="24"/>
      <w:szCs w:val="24"/>
    </w:rPr>
  </w:style>
  <w:style w:type="character" w:styleId="CitaviBibliographySubheading2Zchn" w:customStyle="1">
    <w:name w:val="Citavi Bibliography Subheading 2 Zchn"/>
    <w:basedOn w:val="Absatz-Standardschriftart"/>
    <w:link w:val="CitaviBibliographySubheading2"/>
    <w:uiPriority w:val="99"/>
    <w:rsid w:val="0065117C"/>
    <w:rPr>
      <w:rFonts w:ascii="Bembo" w:hAnsi="Bembo" w:cstheme="majorBidi" w:eastAsiaTheme="majorEastAsia"/>
      <w:b w:val="1"/>
      <w:bCs w:val="1"/>
      <w:color w:val="4f81bd" w:themeColor="accent1"/>
      <w:sz w:val="24"/>
      <w:szCs w:val="24"/>
    </w:rPr>
  </w:style>
  <w:style w:type="character" w:styleId="berschrift3Zchn" w:customStyle="1">
    <w:name w:val="Überschrift 3 Zchn"/>
    <w:basedOn w:val="Absatz-Standardschriftart"/>
    <w:link w:val="berschrift3"/>
    <w:uiPriority w:val="9"/>
    <w:semiHidden w:val="1"/>
    <w:rsid w:val="0065117C"/>
    <w:rPr>
      <w:rFonts w:asciiTheme="majorHAnsi" w:cstheme="majorBidi" w:eastAsiaTheme="majorEastAsia" w:hAnsiTheme="majorHAnsi"/>
      <w:b w:val="1"/>
      <w:bCs w:val="1"/>
      <w:color w:val="4f81bd" w:themeColor="accent1"/>
    </w:rPr>
  </w:style>
  <w:style w:type="paragraph" w:styleId="CitaviBibliographySubheading3" w:customStyle="1">
    <w:name w:val="Citavi Bibliography Subheading 3"/>
    <w:basedOn w:val="berschrift4"/>
    <w:link w:val="CitaviBibliographySubheading3Zchn"/>
    <w:uiPriority w:val="99"/>
    <w:rsid w:val="0065117C"/>
    <w:pPr>
      <w:outlineLvl w:val="9"/>
    </w:pPr>
    <w:rPr>
      <w:rFonts w:ascii="Bembo" w:hAnsi="Bembo"/>
      <w:sz w:val="24"/>
      <w:szCs w:val="24"/>
    </w:rPr>
  </w:style>
  <w:style w:type="character" w:styleId="CitaviBibliographySubheading3Zchn" w:customStyle="1">
    <w:name w:val="Citavi Bibliography Subheading 3 Zchn"/>
    <w:basedOn w:val="Absatz-Standardschriftart"/>
    <w:link w:val="CitaviBibliographySubheading3"/>
    <w:uiPriority w:val="99"/>
    <w:rsid w:val="0065117C"/>
    <w:rPr>
      <w:rFonts w:ascii="Bembo" w:hAnsi="Bembo" w:cstheme="majorBidi" w:eastAsiaTheme="majorEastAsia"/>
      <w:b w:val="1"/>
      <w:bCs w:val="1"/>
      <w:i w:val="1"/>
      <w:iCs w:val="1"/>
      <w:color w:val="4f81bd" w:themeColor="accent1"/>
      <w:sz w:val="24"/>
      <w:szCs w:val="24"/>
    </w:rPr>
  </w:style>
  <w:style w:type="character" w:styleId="berschrift4Zchn" w:customStyle="1">
    <w:name w:val="Überschrift 4 Zchn"/>
    <w:basedOn w:val="Absatz-Standardschriftart"/>
    <w:link w:val="berschrift4"/>
    <w:uiPriority w:val="9"/>
    <w:semiHidden w:val="1"/>
    <w:rsid w:val="0065117C"/>
    <w:rPr>
      <w:rFonts w:asciiTheme="majorHAnsi" w:cstheme="majorBidi" w:eastAsiaTheme="majorEastAsia" w:hAnsiTheme="majorHAnsi"/>
      <w:b w:val="1"/>
      <w:bCs w:val="1"/>
      <w:i w:val="1"/>
      <w:iCs w:val="1"/>
      <w:color w:val="4f81bd" w:themeColor="accent1"/>
    </w:rPr>
  </w:style>
  <w:style w:type="paragraph" w:styleId="CitaviBibliographySubheading4" w:customStyle="1">
    <w:name w:val="Citavi Bibliography Subheading 4"/>
    <w:basedOn w:val="berschrift5"/>
    <w:link w:val="CitaviBibliographySubheading4Zchn"/>
    <w:uiPriority w:val="99"/>
    <w:rsid w:val="0065117C"/>
    <w:pPr>
      <w:outlineLvl w:val="9"/>
    </w:pPr>
    <w:rPr>
      <w:rFonts w:ascii="Bembo" w:hAnsi="Bembo"/>
      <w:sz w:val="24"/>
      <w:szCs w:val="24"/>
    </w:rPr>
  </w:style>
  <w:style w:type="character" w:styleId="CitaviBibliographySubheading4Zchn" w:customStyle="1">
    <w:name w:val="Citavi Bibliography Subheading 4 Zchn"/>
    <w:basedOn w:val="Absatz-Standardschriftart"/>
    <w:link w:val="CitaviBibliographySubheading4"/>
    <w:uiPriority w:val="99"/>
    <w:rsid w:val="0065117C"/>
    <w:rPr>
      <w:rFonts w:ascii="Bembo" w:hAnsi="Bembo" w:cstheme="majorBidi" w:eastAsiaTheme="majorEastAsia"/>
      <w:color w:val="243f60" w:themeColor="accent1" w:themeShade="00007F"/>
      <w:sz w:val="24"/>
      <w:szCs w:val="24"/>
    </w:rPr>
  </w:style>
  <w:style w:type="character" w:styleId="berschrift5Zchn" w:customStyle="1">
    <w:name w:val="Überschrift 5 Zchn"/>
    <w:basedOn w:val="Absatz-Standardschriftart"/>
    <w:link w:val="berschrift5"/>
    <w:uiPriority w:val="9"/>
    <w:semiHidden w:val="1"/>
    <w:rsid w:val="0065117C"/>
    <w:rPr>
      <w:rFonts w:asciiTheme="majorHAnsi" w:cstheme="majorBidi" w:eastAsiaTheme="majorEastAsia" w:hAnsiTheme="majorHAnsi"/>
      <w:color w:val="243f60" w:themeColor="accent1" w:themeShade="00007F"/>
    </w:rPr>
  </w:style>
  <w:style w:type="paragraph" w:styleId="CitaviBibliographySubheading5" w:customStyle="1">
    <w:name w:val="Citavi Bibliography Subheading 5"/>
    <w:basedOn w:val="berschrift6"/>
    <w:link w:val="CitaviBibliographySubheading5Zchn"/>
    <w:uiPriority w:val="99"/>
    <w:rsid w:val="0065117C"/>
    <w:pPr>
      <w:outlineLvl w:val="9"/>
    </w:pPr>
    <w:rPr>
      <w:rFonts w:ascii="Bembo" w:hAnsi="Bembo"/>
      <w:sz w:val="24"/>
      <w:szCs w:val="24"/>
    </w:rPr>
  </w:style>
  <w:style w:type="character" w:styleId="CitaviBibliographySubheading5Zchn" w:customStyle="1">
    <w:name w:val="Citavi Bibliography Subheading 5 Zchn"/>
    <w:basedOn w:val="Absatz-Standardschriftart"/>
    <w:link w:val="CitaviBibliographySubheading5"/>
    <w:uiPriority w:val="99"/>
    <w:rsid w:val="0065117C"/>
    <w:rPr>
      <w:rFonts w:ascii="Bembo" w:hAnsi="Bembo" w:cstheme="majorBidi" w:eastAsiaTheme="majorEastAsia"/>
      <w:i w:val="1"/>
      <w:iCs w:val="1"/>
      <w:color w:val="243f60" w:themeColor="accent1" w:themeShade="00007F"/>
      <w:sz w:val="24"/>
      <w:szCs w:val="24"/>
    </w:rPr>
  </w:style>
  <w:style w:type="character" w:styleId="berschrift6Zchn" w:customStyle="1">
    <w:name w:val="Überschrift 6 Zchn"/>
    <w:basedOn w:val="Absatz-Standardschriftart"/>
    <w:link w:val="berschrift6"/>
    <w:uiPriority w:val="9"/>
    <w:semiHidden w:val="1"/>
    <w:rsid w:val="0065117C"/>
    <w:rPr>
      <w:rFonts w:asciiTheme="majorHAnsi" w:cstheme="majorBidi" w:eastAsiaTheme="majorEastAsia" w:hAnsiTheme="majorHAnsi"/>
      <w:i w:val="1"/>
      <w:iCs w:val="1"/>
      <w:color w:val="243f60" w:themeColor="accent1" w:themeShade="00007F"/>
    </w:rPr>
  </w:style>
  <w:style w:type="paragraph" w:styleId="CitaviBibliographySubheading6" w:customStyle="1">
    <w:name w:val="Citavi Bibliography Subheading 6"/>
    <w:basedOn w:val="berschrift7"/>
    <w:link w:val="CitaviBibliographySubheading6Zchn"/>
    <w:uiPriority w:val="99"/>
    <w:rsid w:val="0065117C"/>
    <w:pPr>
      <w:outlineLvl w:val="9"/>
    </w:pPr>
    <w:rPr>
      <w:rFonts w:ascii="Bembo" w:hAnsi="Bembo"/>
      <w:sz w:val="24"/>
      <w:szCs w:val="24"/>
    </w:rPr>
  </w:style>
  <w:style w:type="character" w:styleId="CitaviBibliographySubheading6Zchn" w:customStyle="1">
    <w:name w:val="Citavi Bibliography Subheading 6 Zchn"/>
    <w:basedOn w:val="Absatz-Standardschriftart"/>
    <w:link w:val="CitaviBibliographySubheading6"/>
    <w:uiPriority w:val="99"/>
    <w:rsid w:val="0065117C"/>
    <w:rPr>
      <w:rFonts w:ascii="Bembo" w:hAnsi="Bembo" w:cstheme="majorBidi" w:eastAsiaTheme="majorEastAsia"/>
      <w:i w:val="1"/>
      <w:iCs w:val="1"/>
      <w:color w:val="404040" w:themeColor="text1" w:themeTint="0000BF"/>
      <w:sz w:val="24"/>
      <w:szCs w:val="24"/>
    </w:rPr>
  </w:style>
  <w:style w:type="character" w:styleId="berschrift7Zchn" w:customStyle="1">
    <w:name w:val="Überschrift 7 Zchn"/>
    <w:basedOn w:val="Absatz-Standardschriftart"/>
    <w:link w:val="berschrift7"/>
    <w:uiPriority w:val="9"/>
    <w:semiHidden w:val="1"/>
    <w:rsid w:val="0065117C"/>
    <w:rPr>
      <w:rFonts w:asciiTheme="majorHAnsi" w:cstheme="majorBidi" w:eastAsiaTheme="majorEastAsia" w:hAnsiTheme="majorHAnsi"/>
      <w:i w:val="1"/>
      <w:iCs w:val="1"/>
      <w:color w:val="404040" w:themeColor="text1" w:themeTint="0000BF"/>
    </w:rPr>
  </w:style>
  <w:style w:type="paragraph" w:styleId="CitaviBibliographySubheading7" w:customStyle="1">
    <w:name w:val="Citavi Bibliography Subheading 7"/>
    <w:basedOn w:val="berschrift8"/>
    <w:link w:val="CitaviBibliographySubheading7Zchn"/>
    <w:uiPriority w:val="99"/>
    <w:rsid w:val="0065117C"/>
    <w:pPr>
      <w:outlineLvl w:val="9"/>
    </w:pPr>
    <w:rPr>
      <w:rFonts w:ascii="Bembo" w:hAnsi="Bembo"/>
      <w:sz w:val="24"/>
      <w:szCs w:val="24"/>
    </w:rPr>
  </w:style>
  <w:style w:type="character" w:styleId="CitaviBibliographySubheading7Zchn" w:customStyle="1">
    <w:name w:val="Citavi Bibliography Subheading 7 Zchn"/>
    <w:basedOn w:val="Absatz-Standardschriftart"/>
    <w:link w:val="CitaviBibliographySubheading7"/>
    <w:uiPriority w:val="99"/>
    <w:rsid w:val="0065117C"/>
    <w:rPr>
      <w:rFonts w:ascii="Bembo" w:hAnsi="Bembo" w:cstheme="majorBidi" w:eastAsiaTheme="majorEastAsia"/>
      <w:color w:val="404040" w:themeColor="text1" w:themeTint="0000BF"/>
      <w:sz w:val="24"/>
      <w:szCs w:val="24"/>
    </w:rPr>
  </w:style>
  <w:style w:type="character" w:styleId="berschrift8Zchn" w:customStyle="1">
    <w:name w:val="Überschrift 8 Zchn"/>
    <w:basedOn w:val="Absatz-Standardschriftart"/>
    <w:link w:val="berschrift8"/>
    <w:uiPriority w:val="9"/>
    <w:semiHidden w:val="1"/>
    <w:rsid w:val="0065117C"/>
    <w:rPr>
      <w:rFonts w:asciiTheme="majorHAnsi" w:cstheme="majorBidi" w:eastAsiaTheme="majorEastAsia" w:hAnsiTheme="majorHAnsi"/>
      <w:color w:val="404040" w:themeColor="text1" w:themeTint="0000BF"/>
      <w:sz w:val="20"/>
      <w:szCs w:val="20"/>
    </w:rPr>
  </w:style>
  <w:style w:type="paragraph" w:styleId="CitaviBibliographySubheading8" w:customStyle="1">
    <w:name w:val="Citavi Bibliography Subheading 8"/>
    <w:basedOn w:val="berschrift9"/>
    <w:link w:val="CitaviBibliographySubheading8Zchn"/>
    <w:uiPriority w:val="99"/>
    <w:rsid w:val="0065117C"/>
    <w:pPr>
      <w:outlineLvl w:val="9"/>
    </w:pPr>
    <w:rPr>
      <w:rFonts w:ascii="Bembo" w:hAnsi="Bembo"/>
      <w:sz w:val="24"/>
      <w:szCs w:val="24"/>
    </w:rPr>
  </w:style>
  <w:style w:type="character" w:styleId="CitaviBibliographySubheading8Zchn" w:customStyle="1">
    <w:name w:val="Citavi Bibliography Subheading 8 Zchn"/>
    <w:basedOn w:val="Absatz-Standardschriftart"/>
    <w:link w:val="CitaviBibliographySubheading8"/>
    <w:uiPriority w:val="99"/>
    <w:rsid w:val="0065117C"/>
    <w:rPr>
      <w:rFonts w:ascii="Bembo" w:hAnsi="Bembo" w:cstheme="majorBidi" w:eastAsiaTheme="majorEastAsia"/>
      <w:i w:val="1"/>
      <w:iCs w:val="1"/>
      <w:color w:val="404040" w:themeColor="text1" w:themeTint="0000BF"/>
      <w:sz w:val="24"/>
      <w:szCs w:val="24"/>
    </w:rPr>
  </w:style>
  <w:style w:type="character" w:styleId="berschrift9Zchn" w:customStyle="1">
    <w:name w:val="Überschrift 9 Zchn"/>
    <w:basedOn w:val="Absatz-Standardschriftart"/>
    <w:link w:val="berschrift9"/>
    <w:uiPriority w:val="9"/>
    <w:semiHidden w:val="1"/>
    <w:rsid w:val="0065117C"/>
    <w:rPr>
      <w:rFonts w:asciiTheme="majorHAnsi" w:cstheme="majorBidi" w:eastAsiaTheme="majorEastAsia" w:hAnsiTheme="majorHAnsi"/>
      <w:i w:val="1"/>
      <w:iCs w:val="1"/>
      <w:color w:val="404040" w:themeColor="text1" w:themeTint="0000BF"/>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AATR0t39vYQ1Ws3evlm1VMg/rA==">AMUW2mW/DO4qYjb4J72X8eUU7sXn6P0yMmXU5Q/pyk6s7VyTIVoTfiBXXIghXoZk2TsC7Fpw3fl3aa1HNsyWabngc76R05pHy3DV8VRzWPAfVnn5CCp9TliVucG3K1FtmOIytYp6xWHmicJSAgZxzzNzkGG0uy0VBA==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2020-06-22T19:13:00Z</dcterms:created>
  <dc:creator>Andreas Lange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1.2 Texte</vt:lpwstr>
  </property>
  <property fmtid="{D5CDD505-2E9C-101B-9397-08002B2CF9AE}" pid="3" name="CitaviDocumentProperty_0">
    <vt:lpwstr>7db5c82c-b809-4764-a8df-4a696b34f0f0</vt:lpwstr>
  </property>
  <property fmtid="{D5CDD505-2E9C-101B-9397-08002B2CF9AE}" pid="4" name="CitaviDocumentProperty_8">
    <vt:lpwstr>CloudProjectKey=jvlevxy8i7zsusqthukkb46iz7q1fvlh1iadtxs0yk1l8muv; ProjectName=1.2 Texte</vt:lpwstr>
  </property>
  <property fmtid="{D5CDD505-2E9C-101B-9397-08002B2CF9AE}" pid="5" name="CitaviDocumentProperty_1">
    <vt:lpwstr>6.4.0.35</vt:lpwstr>
  </property>
</Properties>
</file>