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50824011"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temperature</w:t>
      </w:r>
      <w:r w:rsidR="000D35E2">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upwelling intensity</w:t>
      </w:r>
      <w:r w:rsidR="000D35E2">
        <w:rPr>
          <w:rFonts w:asciiTheme="minorHAnsi" w:hAnsiTheme="minorHAnsi" w:cs="Times New Roman"/>
          <w:color w:val="auto"/>
          <w:sz w:val="24"/>
          <w:szCs w:val="24"/>
        </w:rPr>
        <w:t xml:space="preserve">, and oceanic versus land precipitation </w:t>
      </w:r>
      <w:r w:rsidRPr="003E2A48">
        <w:rPr>
          <w:rFonts w:asciiTheme="minorHAnsi" w:hAnsiTheme="minorHAnsi" w:cs="Times New Roman"/>
          <w:color w:val="auto"/>
          <w:sz w:val="24"/>
          <w:szCs w:val="24"/>
        </w:rPr>
        <w:t xml:space="preserve">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950C7" w:rsidRDefault="004274D6" w:rsidP="004274D6">
      <w:pPr>
        <w:spacing w:before="100" w:beforeAutospacing="1" w:after="100" w:afterAutospacing="1"/>
        <w:rPr>
          <w:rFonts w:ascii="Times New Roman" w:eastAsia="Times New Roman" w:hAnsi="Times New Roman" w:cs="Times New Roman"/>
        </w:rPr>
      </w:pPr>
      <w:r w:rsidRPr="00A40966">
        <w:rPr>
          <w:rFonts w:ascii="NimbusRomNo9L" w:eastAsia="Times New Roman" w:hAnsi="NimbusRomNo9L" w:cs="Times New Roman"/>
        </w:rPr>
        <w:t>Eli E. Holmes</w:t>
      </w:r>
      <w:r w:rsidRPr="00A40966">
        <w:rPr>
          <w:rFonts w:ascii="NimbusRomNo9L" w:eastAsia="Times New Roman" w:hAnsi="NimbusRomNo9L" w:cs="Times New Roman"/>
          <w:position w:val="10"/>
        </w:rPr>
        <w:t>1</w:t>
      </w:r>
      <w:r w:rsidRPr="00A40966">
        <w:rPr>
          <w:rFonts w:ascii="NimbusRomNo9L" w:eastAsia="Times New Roman" w:hAnsi="NimbusRomNo9L" w:cs="Times New Roman"/>
        </w:rPr>
        <w:t>, Smitha B.R.</w:t>
      </w:r>
      <w:r w:rsidRPr="00A40966">
        <w:rPr>
          <w:rFonts w:ascii="NimbusRomNo9L" w:eastAsia="Times New Roman" w:hAnsi="NimbusRomNo9L" w:cs="Times New Roman"/>
          <w:position w:val="10"/>
        </w:rPr>
        <w:t>2</w:t>
      </w:r>
      <w:r w:rsidRPr="00A40966">
        <w:rPr>
          <w:rFonts w:ascii="NimbusRomNo9L" w:eastAsia="Times New Roman" w:hAnsi="NimbusRomNo9L" w:cs="Times New Roman"/>
        </w:rPr>
        <w:t xml:space="preserve">, </w:t>
      </w:r>
      <w:proofErr w:type="spellStart"/>
      <w:r w:rsidRPr="00A40966">
        <w:rPr>
          <w:rFonts w:ascii="NimbusRomNo9L" w:eastAsia="Times New Roman" w:hAnsi="NimbusRomNo9L" w:cs="Times New Roman"/>
        </w:rPr>
        <w:t>Nimit</w:t>
      </w:r>
      <w:proofErr w:type="spellEnd"/>
      <w:r w:rsidRPr="00A40966">
        <w:rPr>
          <w:rFonts w:ascii="NimbusRomNo9L" w:eastAsia="Times New Roman" w:hAnsi="NimbusRomNo9L" w:cs="Times New Roman"/>
        </w:rPr>
        <w:t xml:space="preserve"> Kumar</w:t>
      </w:r>
      <w:r w:rsidRPr="00A40966">
        <w:rPr>
          <w:rFonts w:ascii="NimbusRomNo9L" w:eastAsia="Times New Roman" w:hAnsi="NimbusRomNo9L" w:cs="Times New Roman"/>
          <w:position w:val="10"/>
        </w:rPr>
        <w:t>3</w:t>
      </w:r>
      <w:r w:rsidRPr="00A40966">
        <w:rPr>
          <w:rFonts w:ascii="NimbusRomNo9L" w:eastAsia="Times New Roman" w:hAnsi="NimbusRomNo9L" w:cs="Times New Roman"/>
        </w:rPr>
        <w:t xml:space="preserve">, Sourav </w:t>
      </w:r>
      <w:proofErr w:type="spellStart"/>
      <w:r w:rsidRPr="00A40966">
        <w:rPr>
          <w:rFonts w:ascii="NimbusRomNo9L" w:eastAsia="Times New Roman" w:hAnsi="NimbusRomNo9L" w:cs="Times New Roman"/>
        </w:rPr>
        <w:t>Maity</w:t>
      </w:r>
      <w:proofErr w:type="spellEnd"/>
      <w:r w:rsidRPr="00A40966">
        <w:rPr>
          <w:rFonts w:ascii="NimbusRomNo9L" w:eastAsia="Times New Roman" w:hAnsi="NimbusRomNo9L" w:cs="Times New Roman"/>
          <w:position w:val="10"/>
        </w:rPr>
        <w:t>3</w:t>
      </w:r>
      <w:r w:rsidRPr="00A40966">
        <w:rPr>
          <w:rFonts w:ascii="NimbusRomNo9L" w:eastAsia="Times New Roman" w:hAnsi="NimbusRomNo9L" w:cs="Times New Roman"/>
        </w:rPr>
        <w:t>, David M. Checkley, Jr.</w:t>
      </w:r>
      <w:r w:rsidRPr="00A40966">
        <w:rPr>
          <w:rFonts w:ascii="NimbusRomNo9L" w:eastAsia="Times New Roman" w:hAnsi="NimbusRomNo9L" w:cs="Times New Roman"/>
          <w:position w:val="10"/>
        </w:rPr>
        <w:t>4</w:t>
      </w:r>
      <w:r w:rsidRPr="00A40966">
        <w:rPr>
          <w:rFonts w:ascii="NimbusRomNo9L" w:eastAsia="Times New Roman" w:hAnsi="NimbusRomNo9L" w:cs="Times New Roman"/>
        </w:rPr>
        <w:t>, Mark L. Wells</w:t>
      </w:r>
      <w:r w:rsidRPr="00A40966">
        <w:rPr>
          <w:rFonts w:ascii="NimbusRomNo9L" w:eastAsia="Times New Roman" w:hAnsi="NimbusRomNo9L" w:cs="Times New Roman"/>
          <w:position w:val="10"/>
        </w:rPr>
        <w:t>5</w:t>
      </w:r>
      <w:r w:rsidRPr="00A40966">
        <w:rPr>
          <w:rFonts w:ascii="NimbusRomNo9L" w:eastAsia="Times New Roman" w:hAnsi="NimbusRomNo9L" w:cs="Times New Roman"/>
        </w:rPr>
        <w:t>, Vera L. Trainer</w:t>
      </w:r>
      <w:r w:rsidRPr="00A40966">
        <w:rPr>
          <w:rFonts w:ascii="NimbusRomNo9L" w:eastAsia="Times New Roman" w:hAnsi="NimbusRomNo9L" w:cs="Times New Roman"/>
          <w:position w:val="10"/>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2774EBF5" w14:textId="77777777" w:rsidR="005B529D" w:rsidRDefault="005B529D" w:rsidP="00154AF2">
      <w:pPr>
        <w:pStyle w:val="BodyText"/>
        <w:sectPr w:rsidR="005B529D">
          <w:pgSz w:w="12240" w:h="15840"/>
          <w:pgMar w:top="1440" w:right="1440" w:bottom="1440" w:left="1440" w:header="720" w:footer="720" w:gutter="0"/>
          <w:cols w:space="720"/>
        </w:sectPr>
      </w:pPr>
    </w:p>
    <w:p w14:paraId="54C4892F" w14:textId="25A78A64"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14BECD2D"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r w:rsidR="00653B25">
        <w:rPr>
          <w:rFonts w:ascii="NimbusRomNo9L" w:eastAsia="Times New Roman" w:hAnsi="NimbusRomNo9L" w:cs="Times New Roman"/>
        </w:rPr>
        <w:t xml:space="preserve"> We also thank the many INCOIS, CMLRE, and CMFRI scientists who </w:t>
      </w:r>
      <w:r w:rsidR="00614FFF">
        <w:rPr>
          <w:rFonts w:ascii="NimbusRomNo9L" w:eastAsia="Times New Roman" w:hAnsi="NimbusRomNo9L" w:cs="Times New Roman"/>
        </w:rPr>
        <w:t xml:space="preserve">participated in the research visits and who </w:t>
      </w:r>
      <w:r w:rsidR="00614FFF">
        <w:rPr>
          <w:rFonts w:ascii="NimbusRomNo9L" w:eastAsia="Times New Roman" w:hAnsi="NimbusRomNo9L" w:cs="Times New Roman"/>
        </w:rPr>
        <w:t>helped us understand the biology, fishery and fishery data and gave input into the analyses.</w:t>
      </w:r>
    </w:p>
    <w:p w14:paraId="55F5B005" w14:textId="77777777" w:rsidR="004274D6" w:rsidRDefault="004274D6">
      <w:pPr>
        <w:rPr>
          <w:rFonts w:eastAsiaTheme="majorEastAsia" w:cstheme="majorBidi"/>
          <w:b/>
          <w:bCs/>
        </w:rPr>
      </w:pPr>
      <w:r>
        <w:br w:type="page"/>
      </w:r>
    </w:p>
    <w:p w14:paraId="72B8F5FD" w14:textId="77777777" w:rsidR="005B529D" w:rsidRDefault="005B529D" w:rsidP="00354701">
      <w:pPr>
        <w:pStyle w:val="Heading1"/>
        <w:spacing w:before="0" w:line="480" w:lineRule="auto"/>
        <w:rPr>
          <w:rFonts w:asciiTheme="minorHAnsi" w:hAnsiTheme="minorHAnsi"/>
          <w:color w:val="auto"/>
          <w:sz w:val="24"/>
          <w:szCs w:val="24"/>
        </w:rPr>
        <w:sectPr w:rsidR="005B529D">
          <w:pgSz w:w="12240" w:h="15840"/>
          <w:pgMar w:top="1440" w:right="1440" w:bottom="1440" w:left="1440" w:header="720" w:footer="720" w:gutter="0"/>
          <w:cols w:space="720"/>
        </w:sectPr>
      </w:pPr>
    </w:p>
    <w:p w14:paraId="025012B3" w14:textId="4E356D8F"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75D7052A"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 xml:space="preserve">landings fluctuations using a </w:t>
      </w:r>
      <w:r w:rsidR="008D7892">
        <w:t>long-term</w:t>
      </w:r>
      <w:r w:rsidRPr="003E2A48">
        <w:t xml:space="preserve">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w:t>
      </w:r>
      <w:r w:rsidR="0044025C">
        <w:t>-a</w:t>
      </w:r>
      <w:r w:rsidRPr="003E2A48">
        <w:t xml:space="preserve">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 xml:space="preserve">time-varying responses. </w:t>
      </w:r>
      <w:r w:rsidR="004A05C8">
        <w:t>Only</w:t>
      </w:r>
      <w:r w:rsidR="00075810">
        <w:t xml:space="preserve"> two</w:t>
      </w:r>
      <w:r w:rsidR="004A05C8">
        <w:t xml:space="preserve"> covariates</w:t>
      </w:r>
      <w:r w:rsidR="00075810">
        <w:t xml:space="preserve"> explained catch variation and improved out of sample prediction: </w:t>
      </w:r>
      <w:r w:rsidR="00075810" w:rsidRPr="003E2A48">
        <w:t>the 2.5</w:t>
      </w:r>
      <w:r w:rsidR="00075810">
        <w:t>-</w:t>
      </w:r>
      <w:r w:rsidR="00075810" w:rsidRPr="003E2A48">
        <w:t xml:space="preserve">year average </w:t>
      </w:r>
      <w:r w:rsidR="004E67C5">
        <w:t xml:space="preserve">regional </w:t>
      </w:r>
      <w:r w:rsidR="00075810" w:rsidRPr="003E2A48">
        <w:t>SST</w:t>
      </w:r>
      <w:r w:rsidR="00075810" w:rsidRPr="003E2A48" w:rsidDel="00075810">
        <w:t xml:space="preserve"> </w:t>
      </w:r>
      <w:r w:rsidR="00075810">
        <w:t xml:space="preserve">and precipitation over land during June-July.  The </w:t>
      </w:r>
      <w:r w:rsidRPr="003E2A48">
        <w:t xml:space="preserve">most </w:t>
      </w:r>
      <w:r w:rsidR="00B26628">
        <w:t xml:space="preserve">significant </w:t>
      </w:r>
      <w:r w:rsidR="00075810">
        <w:t>relationship was</w:t>
      </w:r>
      <w:r w:rsidR="00075810">
        <w:t xml:space="preserve"> between</w:t>
      </w:r>
      <w:r w:rsidRPr="003E2A48">
        <w:t xml:space="preserve"> the </w:t>
      </w:r>
      <w:r w:rsidR="004E67C5">
        <w:t>SST covariate</w:t>
      </w:r>
      <w:r w:rsidR="00075810">
        <w:t xml:space="preserve"> and</w:t>
      </w:r>
      <w:r w:rsidR="00075810">
        <w:t xml:space="preserve"> </w:t>
      </w:r>
      <w:r w:rsidRPr="003E2A48">
        <w:t>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w:t>
      </w:r>
      <w:r w:rsidR="00B26628">
        <w:t>72</w:t>
      </w:r>
      <w:r w:rsidR="00E82C69" w:rsidRPr="003E2A48">
        <w:t>%</w:t>
      </w:r>
      <w:r w:rsidR="006E568E">
        <w:t xml:space="preserve"> and a 17-22% reduction in out-of-sample prediction error</w:t>
      </w:r>
      <w:r w:rsidRPr="003E2A48">
        <w:t xml:space="preserve">. </w:t>
      </w:r>
      <w:r w:rsidR="00E82C69" w:rsidRPr="003E2A48">
        <w:t>Th</w:t>
      </w:r>
      <w:r w:rsidR="00E82C69">
        <w:t xml:space="preserve">is result is consistent with previous findings </w:t>
      </w:r>
      <w:r w:rsidR="004A05C8">
        <w:t xml:space="preserve">on multiyear average SST and sardine recruitment </w:t>
      </w:r>
      <w:r w:rsidR="00E82C69">
        <w:t>and</w:t>
      </w:r>
      <w:r w:rsidRPr="003E2A48">
        <w:t xml:space="preserve"> </w:t>
      </w:r>
      <w:r w:rsidR="00E82C69" w:rsidRPr="003E2A48">
        <w:t>suggest</w:t>
      </w:r>
      <w:r w:rsidR="00E82C69">
        <w:t>s</w:t>
      </w:r>
      <w:r w:rsidR="00E82C69" w:rsidRPr="003E2A48">
        <w:t xml:space="preserve"> </w:t>
      </w:r>
      <w:r w:rsidRPr="003E2A48">
        <w:t>that th</w:t>
      </w:r>
      <w:r w:rsidR="004A05C8">
        <w:t xml:space="preserve">is covariate </w:t>
      </w:r>
      <w:r w:rsidRPr="003E2A48">
        <w:t xml:space="preserve">successfully </w:t>
      </w:r>
      <w:r w:rsidR="004E67C5">
        <w:t>integrates</w:t>
      </w:r>
      <w:r w:rsidR="004E67C5" w:rsidRPr="003E2A48">
        <w:t xml:space="preserve"> </w:t>
      </w:r>
      <w:r w:rsidRPr="003E2A48">
        <w:t xml:space="preserve">a variety of factors </w:t>
      </w:r>
      <w:r w:rsidR="00E82C69">
        <w:t>that</w:t>
      </w:r>
      <w:r w:rsidR="00E82C69" w:rsidRPr="003E2A48">
        <w:t xml:space="preserve"> </w:t>
      </w:r>
      <w:r w:rsidR="004E67C5">
        <w:t>affect sardine catch</w:t>
      </w:r>
      <w:r w:rsidRPr="003E2A48">
        <w:t xml:space="preserve">. </w:t>
      </w:r>
      <w:r w:rsidR="00B26628">
        <w:t>Models with the</w:t>
      </w:r>
      <w:r w:rsidR="00B26628">
        <w:t xml:space="preserve"> </w:t>
      </w:r>
      <w:proofErr w:type="gramStart"/>
      <w:r w:rsidR="00B26628">
        <w:t>second best</w:t>
      </w:r>
      <w:proofErr w:type="gramEnd"/>
      <w:r w:rsidR="00B26628">
        <w:t xml:space="preserve"> covariate, preci</w:t>
      </w:r>
      <w:r w:rsidR="00B26628">
        <w:t>pi</w:t>
      </w:r>
      <w:r w:rsidR="00B26628">
        <w:t xml:space="preserve">tation </w:t>
      </w:r>
      <w:r w:rsidR="00B26628">
        <w:t xml:space="preserve">over land </w:t>
      </w:r>
      <w:r w:rsidR="00B26628">
        <w:t>during the</w:t>
      </w:r>
      <w:r w:rsidR="00B26628">
        <w:t xml:space="preserve"> monsoon, had adjusted </w:t>
      </w:r>
      <w:r w:rsidR="00B26628" w:rsidRPr="003A6CEE">
        <w:rPr>
          <w:i/>
          <w:iCs/>
        </w:rPr>
        <w:t>R</w:t>
      </w:r>
      <w:r w:rsidR="00B26628" w:rsidRPr="003A6CEE">
        <w:rPr>
          <w:vertAlign w:val="superscript"/>
        </w:rPr>
        <w:t>2</w:t>
      </w:r>
      <w:r w:rsidR="00B26628" w:rsidRPr="003E2A48">
        <w:t xml:space="preserve"> </w:t>
      </w:r>
      <w:r w:rsidR="00B26628">
        <w:t>=</w:t>
      </w:r>
      <w:r w:rsidR="00B26628" w:rsidRPr="003E2A48">
        <w:t xml:space="preserve"> </w:t>
      </w:r>
      <w:r w:rsidR="00B26628">
        <w:t>7</w:t>
      </w:r>
      <w:r w:rsidR="00B26628">
        <w:t>0.5</w:t>
      </w:r>
      <w:r w:rsidR="00B26628" w:rsidRPr="003E2A48">
        <w:t>%</w:t>
      </w:r>
      <w:r w:rsidR="00B26628">
        <w:t xml:space="preserve"> and a </w:t>
      </w:r>
      <w:r w:rsidR="00B26628">
        <w:t>5</w:t>
      </w:r>
      <w:r w:rsidR="00B26628">
        <w:t>-</w:t>
      </w:r>
      <w:r w:rsidR="00B26628">
        <w:t>15</w:t>
      </w:r>
      <w:r w:rsidR="00B26628">
        <w:t>% reduction in out-of-sample prediction error</w:t>
      </w:r>
      <w:r w:rsidR="00B26628" w:rsidRPr="003E2A48">
        <w:t xml:space="preserve">. </w:t>
      </w:r>
      <w:r w:rsidR="00B26628">
        <w:t xml:space="preserve">The </w:t>
      </w:r>
      <w:r w:rsidR="002A147A">
        <w:t xml:space="preserve">earth’s </w:t>
      </w:r>
      <w:r w:rsidR="00B26628">
        <w:t xml:space="preserve">changing climate is associated with </w:t>
      </w:r>
      <w:r w:rsidR="002A147A">
        <w:t xml:space="preserve">both </w:t>
      </w:r>
      <w:r w:rsidR="002A147A">
        <w:t>rapid warming</w:t>
      </w:r>
      <w:r w:rsidR="00B26628">
        <w:t xml:space="preserve"> </w:t>
      </w:r>
      <w:r w:rsidR="002A147A">
        <w:t xml:space="preserve">in </w:t>
      </w:r>
      <w:r w:rsidR="00B26628">
        <w:t>the</w:t>
      </w:r>
      <w:r w:rsidRPr="003E2A48">
        <w:t xml:space="preserve"> Western Indian Ocean </w:t>
      </w:r>
      <w:r w:rsidR="00B26628">
        <w:t xml:space="preserve">and changes to </w:t>
      </w:r>
      <w:r w:rsidR="00B26628">
        <w:t>southwest monsoon rainfall</w:t>
      </w:r>
      <w:r w:rsidR="002A147A">
        <w:t xml:space="preserve"> patterns</w:t>
      </w:r>
      <w:r w:rsidRPr="003E2A48">
        <w:t xml:space="preserve">. Our work highlights </w:t>
      </w:r>
      <w:r w:rsidR="002A147A">
        <w:t xml:space="preserve">these as </w:t>
      </w:r>
      <w:r w:rsidR="006E1C29">
        <w:t xml:space="preserve">key variables important for </w:t>
      </w:r>
      <w:r w:rsidR="002A147A">
        <w:t xml:space="preserve">understanding and forecasting impacts on </w:t>
      </w:r>
      <w:r w:rsidR="006E1C29">
        <w:t>sardine landings.</w:t>
      </w:r>
    </w:p>
    <w:p w14:paraId="7B866957" w14:textId="4C8FE6B0" w:rsidR="00B26628" w:rsidRDefault="00B26628" w:rsidP="00764EDB">
      <w:pPr>
        <w:pStyle w:val="BodyText"/>
        <w:spacing w:before="0" w:after="0" w:line="480" w:lineRule="auto"/>
      </w:pP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w:t>
      </w:r>
      <w:r w:rsidR="00806920" w:rsidRPr="003E2A48">
        <w:lastRenderedPageBreak/>
        <w:t>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0646844F"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9B1F17">
        <w:t>At the same time, heavy monsoon rain over land causes high nutrient flux from rivers into the shallow nearshore regions which causes eutrophication and anoxia (</w:t>
      </w:r>
      <w:r w:rsidR="009B1F17" w:rsidRPr="003E2A48">
        <w:t>Chauhan et al., 2011</w:t>
      </w:r>
      <w:r w:rsidR="009B1F17">
        <w:t xml:space="preserve">).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w:t>
      </w:r>
      <w:r w:rsidR="00806920" w:rsidRPr="003E2A48">
        <w:lastRenderedPageBreak/>
        <w:t>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138128E0"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 xml:space="preserve">the utility of </w:t>
      </w:r>
      <w:r w:rsidR="0059750C">
        <w:t xml:space="preserve">oceanic </w:t>
      </w:r>
      <w:r w:rsidRPr="003E2A48">
        <w:t>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0059750C">
        <w:t xml:space="preserve"> using oceanic environmental variables</w:t>
      </w:r>
      <w:r w:rsidRPr="003E2A48">
        <w:t xml:space="preserve">. </w:t>
      </w:r>
      <w:r w:rsidR="0059750C">
        <w:t>In addition to the oceanic environmental variables, we use one non-remote sensi</w:t>
      </w:r>
      <w:r w:rsidR="0059750C">
        <w:t xml:space="preserve">ng variable: precipitation over land based on land-gauges. </w:t>
      </w:r>
      <w:r w:rsidR="0059750C">
        <w:t>River discharge due to heavy p</w:t>
      </w:r>
      <w:r w:rsidR="0059750C">
        <w:t>recipitation</w:t>
      </w:r>
      <w:r w:rsidR="0059750C">
        <w:t xml:space="preserve"> </w:t>
      </w:r>
      <w:r w:rsidR="0059750C">
        <w:t xml:space="preserve">over land </w:t>
      </w:r>
      <w:r w:rsidR="0059750C">
        <w:t xml:space="preserve">has strong impacts on the nearshore </w:t>
      </w:r>
      <w:r w:rsidR="0059750C">
        <w:t xml:space="preserve">ocean </w:t>
      </w:r>
      <w:r w:rsidR="0059750C">
        <w:t>environment during the monsoon season (</w:t>
      </w:r>
      <w:r w:rsidR="0059750C" w:rsidRPr="003E2A48">
        <w:t>Chauhan et al., 2011</w:t>
      </w:r>
      <w:r w:rsidR="0059750C">
        <w:t>).</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 xml:space="preserve">National Oceanic and </w:t>
      </w:r>
      <w:r w:rsidR="005358BF">
        <w:lastRenderedPageBreak/>
        <w:t>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6AB71799"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59750C">
        <w:t>; we are not modeling abundance rather catch</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 xml:space="preserve">be a tight index of </w:t>
      </w:r>
      <w:r w:rsidR="0059750C">
        <w:t xml:space="preserve">abundance </w:t>
      </w:r>
      <w:r w:rsidR="00F61BB6">
        <w:t>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12EAC82C" w14:textId="589CA015" w:rsidR="00CD49BA" w:rsidRPr="003E2A48" w:rsidRDefault="00806920" w:rsidP="00CD49BA">
      <w:pPr>
        <w:pStyle w:val="BodyText"/>
        <w:spacing w:before="0" w:after="0" w:line="480" w:lineRule="auto"/>
        <w:ind w:firstLine="360"/>
      </w:pPr>
      <w:r w:rsidRPr="003E2A48">
        <w:t>The available long-term effort data are indirect (</w:t>
      </w:r>
      <w:r w:rsidR="00C1000A">
        <w:t xml:space="preserve">i.e., fishery </w:t>
      </w:r>
      <w:r w:rsidRPr="003E2A48">
        <w:t>boat composition at multiyear intervals)</w:t>
      </w:r>
      <w:r w:rsidR="00C1000A">
        <w:t>,</w:t>
      </w:r>
      <w:r w:rsidRPr="003E2A48">
        <w:t xml:space="preserve"> and estimates of </w:t>
      </w:r>
      <w:r w:rsidR="00C1000A">
        <w:t xml:space="preserve">the </w:t>
      </w:r>
      <w:r w:rsidRPr="003E2A48">
        <w:t>number</w:t>
      </w:r>
      <w:r w:rsidR="00B801AB">
        <w:t>s</w:t>
      </w:r>
      <w:r w:rsidRPr="003E2A48">
        <w:t xml:space="preserve"> of trips </w:t>
      </w:r>
      <w:r w:rsidR="00B801AB">
        <w:t>and</w:t>
      </w:r>
      <w:r w:rsidR="00B801AB" w:rsidRPr="003E2A48">
        <w:t xml:space="preserve"> </w:t>
      </w:r>
      <w:r w:rsidRPr="003E2A48">
        <w:t>hours fishing are available</w:t>
      </w:r>
      <w:r w:rsidR="00C1000A" w:rsidRPr="00C1000A">
        <w:t xml:space="preserve"> </w:t>
      </w:r>
      <w:r w:rsidR="00C1000A">
        <w:t xml:space="preserve">for </w:t>
      </w:r>
      <w:r w:rsidR="00C1000A" w:rsidRPr="003E2A48">
        <w:t>only</w:t>
      </w:r>
      <w:r w:rsidRPr="003E2A48">
        <w:t xml:space="preserve"> a few recent years and are approximate </w:t>
      </w:r>
      <w:r w:rsidR="00B801AB">
        <w:t>due to</w:t>
      </w:r>
      <w:r w:rsidR="00B801AB" w:rsidRPr="003E2A48">
        <w:t xml:space="preserve"> </w:t>
      </w:r>
      <w:r w:rsidRPr="003E2A48">
        <w:t xml:space="preserve">the </w:t>
      </w:r>
      <w:r w:rsidR="00B801AB">
        <w:t>diversity of</w:t>
      </w:r>
      <w:r w:rsidR="002C77A6">
        <w:t xml:space="preserve"> fishery</w:t>
      </w:r>
      <w:r w:rsidR="00B801AB">
        <w:t xml:space="preserve"> </w:t>
      </w:r>
      <w:r w:rsidRPr="003E2A48">
        <w:t>vessel</w:t>
      </w:r>
      <w:r w:rsidR="00B801AB">
        <w:t xml:space="preserve">s </w:t>
      </w:r>
      <w:r w:rsidRPr="003E2A48">
        <w:t>and</w:t>
      </w:r>
      <w:r w:rsidR="002C77A6">
        <w:t xml:space="preserve"> to</w:t>
      </w:r>
      <w:r w:rsidRPr="003E2A48">
        <w:t xml:space="preserve"> sampling constraints. Nonetheless</w:t>
      </w:r>
      <w:r w:rsidR="00B801AB">
        <w:t>,</w:t>
      </w:r>
      <w:r w:rsidRPr="003E2A48">
        <w:t xml:space="preserve"> the number and size of boats involved in the fishery </w:t>
      </w:r>
      <w:r w:rsidR="00B801AB" w:rsidRPr="003E2A48">
        <w:t>ha</w:t>
      </w:r>
      <w:r w:rsidR="00B801AB">
        <w:t>ve</w:t>
      </w:r>
      <w:r w:rsidR="00B801AB" w:rsidRPr="003E2A48">
        <w:t xml:space="preserve"> </w:t>
      </w:r>
      <w:r w:rsidRPr="003E2A48">
        <w:t xml:space="preserve">been increasing. Oil sardines are caught primarily by ring seines, different sizes </w:t>
      </w:r>
      <w:r w:rsidR="00B801AB">
        <w:t xml:space="preserve">of which </w:t>
      </w:r>
      <w:r w:rsidRPr="003E2A48">
        <w:t xml:space="preserve">are used on traditional small boats and large mechanized ships (Das &amp; Edwin, 2018). </w:t>
      </w:r>
      <w:r w:rsidRPr="003E2A48">
        <w:lastRenderedPageBreak/>
        <w:t xml:space="preserve">Since 1985, the ring seine fishery has expanded steadily in terms of horsepower, </w:t>
      </w:r>
      <w:r w:rsidR="00B801AB">
        <w:t xml:space="preserve">boat </w:t>
      </w:r>
      <w:r w:rsidRPr="003E2A48">
        <w:t xml:space="preserve">size, and </w:t>
      </w:r>
      <w:r w:rsidR="00B801AB">
        <w:t xml:space="preserve">net </w:t>
      </w:r>
      <w:r w:rsidRPr="003E2A48">
        <w:t xml:space="preserve">length. </w:t>
      </w:r>
      <w:r w:rsidR="00B801AB">
        <w:t>C</w:t>
      </w:r>
      <w:r w:rsidRPr="003E2A48">
        <w:t>oncern</w:t>
      </w:r>
      <w:r w:rsidR="00B801AB">
        <w:t xml:space="preserve"> about</w:t>
      </w:r>
      <w:r w:rsidRPr="003E2A48">
        <w:t xml:space="preserve"> overfishing </w:t>
      </w:r>
      <w:r w:rsidR="00B801AB">
        <w:t>has been spurred by</w:t>
      </w:r>
      <w:r w:rsidRPr="003E2A48">
        <w:t xml:space="preserve"> recent </w:t>
      </w:r>
      <w:r w:rsidR="00B801AB">
        <w:t xml:space="preserve">(post-2015) </w:t>
      </w:r>
      <w:r w:rsidRPr="003E2A48">
        <w:t xml:space="preserve">oil sardine declines (Kripa et al., 2018). </w:t>
      </w:r>
      <w:r w:rsidR="00B801AB">
        <w:t>We used an autoregressive</w:t>
      </w:r>
      <w:r w:rsidR="00B801AB" w:rsidRPr="003E2A48">
        <w:t xml:space="preserve"> </w:t>
      </w:r>
      <w:r w:rsidRPr="003E2A48">
        <w:t>base catch model</w:t>
      </w:r>
      <w:r w:rsidR="00B801AB">
        <w:t xml:space="preserve"> to</w:t>
      </w:r>
      <w:r w:rsidRPr="003E2A48">
        <w:t xml:space="preserve"> capture smooth landing trends due to increased effort (or multiyear changes in biomass)</w:t>
      </w:r>
      <w:r w:rsidR="00CD49BA">
        <w:t>, and environmental covariates are used to explain variation that cannot be explained by this base model.</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32C13C53"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w:t>
      </w:r>
      <w:proofErr w:type="spellStart"/>
      <w:r w:rsidRPr="003E2A48">
        <w:t>Krishnakumar</w:t>
      </w:r>
      <w:proofErr w:type="spellEnd"/>
      <w:r w:rsidRPr="003E2A48">
        <w:t xml:space="preserve">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316B07FF"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t xml:space="preserve">catches </w:t>
      </w:r>
      <w:r w:rsidR="002C77A6">
        <w:t>in</w:t>
      </w:r>
      <w:r w:rsidR="00403C3A">
        <w:t xml:space="preserve"> </w:t>
      </w:r>
      <w:r w:rsidR="00806920" w:rsidRPr="003E2A48">
        <w:t xml:space="preserve">most years (Antony Raja, 1970; Nair et al., 2016). </w:t>
      </w:r>
      <w:r w:rsidR="00D2774A">
        <w:t xml:space="preserve">The peak catches occur in </w:t>
      </w:r>
      <w:r w:rsidR="00D2774A">
        <w:lastRenderedPageBreak/>
        <w:t>October-December (Figure 3)</w:t>
      </w:r>
      <w:r w:rsidR="00806920" w:rsidRPr="003E2A48">
        <w:t xml:space="preserve">. Oil sardines remain inshore </w:t>
      </w:r>
      <w:r w:rsidR="00403C3A">
        <w:t xml:space="preserve">to </w:t>
      </w:r>
      <w:r w:rsidR="00806920" w:rsidRPr="003E2A48">
        <w:t>feed</w:t>
      </w:r>
      <w:r w:rsidR="00403C3A">
        <w:t xml:space="preserve"> in</w:t>
      </w:r>
      <w:r w:rsidR="00806920" w:rsidRPr="003E2A48">
        <w:t xml:space="preserve"> winter</w:t>
      </w:r>
      <w:r w:rsidR="00D2774A">
        <w:t xml:space="preserve"> and catches remain high from January to March</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w:t>
      </w:r>
      <w:r w:rsidR="00CD49BA">
        <w:t>er</w:t>
      </w:r>
      <w:r w:rsidR="00806920" w:rsidRPr="003E2A48">
        <w:t xml:space="preserve"> during this </w:t>
      </w:r>
      <w:r w:rsidR="00403C3A">
        <w:t>period</w:t>
      </w:r>
      <w:r w:rsidR="00403C3A" w:rsidRPr="003E2A48">
        <w:t xml:space="preserve"> </w:t>
      </w:r>
      <w:r w:rsidR="00806920" w:rsidRPr="003E2A48">
        <w:t>for all size classes</w:t>
      </w:r>
      <w:r w:rsidR="00CD49BA">
        <w:t xml:space="preserve"> (Figure 3)</w:t>
      </w:r>
      <w:r w:rsidR="00806920" w:rsidRPr="003E2A48">
        <w:t xml:space="preserve">.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547E1EBB" w:rsidR="008062F9" w:rsidRDefault="00806920" w:rsidP="00354701">
      <w:pPr>
        <w:pStyle w:val="BodyText"/>
        <w:spacing w:before="0" w:after="0" w:line="480" w:lineRule="auto"/>
        <w:ind w:firstLine="360"/>
      </w:pPr>
      <w:r w:rsidRPr="003E2A48">
        <w:t>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D2774A">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79214B4D"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rsidR="000B4D98">
        <w:t xml:space="preserve">. </w:t>
      </w:r>
      <w:r>
        <w:t>accounting for various boat and gear types</w:t>
      </w:r>
      <w:r w:rsidR="000B4D98">
        <w:t xml:space="preserve"> (</w:t>
      </w:r>
      <w:r w:rsidR="00806920" w:rsidRPr="003E2A48">
        <w:t xml:space="preserve">Srinath et al., 2005). </w:t>
      </w:r>
      <w:r>
        <w:t xml:space="preserve">We used CMFRI data from </w:t>
      </w:r>
      <w:r w:rsidR="000B4D98">
        <w:t xml:space="preserve">the Indian state of </w:t>
      </w:r>
      <w:r>
        <w:t>Kerala</w:t>
      </w:r>
      <w:r w:rsidR="000B4D98">
        <w:t xml:space="preserve"> (Figure 1)</w:t>
      </w:r>
      <w:r>
        <w:t xml:space="preserve">,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in Kerala were obtained from CMFRI reports (1956</w:t>
      </w:r>
      <w:r>
        <w:t>–</w:t>
      </w:r>
      <w:r w:rsidR="00806920" w:rsidRPr="003E2A48">
        <w:t xml:space="preserve">1984) and online </w:t>
      </w:r>
      <w:r w:rsidR="00806920" w:rsidRPr="003E2A48">
        <w:lastRenderedPageBreak/>
        <w:t>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r w:rsidR="000B4D98">
        <w:t xml:space="preserve"> and to facilitate additive modeling</w:t>
      </w:r>
      <w:r w:rsidR="00806920" w:rsidRPr="003E2A48">
        <w:t>.</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14ECCE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r w:rsidR="003150AE">
        <w:t xml:space="preserve"> Since the AVHRR data are only available from 1981, we used the </w:t>
      </w:r>
      <w:r w:rsidR="003150AE">
        <w:t>International Comprehensive Ocean-Atmosphere Data Set (ICOADS) SST pro</w:t>
      </w:r>
      <w:r w:rsidR="003150AE">
        <w:t>duct</w:t>
      </w:r>
      <w:r w:rsidR="003150AE">
        <w:t xml:space="preserve">, available from 1960 on a </w:t>
      </w:r>
      <w:r w:rsidR="003150AE" w:rsidRPr="003E2A48">
        <w:t>1</w:t>
      </w:r>
      <w:r w:rsidR="003150AE">
        <w:t>°</w:t>
      </w:r>
      <w:r w:rsidR="003150AE" w:rsidRPr="003E2A48">
        <w:t xml:space="preserve"> </w:t>
      </w:r>
      <w:r w:rsidR="003150AE">
        <w:t>×</w:t>
      </w:r>
      <w:r w:rsidR="003150AE" w:rsidRPr="003E2A48">
        <w:t xml:space="preserve"> 1</w:t>
      </w:r>
      <w:r w:rsidR="003150AE">
        <w:t>°</w:t>
      </w:r>
      <w:r w:rsidR="003150AE" w:rsidRPr="003E2A48">
        <w:t xml:space="preserve"> </w:t>
      </w:r>
      <w:r w:rsidR="003150AE">
        <w:t xml:space="preserve">grid, </w:t>
      </w:r>
      <w:r w:rsidR="003150AE">
        <w:t xml:space="preserve">for the analysis involving catch </w:t>
      </w:r>
      <w:r w:rsidR="003150AE">
        <w:t>prior to 1981</w:t>
      </w:r>
      <w:r w:rsidR="003150AE">
        <w:t xml:space="preserve">. The </w:t>
      </w:r>
      <w:r w:rsidR="003150AE">
        <w:t xml:space="preserve">nearshore (&lt;80km) </w:t>
      </w:r>
      <w:r w:rsidR="003150AE">
        <w:t>ICOADS SST</w:t>
      </w:r>
      <w:r w:rsidR="003150AE">
        <w:t xml:space="preserve"> measurements are not as accurate as AVHRR and </w:t>
      </w:r>
      <w:r w:rsidR="003150AE">
        <w:t xml:space="preserve">could not be used to compute the </w:t>
      </w:r>
      <w:r w:rsidR="00B16E16">
        <w:t xml:space="preserve">nearshore-offshore </w:t>
      </w:r>
      <w:r w:rsidR="003150AE">
        <w:t>SST</w:t>
      </w:r>
      <w:r w:rsidR="00B16E16">
        <w:t xml:space="preserve"> used as an upwelling metric.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 xml:space="preserve">National Aeronautics and Space </w:t>
      </w:r>
      <w:r w:rsidR="002F6A98">
        <w:lastRenderedPageBreak/>
        <w:t>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Moderate 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55CD65FE"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w:t>
      </w:r>
      <w:r w:rsidR="000B4D98">
        <w:t>2</w:t>
      </w:r>
      <w:r w:rsidRPr="003E2A48">
        <w:t xml:space="preserve">). </w:t>
      </w:r>
      <w:r w:rsidR="000F63A6" w:rsidRPr="003E2A48">
        <w:t>SST</w:t>
      </w:r>
      <w:r w:rsidR="000F63A6">
        <w:t>s were obtained from</w:t>
      </w:r>
      <w:r w:rsidR="000F63A6" w:rsidRPr="003E2A48">
        <w:t xml:space="preserve"> the </w:t>
      </w:r>
      <w:r w:rsidR="00B16E16">
        <w:t xml:space="preserve">AVHRR </w:t>
      </w:r>
      <w:r w:rsidR="000F63A6" w:rsidRPr="003E2A48">
        <w:t>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n Ekman’s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w:t>
      </w:r>
      <w:r w:rsidR="00750EE9">
        <w:lastRenderedPageBreak/>
        <w:t>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EC432CD"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r w:rsidR="000B4D98">
        <w:t xml:space="preserve"> The DMI and our regional SST data</w:t>
      </w:r>
      <w:r w:rsidR="000B4D98">
        <w:t xml:space="preserve"> </w:t>
      </w:r>
      <w:r w:rsidR="000B4D98">
        <w:t>off the Kerala coast are correlated (Figure S7).</w:t>
      </w:r>
    </w:p>
    <w:p w14:paraId="26EA89D6" w14:textId="77777777" w:rsidR="000D07BB" w:rsidRPr="003E2A48" w:rsidRDefault="000D07BB" w:rsidP="00F46FF8">
      <w:pPr>
        <w:pStyle w:val="BodyText"/>
        <w:spacing w:before="0" w:after="0" w:line="480" w:lineRule="auto"/>
        <w:ind w:firstLine="360"/>
      </w:pPr>
    </w:p>
    <w:p w14:paraId="24D710C0" w14:textId="5A4E8717"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bookmarkEnd w:id="9"/>
      <w:r w:rsidR="00F06475" w:rsidRPr="00F46FF8">
        <w:rPr>
          <w:rFonts w:asciiTheme="minorHAnsi" w:hAnsiTheme="minorHAnsi"/>
          <w:iCs/>
          <w:color w:val="auto"/>
          <w:sz w:val="24"/>
          <w:szCs w:val="24"/>
        </w:rPr>
        <w:t>Hypothes</w:t>
      </w:r>
      <w:r w:rsidR="00F06475">
        <w:rPr>
          <w:rFonts w:asciiTheme="minorHAnsi" w:hAnsiTheme="minorHAnsi"/>
          <w:iCs/>
          <w:color w:val="auto"/>
          <w:sz w:val="24"/>
          <w:szCs w:val="24"/>
        </w:rPr>
        <w:t>ized drivers</w:t>
      </w:r>
    </w:p>
    <w:p w14:paraId="1C46B425" w14:textId="2DA9FBA5" w:rsidR="000B4D98" w:rsidRDefault="00806920" w:rsidP="00F46FF8">
      <w:pPr>
        <w:pStyle w:val="BodyText"/>
        <w:spacing w:before="0" w:after="0" w:line="480" w:lineRule="auto"/>
      </w:pPr>
      <w:r w:rsidRPr="003E2A48">
        <w:t xml:space="preserve">Our statistical tests were structured around </w:t>
      </w:r>
      <w:r w:rsidR="00F06475">
        <w:t xml:space="preserve">tests of </w:t>
      </w:r>
      <w:r w:rsidRPr="003E2A48">
        <w:t>specific hypothes</w:t>
      </w:r>
      <w:r w:rsidR="00F06475">
        <w:t>ized drivers of catch variability</w:t>
      </w:r>
      <w:r w:rsidRPr="003E2A48">
        <w:t xml:space="preserve"> (Table 1) based on </w:t>
      </w:r>
      <w:r w:rsidR="00F06475">
        <w:t xml:space="preserve">the </w:t>
      </w:r>
      <w:r w:rsidRPr="003E2A48">
        <w:t xml:space="preserve">biological information concerning how environmental conditions affect sardine survival and recruitment and affect exposure of Indian oil sardines to the coastal fishery. </w:t>
      </w:r>
      <w:r w:rsidR="00F06475">
        <w:t xml:space="preserve">These tests consisted of a specific response variable (catch either during the monsoon or after) and a covariate in a specific time-frame during the current or prior season. </w:t>
      </w:r>
      <w:r w:rsidR="00BB18F1">
        <w:t xml:space="preserve">We hypothesized that variables affecting or correlated with the inshore movement of sardines would correlate with </w:t>
      </w:r>
      <w:r w:rsidRPr="003E2A48">
        <w:t>Jul</w:t>
      </w:r>
      <w:r w:rsidR="00BB18F1">
        <w:t>y–</w:t>
      </w:r>
      <w:r w:rsidRPr="003E2A48">
        <w:t>Sep</w:t>
      </w:r>
      <w:r w:rsidR="00BB18F1">
        <w:t xml:space="preserve">tember (monsoon- and spawning-period) landings, and that variables correlated with spawning strength and </w:t>
      </w:r>
      <w:r w:rsidR="00BB18F1">
        <w:lastRenderedPageBreak/>
        <w:t>larval/juvenile survival would correlate with October–</w:t>
      </w:r>
      <w:r w:rsidR="000B4D98">
        <w:t xml:space="preserve">March </w:t>
      </w:r>
      <w:r w:rsidR="00BB18F1">
        <w:t>(</w:t>
      </w:r>
      <w:r w:rsidRPr="003E2A48">
        <w:t>post-monsoon</w:t>
      </w:r>
      <w:r w:rsidR="00BB18F1">
        <w:t>, mixed-age catch–period) landings</w:t>
      </w:r>
      <w:r w:rsidRPr="003E2A48">
        <w:t xml:space="preserve"> </w:t>
      </w:r>
      <w:r w:rsidR="00BB18F1">
        <w:t xml:space="preserve">in the current year and subsequent 1–2 years. </w:t>
      </w:r>
      <w:r w:rsidRPr="003E2A48">
        <w:t xml:space="preserve">Our </w:t>
      </w:r>
      <w:r w:rsidR="00F06475">
        <w:t>tests</w:t>
      </w:r>
      <w:r w:rsidR="00F06475" w:rsidRPr="003E2A48">
        <w:t xml:space="preserve"> </w:t>
      </w:r>
      <w:r w:rsidRPr="003E2A48">
        <w:t xml:space="preserve">(Table 1) </w:t>
      </w:r>
      <w:r w:rsidR="00F06475">
        <w:t>examined multiple indices of</w:t>
      </w:r>
      <w:r w:rsidR="008F002B" w:rsidRPr="003E2A48">
        <w:t xml:space="preserve"> </w:t>
      </w:r>
      <w:r w:rsidRPr="003E2A48">
        <w:t>upwelling</w:t>
      </w:r>
      <w:r w:rsidR="00F06475">
        <w:t>, known to drive productivity,</w:t>
      </w:r>
      <w:r w:rsidRPr="003E2A48">
        <w:t xml:space="preserve"> and ocean temperature</w:t>
      </w:r>
      <w:r w:rsidR="009B1F17">
        <w:t>, which affects juvenile and larval growth and survival</w:t>
      </w:r>
      <w:r w:rsidRPr="003E2A48">
        <w:t>. We also test</w:t>
      </w:r>
      <w:r w:rsidR="00BB18F1">
        <w:t>ed</w:t>
      </w:r>
      <w:r w:rsidRPr="003E2A48">
        <w:t xml:space="preserve"> </w:t>
      </w:r>
    </w:p>
    <w:p w14:paraId="48F83781" w14:textId="2B899D43" w:rsidR="008062F9" w:rsidRPr="003E2A48" w:rsidRDefault="00806920" w:rsidP="00F46FF8">
      <w:pPr>
        <w:pStyle w:val="BodyText"/>
        <w:spacing w:before="0" w:after="0" w:line="480" w:lineRule="auto"/>
      </w:pPr>
      <w:r w:rsidRPr="003E2A48">
        <w:t>precipitation</w:t>
      </w:r>
      <w:r w:rsidR="00BB18F1">
        <w:t>,</w:t>
      </w:r>
      <w:r w:rsidRPr="003E2A48">
        <w:t xml:space="preserve"> historically considered to influence the timing of oil sardine landings</w:t>
      </w:r>
      <w:r w:rsidR="009B1F17">
        <w:t xml:space="preserve"> but which when over land leads to high </w:t>
      </w:r>
      <w:r w:rsidR="000B4D98">
        <w:t xml:space="preserve">river discharge with </w:t>
      </w:r>
      <w:r w:rsidR="000B4D98">
        <w:t xml:space="preserve">high </w:t>
      </w:r>
      <w:r w:rsidR="009B1F17">
        <w:t xml:space="preserve">nutrient fluxes and accompanying </w:t>
      </w:r>
      <w:r w:rsidR="00AA268D">
        <w:t xml:space="preserve">nearshore </w:t>
      </w:r>
      <w:r w:rsidR="009B1F17">
        <w:t>anoxia</w:t>
      </w:r>
      <w:r w:rsidR="00BB18F1">
        <w:t xml:space="preserve">, and those concerning the ONI and DMI, </w:t>
      </w:r>
      <w:r w:rsidR="001A7D4A">
        <w:t xml:space="preserve">as the effects of the ENSO </w:t>
      </w:r>
      <w:r w:rsidR="009B1F17">
        <w:t xml:space="preserve">and the IOD </w:t>
      </w:r>
      <w:r w:rsidR="001A7D4A">
        <w:t xml:space="preserve">on sardine fluctuation </w:t>
      </w:r>
      <w:r w:rsidR="00BB18F1">
        <w:t xml:space="preserve">have </w:t>
      </w:r>
      <w:r w:rsidR="001A7D4A">
        <w:t xml:space="preserve">received attention </w:t>
      </w:r>
      <w:r w:rsidRPr="003E2A48">
        <w:t>recently</w:t>
      </w:r>
      <w:r w:rsidR="001A7D4A">
        <w:t>.</w:t>
      </w:r>
      <w:r w:rsidRPr="003E2A48">
        <w:t xml:space="preserve"> </w:t>
      </w:r>
      <w:r w:rsidR="001A7D4A">
        <w:t xml:space="preserve">Lastly, we tested </w:t>
      </w:r>
      <w:r w:rsidR="00AA268D">
        <w:t>models using</w:t>
      </w:r>
      <w:r w:rsidR="001A7D4A">
        <w:t xml:space="preserve">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AA268D">
        <w:t>. T</w:t>
      </w:r>
      <w:r w:rsidR="001A7D4A">
        <w:t>he power for these analyses</w:t>
      </w:r>
      <w:r w:rsidRPr="003E2A48">
        <w:t xml:space="preserve"> </w:t>
      </w:r>
      <w:r w:rsidR="001A7D4A">
        <w:t xml:space="preserve">was low given the brevity of the </w:t>
      </w:r>
      <w:r w:rsidRPr="003E2A48">
        <w:t>chlorophyll</w:t>
      </w:r>
      <w:r w:rsidR="00AA268D">
        <w:t>-a</w:t>
      </w:r>
      <w:r w:rsidRPr="003E2A48">
        <w:t xml:space="preserve">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lastRenderedPageBreak/>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 xml:space="preserve">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lastRenderedPageBreak/>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00B468FE" w:rsidR="008062F9" w:rsidRPr="003E2A48" w:rsidRDefault="002C110F" w:rsidP="00354701">
      <w:pPr>
        <w:pStyle w:val="FirstParagraph"/>
        <w:spacing w:before="0" w:after="0" w:line="480" w:lineRule="auto"/>
      </w:pPr>
      <m:oMath>
        <m:r>
          <m:rPr>
            <m:sty m:val="p"/>
          </m:rPr>
          <w:rPr>
            <w:rFonts w:ascii="Cambria Math" w:hAnsi="Cambria Math"/>
          </w:rPr>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w:t>
      </w:r>
      <w:r w:rsidR="00A45786" w:rsidRPr="00A40966">
        <w:rPr>
          <w:i/>
        </w:rPr>
        <w:t>t</w:t>
      </w:r>
      <w:r w:rsidR="00A45786">
        <w:t xml:space="preserve">, </w:t>
      </w:r>
      <w:r w:rsidR="00A45786" w:rsidRPr="00A40966">
        <w:rPr>
          <w:i/>
        </w:rPr>
        <w:t>t-1</w:t>
      </w:r>
      <w:r w:rsidR="00A45786">
        <w:t xml:space="preserve"> and </w:t>
      </w:r>
      <w:r w:rsidR="00A45786" w:rsidRPr="00A40966">
        <w:rPr>
          <w:i/>
        </w:rPr>
        <w:t>t-2</w:t>
      </w:r>
      <w:r w:rsidR="00A45786">
        <w:t xml:space="preserve"> denote current, prior year and two years prior. </w:t>
      </w:r>
      <w:proofErr w:type="spellStart"/>
      <w:r w:rsidR="00A45786" w:rsidRPr="00A40966">
        <w:rPr>
          <w:i/>
        </w:rPr>
        <w:t>i</w:t>
      </w:r>
      <w:proofErr w:type="spellEnd"/>
      <w:r w:rsidR="00A45786">
        <w:t xml:space="preserve">, </w:t>
      </w:r>
      <w:r w:rsidR="00A45786" w:rsidRPr="00A40966">
        <w:rPr>
          <w:i/>
        </w:rPr>
        <w:t>j</w:t>
      </w:r>
      <w:r w:rsidR="00A45786">
        <w:t xml:space="preserve"> and </w:t>
      </w:r>
      <w:r w:rsidR="00A45786" w:rsidRPr="00A40966">
        <w:rPr>
          <w:i/>
        </w:rPr>
        <w:t>k</w:t>
      </w:r>
      <w:r w:rsidR="00A45786">
        <w:t xml:space="preserve"> denote the season</w:t>
      </w:r>
      <w:r w:rsidR="0059478B">
        <w:t xml:space="preserve">: </w:t>
      </w:r>
      <w:r w:rsidR="00A45786">
        <w:t>July-September or October-</w:t>
      </w:r>
      <w:r w:rsidR="00293521">
        <w:t xml:space="preserve">March </w:t>
      </w:r>
      <w:r w:rsidR="00A45786">
        <w:t xml:space="preserve">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 xml:space="preserve">Akaike information criterion </w:t>
      </w:r>
      <w:r w:rsidR="00103242">
        <w:t xml:space="preserve">corrected for small sample size </w:t>
      </w:r>
      <w:r w:rsidR="0097275E">
        <w:t>(</w:t>
      </w:r>
      <w:proofErr w:type="spellStart"/>
      <w:r w:rsidR="00806920" w:rsidRPr="003E2A48">
        <w:t>AIC</w:t>
      </w:r>
      <w:r w:rsidR="00103242">
        <w:t>c</w:t>
      </w:r>
      <w:proofErr w:type="spellEnd"/>
      <w:r w:rsidR="007871F2">
        <w:t>)</w:t>
      </w:r>
      <w:r w:rsidR="00806920" w:rsidRPr="003E2A48">
        <w:t xml:space="preserve"> and leave-one-out cross-validation (LOOCV) </w:t>
      </w:r>
      <w:r w:rsidR="0097275E">
        <w:t>were applied to</w:t>
      </w:r>
      <w:r w:rsidR="00806920" w:rsidRPr="003E2A48">
        <w:t xml:space="preserve"> nested sets of models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data</w:t>
      </w:r>
      <w:r w:rsidR="0059478B">
        <w:t xml:space="preserve"> </w:t>
      </w:r>
      <w:r w:rsidR="00806920" w:rsidRPr="003E2A48">
        <w:t xml:space="preserve">point, </w:t>
      </w:r>
      <w:r w:rsidR="0097275E">
        <w:t>followed by</w:t>
      </w:r>
      <w:r w:rsidR="00806920" w:rsidRPr="003E2A48">
        <w:t xml:space="preserve"> predicti</w:t>
      </w:r>
      <w:r w:rsidR="0097275E">
        <w:t>on of that</w:t>
      </w:r>
      <w:r w:rsidR="00806920" w:rsidRPr="003E2A48">
        <w:t xml:space="preserve"> data</w:t>
      </w:r>
      <w:r w:rsidR="0059478B">
        <w:t xml:space="preserve"> </w:t>
      </w:r>
      <w:r w:rsidR="00806920" w:rsidRPr="003E2A48">
        <w:t>point</w:t>
      </w:r>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73D11E4E" w:rsidR="008062F9" w:rsidRDefault="00806920" w:rsidP="00AB4E5A">
      <w:pPr>
        <w:pStyle w:val="BodyText"/>
        <w:spacing w:before="0" w:after="0" w:line="480" w:lineRule="auto"/>
        <w:ind w:firstLine="720"/>
      </w:pPr>
      <w:r w:rsidRPr="003E2A48">
        <w:lastRenderedPageBreak/>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 xml:space="preserve">tests, </w:t>
      </w:r>
      <w:proofErr w:type="spellStart"/>
      <w:r w:rsidRPr="003E2A48">
        <w:t>AIC</w:t>
      </w:r>
      <w:r w:rsidR="00103242">
        <w:t>c</w:t>
      </w:r>
      <w:proofErr w:type="spellEnd"/>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w:t>
      </w:r>
      <w:r w:rsidR="0059478B">
        <w:t xml:space="preserve"> and</w:t>
      </w:r>
      <w:r w:rsidR="0059478B" w:rsidRPr="003E2A48">
        <w:t xml:space="preserve"> </w:t>
      </w:r>
      <w:r w:rsidR="00AE6E40" w:rsidRPr="003E2A48">
        <w:t>non-linear effect</w:t>
      </w:r>
      <w:r w:rsidR="00AE6E40">
        <w:t>s</w:t>
      </w:r>
      <w:r w:rsidR="00AE6E40" w:rsidRPr="003E2A48">
        <w:t xml:space="preserve"> were</w:t>
      </w:r>
      <w:r w:rsidR="0059478B">
        <w:t xml:space="preserve"> compared:</w:t>
      </w:r>
      <w:r w:rsidR="00AE6E4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59478B">
        <w:t xml:space="preserve"> and</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w:t>
      </w:r>
      <w:r w:rsidR="0059478B" w:rsidRPr="003E2A48" w:rsidDel="0059478B">
        <w:t xml:space="preserve"> </w:t>
      </w:r>
      <w:r w:rsidR="0059478B">
        <w:t>w</w:t>
      </w:r>
      <w:r w:rsidRPr="003E2A48">
        <w:t xml:space="preserve">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w:t>
      </w:r>
      <w:r w:rsidR="0059478B">
        <w:t>ing</w:t>
      </w:r>
      <w:r w:rsidR="00AB4E5A">
        <w:t xml:space="preserve"> step described above.</w:t>
      </w:r>
    </w:p>
    <w:p w14:paraId="0823C6C8" w14:textId="58299567" w:rsidR="00F3211D" w:rsidRPr="003E2A48" w:rsidRDefault="00F3211D" w:rsidP="00AB4E5A">
      <w:pPr>
        <w:pStyle w:val="BodyText"/>
        <w:spacing w:before="0" w:after="0" w:line="480" w:lineRule="auto"/>
        <w:ind w:firstLine="720"/>
      </w:pPr>
      <w:r>
        <w:t xml:space="preserve">All statistical analysis was completed in the </w:t>
      </w:r>
      <w:r w:rsidRPr="00F3211D">
        <w:t>R programming language (R Development Core Team, 2019)</w:t>
      </w:r>
      <w:r>
        <w:t>. Data and code are provided in the Supporting Information.</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671F5E22"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proofErr w:type="spellStart"/>
      <w:r w:rsidR="00103242" w:rsidRPr="003E2A48">
        <w:t>AIC</w:t>
      </w:r>
      <w:r w:rsidR="00103242">
        <w:t>c</w:t>
      </w:r>
      <w:proofErr w:type="spellEnd"/>
      <w:r w:rsidR="00103242">
        <w:t xml:space="preserve"> </w:t>
      </w:r>
      <w:r w:rsidR="00806920" w:rsidRPr="003E2A48">
        <w:t xml:space="preserve">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Supporting Information</w:t>
      </w:r>
      <w:r w:rsidR="00806920" w:rsidRPr="003E2A48">
        <w:t>) and to minimize</w:t>
      </w:r>
      <w:r w:rsidR="00AB7D1B">
        <w:t xml:space="preserve"> the</w:t>
      </w:r>
      <w:r w:rsidR="00806920" w:rsidRPr="003E2A48">
        <w:t xml:space="preserve"> loss of </w:t>
      </w:r>
      <w:r w:rsidR="00806920" w:rsidRPr="003E2A48">
        <w:lastRenderedPageBreak/>
        <w:t>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0A38DF7B"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36286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w:t>
      </w:r>
      <w:r w:rsidR="00103242">
        <w:t>c</w:t>
      </w:r>
      <w:r w:rsidR="00362866">
        <w:t xml:space="preserve"> but</w:t>
      </w:r>
      <w:r w:rsidR="00806920" w:rsidRPr="003E2A48">
        <w:t xml:space="preserve">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3F48EF8E"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 xml:space="preserve">ing the lowest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w:t>
      </w:r>
      <w:proofErr w:type="spellStart"/>
      <w:r w:rsidR="00806920" w:rsidRPr="003E2A48">
        <w:t>AIC</w:t>
      </w:r>
      <w:r w:rsidR="00103242">
        <w:t>c</w:t>
      </w:r>
      <w:proofErr w:type="spellEnd"/>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 xml:space="preserve">s </w:t>
      </w:r>
      <w:r w:rsidR="00362866">
        <w:t xml:space="preserve">(time-varying effects) </w:t>
      </w:r>
      <w:r w:rsidR="00806920" w:rsidRPr="003E2A48">
        <w:t>performed poorly for the Jul</w:t>
      </w:r>
      <w:r>
        <w:t>y–</w:t>
      </w:r>
      <w:r w:rsidR="00806920" w:rsidRPr="003E2A48">
        <w:t>Se</w:t>
      </w:r>
      <w:r>
        <w:t>ptember</w:t>
      </w:r>
      <w:r w:rsidR="00806920" w:rsidRPr="003E2A48">
        <w:t xml:space="preserve"> catch</w:t>
      </w:r>
      <w:r>
        <w:t>,</w:t>
      </w:r>
      <w:r w:rsidR="00806920" w:rsidRPr="003E2A48">
        <w:t xml:space="preserve"> with high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w:t>
      </w:r>
      <w:proofErr w:type="spellStart"/>
      <w:r w:rsidR="00806920" w:rsidRPr="003E2A48">
        <w:t>AIC</w:t>
      </w:r>
      <w:r w:rsidR="00103242">
        <w:t>c</w:t>
      </w:r>
      <w:proofErr w:type="spellEnd"/>
      <w:r w:rsidR="00806920" w:rsidRPr="003E2A48">
        <w:t xml:space="preserve"> </w:t>
      </w:r>
      <w:r>
        <w:t>and</w:t>
      </w:r>
      <w:r w:rsidRPr="003E2A48">
        <w:t xml:space="preserve"> </w:t>
      </w:r>
      <w:r w:rsidR="00806920" w:rsidRPr="003E2A48">
        <w:t xml:space="preserve">lower LOOCV </w:t>
      </w:r>
      <w:r w:rsidR="00E87F94">
        <w:t xml:space="preserve">RMSE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05742E3E"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t>
      </w:r>
      <w:r w:rsidR="00AB4FA7">
        <w:t xml:space="preserve">adjusted </w:t>
      </w:r>
      <w:r w:rsidR="00CB5B53">
        <w:rPr>
          <w:i/>
          <w:iCs/>
        </w:rPr>
        <w:t>R</w:t>
      </w:r>
      <w:r w:rsidR="00CB5B53">
        <w:rPr>
          <w:vertAlign w:val="superscript"/>
        </w:rPr>
        <w:t>2</w:t>
      </w:r>
      <w:r w:rsidR="00CB5B53">
        <w:t xml:space="preserve"> </w:t>
      </w:r>
      <w:r w:rsidR="003A6D12">
        <w:t>= 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w:lastRenderedPageBreak/>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34635609"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2775143D"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3"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21C0A664" w:rsidR="00F820ED" w:rsidRPr="003E2A48" w:rsidRDefault="00F820ED" w:rsidP="00F820ED">
      <w:pPr>
        <w:pStyle w:val="FirstParagraph"/>
        <w:spacing w:before="0" w:after="0" w:line="480" w:lineRule="auto"/>
      </w:pPr>
      <w:r>
        <w:t>The covariate analysis was able to rule out a number of the hypothesized covariates</w:t>
      </w:r>
      <w:r w:rsidR="00AE4D4A">
        <w:t xml:space="preserve"> that may drive catch variability</w:t>
      </w:r>
      <w:r>
        <w:t xml:space="preserve"> and improve out of sample prediction</w:t>
      </w:r>
      <w:r w:rsidR="00AF6F27">
        <w:t xml:space="preserve"> (Table 1)</w:t>
      </w:r>
      <w:r>
        <w:t xml:space="preserve">.  </w:t>
      </w:r>
      <w:r w:rsidR="00AF6F27">
        <w:t>Below</w:t>
      </w:r>
      <w:r w:rsidR="00AF6F27">
        <w:t>, t</w:t>
      </w:r>
      <w:r w:rsidR="00AE4D4A">
        <w:t xml:space="preserve">he model numbers refer to the models listed in Table 1.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AE4D4A">
        <w:t>models</w:t>
      </w:r>
      <w:r w:rsidR="00AE4D4A" w:rsidRPr="003E2A48">
        <w:t xml:space="preserve"> </w:t>
      </w:r>
      <w:r w:rsidR="00806920" w:rsidRPr="003E2A48">
        <w:t>S1</w:t>
      </w:r>
      <w:r w:rsidR="00AE4D4A">
        <w:t xml:space="preserve"> and S3</w:t>
      </w:r>
      <w:r w:rsidR="00806920" w:rsidRPr="003E2A48">
        <w:t xml:space="preserve">; </w:t>
      </w:r>
      <w:r w:rsidR="004C4E60">
        <w:t>Tables A1</w:t>
      </w:r>
      <w:r w:rsidR="00AE4D4A">
        <w:t>,</w:t>
      </w:r>
      <w:r w:rsidR="004C4E60">
        <w:t xml:space="preserve"> A2</w:t>
      </w:r>
      <w:r w:rsidR="00AE4D4A">
        <w:t>, 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w:t>
      </w:r>
      <w:r w:rsidR="00AE4D4A">
        <w:t>models</w:t>
      </w:r>
      <w:r w:rsidR="008D39A8">
        <w:t xml:space="preserve">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were not or only weakly supported (based on </w:t>
      </w:r>
      <w:proofErr w:type="spellStart"/>
      <w:r w:rsidR="008A5EED">
        <w:t>AICc</w:t>
      </w:r>
      <w:proofErr w:type="spellEnd"/>
      <w:r w:rsidR="008A5EED">
        <w:t xml:space="preserve">) and did not </w:t>
      </w:r>
      <w:proofErr w:type="gramStart"/>
      <w:r w:rsidR="008A5EED">
        <w:t xml:space="preserve">improve </w:t>
      </w:r>
      <w:r w:rsidR="007233EB">
        <w:t xml:space="preserve"> </w:t>
      </w:r>
      <w:r w:rsidR="008A5EED">
        <w:t>out</w:t>
      </w:r>
      <w:proofErr w:type="gramEnd"/>
      <w:r w:rsidR="008A5EED">
        <w:t xml:space="preserve"> of sample prediction (LOOCV RMSE or </w:t>
      </w:r>
      <w:proofErr w:type="spellStart"/>
      <w:r w:rsidR="008A5EED">
        <w:t>MdAE</w:t>
      </w:r>
      <w:proofErr w:type="spellEnd"/>
      <w:r w:rsidR="008A5EED">
        <w:t xml:space="preserve">) (Tables A1, A2, S7). </w:t>
      </w:r>
      <w:r w:rsidR="00806920" w:rsidRPr="003E2A48">
        <w:t xml:space="preserve"> </w:t>
      </w:r>
      <w:r w:rsidR="008A5EED">
        <w:t xml:space="preserve">The one </w:t>
      </w:r>
      <w:r>
        <w:t xml:space="preserve">exception </w:t>
      </w:r>
      <w:r w:rsidR="008A5EED">
        <w:t xml:space="preserve">was the June-September nearshore SST upwelling index and the July-September catch. This 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t xml:space="preserve"> The </w:t>
      </w:r>
      <w:proofErr w:type="spellStart"/>
      <w:r>
        <w:t>Bakun</w:t>
      </w:r>
      <w:proofErr w:type="spellEnd"/>
      <w:r>
        <w:t xml:space="preserve"> upwelling index had a lower </w:t>
      </w:r>
      <w:proofErr w:type="spellStart"/>
      <w:r>
        <w:t>AICc</w:t>
      </w:r>
      <w:proofErr w:type="spellEnd"/>
      <w:r>
        <w:t xml:space="preserve">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w:t>
      </w:r>
      <w:r w:rsidR="00AE4D4A">
        <w:t>model</w:t>
      </w:r>
      <w:r w:rsidR="00AE4D4A" w:rsidRPr="003E2A48">
        <w:t xml:space="preserve"> </w:t>
      </w:r>
      <w:r w:rsidRPr="003E2A48">
        <w:t>A2).</w:t>
      </w:r>
      <w:r w:rsidR="00B06C49">
        <w:t xml:space="preserve"> The fall DMI </w:t>
      </w:r>
      <w:r w:rsidR="00AE4D4A">
        <w:t xml:space="preserve">(model A3) </w:t>
      </w:r>
      <w:r w:rsidR="00B06C49">
        <w:t xml:space="preserve">was </w:t>
      </w:r>
      <w:r w:rsidR="00B06C49">
        <w:lastRenderedPageBreak/>
        <w:t xml:space="preserve">weakly supported. It reduced </w:t>
      </w:r>
      <w:proofErr w:type="spellStart"/>
      <w:r w:rsidR="00B06C49">
        <w:t>AICc</w:t>
      </w:r>
      <w:proofErr w:type="spellEnd"/>
      <w:r w:rsidR="00B06C49">
        <w:t xml:space="preserve"> and 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6536C457" w:rsidR="00F820ED" w:rsidRPr="003E2A48" w:rsidRDefault="00B06C49" w:rsidP="001A401E">
      <w:pPr>
        <w:pStyle w:val="BodyText"/>
        <w:spacing w:before="0" w:after="0" w:line="480" w:lineRule="auto"/>
        <w:ind w:firstLine="360"/>
      </w:pPr>
      <w:r>
        <w:t>Only two covariates emerged as explanatory variables that both explained catch variance and reduced out of sample predictions errors: the June-July precipitation over land (</w:t>
      </w:r>
      <w:r w:rsidR="00AE4D4A">
        <w:t>model S2</w:t>
      </w:r>
      <w:r>
        <w:t>) and the 2.5-year average regional SST (</w:t>
      </w:r>
      <w:r w:rsidR="00AE4D4A">
        <w:t xml:space="preserve">model </w:t>
      </w:r>
      <w:r>
        <w:t>A1). 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 xml:space="preserve">response </w:t>
      </w:r>
      <w:r w:rsidR="000E0650">
        <w:t xml:space="preserve">with </w:t>
      </w:r>
      <w:r w:rsidR="00806920" w:rsidRPr="003E2A48">
        <w:t xml:space="preserve">the </w:t>
      </w:r>
      <w:r w:rsidR="00B77E64">
        <w:t xml:space="preserve">2.5-year </w:t>
      </w:r>
      <w:r w:rsidR="00806920" w:rsidRPr="003E2A48">
        <w:t xml:space="preserve">average </w:t>
      </w:r>
      <w:r w:rsidR="00CA03BC">
        <w:t xml:space="preserve">regional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 xml:space="preserve">7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w:t>
      </w:r>
      <w:proofErr w:type="spellStart"/>
      <w:r w:rsidR="008464F2">
        <w:t>MdAE</w:t>
      </w:r>
      <w:proofErr w:type="spellEnd"/>
      <w:r w:rsidR="008464F2">
        <w:t>) for the October-Ma</w:t>
      </w:r>
      <w:r w:rsidR="00293521">
        <w:t>rch</w:t>
      </w:r>
      <w:r w:rsidR="008464F2">
        <w:t xml:space="preserve">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The other strong correlation </w:t>
      </w:r>
      <w:r w:rsidR="008464F2">
        <w:t xml:space="preserve">and reduction in out of sample prediction error </w:t>
      </w:r>
      <w:r w:rsidR="00F86DBC">
        <w:t xml:space="preserve">was </w:t>
      </w:r>
      <w:r w:rsidR="00EC22EC">
        <w:t xml:space="preserve">found </w:t>
      </w:r>
      <w:r w:rsidR="008464F2">
        <w:t>for the current season June-July precipitation over land. For the October-Ma</w:t>
      </w:r>
      <w:r w:rsidR="00293521">
        <w:t>rch</w:t>
      </w:r>
      <w:r w:rsidR="008464F2">
        <w:t xml:space="preserve">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w:t>
      </w:r>
      <w:r w:rsidR="00F86DBC">
        <w:t>s</w:t>
      </w:r>
      <w:r w:rsidR="008464F2">
        <w:t xml:space="preserve"> 2</w:t>
      </w:r>
      <w:r w:rsidR="00F86DBC">
        <w:t>, A</w:t>
      </w:r>
      <w:r w:rsidR="00F86DBC">
        <w:t>2, S7</w:t>
      </w:r>
      <w:r w:rsidR="008464F2">
        <w:t>).</w:t>
      </w:r>
    </w:p>
    <w:p w14:paraId="6861CD47" w14:textId="19E4C635" w:rsidR="00F820ED" w:rsidRDefault="00F820ED" w:rsidP="001A401E">
      <w:pPr>
        <w:pStyle w:val="BodyText"/>
        <w:spacing w:before="0" w:after="0" w:line="480" w:lineRule="auto"/>
        <w:ind w:firstLine="360"/>
      </w:pPr>
      <w:r w:rsidRPr="001B1B67">
        <w:t>Our examination of the chlorophyll</w:t>
      </w:r>
      <w:r w:rsidR="00AF6F27">
        <w:t xml:space="preserve">-a </w:t>
      </w:r>
      <w:r w:rsidRPr="001B1B67">
        <w:t>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w:t>
      </w:r>
      <w:r w:rsidR="00AF6F27">
        <w:t xml:space="preserve"> and </w:t>
      </w:r>
      <w:r w:rsidRPr="003E2A48">
        <w:t>October</w:t>
      </w:r>
      <w:r>
        <w:t>–</w:t>
      </w:r>
      <w:r w:rsidRPr="003E2A48">
        <w:t xml:space="preserve">December </w:t>
      </w:r>
      <w:r>
        <w:t>of</w:t>
      </w:r>
      <w:r w:rsidRPr="003E2A48">
        <w:t xml:space="preserve"> the current and prior year</w:t>
      </w:r>
      <w:r>
        <w:t xml:space="preserve">s yielded no significant result </w:t>
      </w:r>
      <w:r w:rsidRPr="003E2A48">
        <w:t>for the Jul</w:t>
      </w:r>
      <w:r>
        <w:t>y–</w:t>
      </w:r>
      <w:r w:rsidRPr="003E2A48">
        <w:lastRenderedPageBreak/>
        <w:t>Sep</w:t>
      </w:r>
      <w:r>
        <w:t>tember</w:t>
      </w:r>
      <w:r w:rsidRPr="003E2A48">
        <w:t xml:space="preserve"> catch</w:t>
      </w:r>
      <w:r>
        <w:t>, and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3D9EAECF"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9DE9EDD" w14:textId="3E8A6E8C" w:rsidR="00FB7067" w:rsidRDefault="00C63CB5" w:rsidP="000C700D">
      <w:pPr>
        <w:pStyle w:val="BodyText"/>
        <w:spacing w:before="0" w:after="0" w:line="480" w:lineRule="auto"/>
        <w:ind w:firstLine="360"/>
        <w:rPr>
          <w:rFonts w:eastAsiaTheme="minorEastAsia"/>
        </w:rPr>
      </w:pPr>
      <w:r>
        <w:t>Using the ICOADS SST data set does not capture the nearshore SST as accurately, and thus was not used</w:t>
      </w:r>
      <w:r>
        <w:t xml:space="preserve"> for our main analyses. Nonetheless it is highly correlated with the AVHRR SST data (Figure S7) and extends almost the start of the catch time series</w:t>
      </w:r>
      <w:r>
        <w:t xml:space="preserve"> (to 1960). </w:t>
      </w:r>
      <w:r w:rsidR="00C71171">
        <w:t xml:space="preserve"> The precipitation data also extends back to 1960. </w:t>
      </w:r>
      <w:r w:rsidR="00AD4FFD">
        <w:t>Using dynamic linear modeling and the October-Ma</w:t>
      </w:r>
      <w:r w:rsidR="00293521">
        <w:t>rch</w:t>
      </w:r>
      <w:r w:rsidR="00AD4FFD">
        <w:t xml:space="preserve"> catch, we examined whether the </w:t>
      </w:r>
      <w:r w:rsidR="004B5216">
        <w:t xml:space="preserve">ability </w:t>
      </w:r>
      <w:r w:rsidR="00AD4FFD">
        <w:t xml:space="preserve">of </w:t>
      </w:r>
      <w:r w:rsidR="00C71171">
        <w:t>the multiyear average SST and June-July land preci</w:t>
      </w:r>
      <w:r w:rsidR="00C71171">
        <w:t>pitation</w:t>
      </w:r>
      <w:r w:rsidR="00AD4FFD">
        <w:t xml:space="preserve"> </w:t>
      </w:r>
      <w:r w:rsidR="004B5216">
        <w:t xml:space="preserve">to explain catch variation </w:t>
      </w:r>
      <w:r w:rsidR="00AD4FFD">
        <w:t>changed over time.</w:t>
      </w:r>
      <w:r w:rsidR="00FB7067">
        <w:t xml:space="preserve"> T</w:t>
      </w:r>
      <w:r w:rsidR="004B5216">
        <w:t xml:space="preserve">ime-varying covariate </w:t>
      </w:r>
      <w:r w:rsidR="00AD4FFD">
        <w:t>models were fit to the residuals of the simpler base October-Ma</w:t>
      </w:r>
      <w:r w:rsidR="00293521">
        <w:t xml:space="preserve">rch </w:t>
      </w:r>
      <w:r w:rsidR="00AD4FFD">
        <w:t xml:space="preserve">catch model </w:t>
      </w:r>
      <w:r w:rsidR="00C71171">
        <w:t xml:space="preserve">(Table 2); the results were </w:t>
      </w:r>
      <w:r w:rsidR="00C71171">
        <w:t>very similar</w:t>
      </w:r>
      <w:r w:rsidR="00C71171">
        <w:t xml:space="preserve"> with the more complex October-March catch model thus only one model is shown. T</w:t>
      </w:r>
      <w:r w:rsidR="00AD4FFD">
        <w:t xml:space="preserve">he covariates were z-scored (mean </w:t>
      </w:r>
      <w:proofErr w:type="gramStart"/>
      <w:r w:rsidR="00AD4FFD">
        <w:t>removed</w:t>
      </w:r>
      <w:proofErr w:type="gramEnd"/>
      <w:r w:rsidR="00AD4FFD">
        <w:t xml:space="preserve"> and variance standardized to 1)</w:t>
      </w:r>
      <w:r w:rsidR="000F5A5C">
        <w:t xml:space="preserve"> and included as th</w:t>
      </w:r>
      <w:r w:rsidR="000F5A5C">
        <w:t>ird-order polynomial</w:t>
      </w:r>
      <w:r w:rsidR="00ED2401">
        <w:t>s</w:t>
      </w:r>
      <w:r w:rsidR="000F5A5C">
        <w:t xml:space="preserve"> to allow a non-linear response</w:t>
      </w:r>
      <w:r w:rsidR="00AD4FFD">
        <w:t xml:space="preserve">.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2,t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r>
                  <w:rPr>
                    <w:rFonts w:ascii="Cambria Math" w:hAnsi="Cambria Math"/>
                  </w:rPr>
                  <m:t>,t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3</m:t>
                </m:r>
              </m:sup>
            </m:sSubSup>
            <m:r>
              <w:rPr>
                <w:rFonts w:ascii="Cambria Math" w:hAnsi="Cambria Math"/>
              </w:rPr>
              <m:t>+</m:t>
            </m:r>
            <m:r>
              <w:rPr>
                <w:rFonts w:ascii="Cambria Math" w:hAnsi="Cambria Math"/>
              </w:rPr>
              <m:t>ϵ</m:t>
            </m:r>
          </m:e>
          <m:sub>
            <m:r>
              <w:rPr>
                <w:rFonts w:ascii="Cambria Math" w:hAnsi="Cambria Math"/>
              </w:rPr>
              <m:t>t</m:t>
            </m:r>
          </m:sub>
        </m:sSub>
      </m:oMath>
      <w:r w:rsidR="00AD4FFD">
        <w:rPr>
          <w:rFonts w:eastAsiaTheme="minorEastAsia"/>
        </w:rPr>
        <w:t xml:space="preserve"> </w:t>
      </w:r>
      <w:r w:rsidR="000F5A5C">
        <w:rPr>
          <w:rFonts w:eastAsiaTheme="minorEastAsia"/>
        </w:rPr>
        <w:t xml:space="preserve">where </w:t>
      </w:r>
      <w:r w:rsidR="000F5A5C" w:rsidRPr="00A40966">
        <w:rPr>
          <w:rFonts w:eastAsiaTheme="minorEastAsia"/>
          <w:i/>
        </w:rPr>
        <w:t>r</w:t>
      </w:r>
      <w:r w:rsidR="000F5A5C">
        <w:rPr>
          <w:rFonts w:eastAsiaTheme="minorEastAsia"/>
        </w:rPr>
        <w:t xml:space="preserve"> is the residual and </w:t>
      </w:r>
      <w:r w:rsidR="000F5A5C" w:rsidRPr="00A40966">
        <w:rPr>
          <w:rFonts w:eastAsiaTheme="minorEastAsia"/>
          <w:i/>
        </w:rPr>
        <w:t>V</w:t>
      </w:r>
      <w:r w:rsidR="000F5A5C">
        <w:rPr>
          <w:rFonts w:eastAsiaTheme="minorEastAsia"/>
        </w:rPr>
        <w:t xml:space="preserve"> is </w:t>
      </w:r>
      <w:r w:rsidR="000F5A5C">
        <w:rPr>
          <w:rFonts w:eastAsiaTheme="minorEastAsia"/>
        </w:rPr>
        <w:lastRenderedPageBreak/>
        <w:t>the covariate</w:t>
      </w:r>
      <w:r w:rsidR="00AD4FFD">
        <w:rPr>
          <w:rFonts w:eastAsiaTheme="minorEastAsia"/>
        </w:rPr>
        <w:t xml:space="preserve">. </w:t>
      </w:r>
      <w:proofErr w:type="spellStart"/>
      <w:r w:rsidR="000C700D">
        <w:rPr>
          <w:rFonts w:eastAsiaTheme="minorEastAsia"/>
        </w:rPr>
        <w:t>The</w:t>
      </w:r>
      <w:proofErr w:type="spellEnd"/>
      <w:r w:rsidR="000C700D">
        <w:rPr>
          <w:rFonts w:eastAsiaTheme="minorEastAsia"/>
        </w:rPr>
        <w:t xml:space="preserve"> </w:t>
      </w:r>
      <w:r w:rsidR="000C700D" w:rsidRPr="00A40966">
        <w:rPr>
          <w:rFonts w:ascii="Symbol" w:eastAsiaTheme="minorEastAsia" w:hAnsi="Symbol"/>
          <w:i/>
        </w:rPr>
        <w:t></w:t>
      </w:r>
      <w:r w:rsidR="000C700D">
        <w:rPr>
          <w:rFonts w:eastAsiaTheme="minorEastAsia"/>
        </w:rPr>
        <w:t xml:space="preserve"> were allowed to evolve as a</w:t>
      </w:r>
      <w:r w:rsidR="00641DEC">
        <w:rPr>
          <w:rFonts w:eastAsiaTheme="minorEastAsia"/>
        </w:rPr>
        <w:t>n</w:t>
      </w:r>
      <w:r w:rsidR="000C700D">
        <w:rPr>
          <w:rFonts w:eastAsiaTheme="minorEastAsia"/>
        </w:rPr>
        <w:t xml:space="preserve"> autoregressive process</w:t>
      </w:r>
      <w:r w:rsidR="00641DEC">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t-1</m:t>
            </m:r>
          </m:sub>
        </m:sSub>
        <m:sSub>
          <m:sSubPr>
            <m:ctrlPr>
              <w:rPr>
                <w:rFonts w:ascii="Cambria Math" w:hAnsi="Cambria Math"/>
              </w:rPr>
            </m:ctrlPr>
          </m:sSubPr>
          <m:e>
            <m:r>
              <w:rPr>
                <w:rFonts w:ascii="Cambria Math" w:hAnsi="Cambria Math"/>
              </w:rPr>
              <m:t>+</m:t>
            </m:r>
            <m:r>
              <w:rPr>
                <w:rFonts w:ascii="Cambria Math" w:hAnsi="Cambria Math"/>
              </w:rPr>
              <m:t>e</m:t>
            </m:r>
          </m:e>
          <m:sub>
            <m:r>
              <w:rPr>
                <w:rFonts w:ascii="Cambria Math" w:hAnsi="Cambria Math"/>
              </w:rPr>
              <m:t>t</m:t>
            </m:r>
          </m:sub>
        </m:sSub>
      </m:oMath>
      <w:r w:rsidR="00641DEC">
        <w:rPr>
          <w:rFonts w:eastAsiaTheme="minorEastAsia"/>
        </w:rPr>
        <w:t>,</w:t>
      </w:r>
      <w:r w:rsidR="00641DEC">
        <w:rPr>
          <w:rFonts w:eastAsiaTheme="minorEastAsia"/>
        </w:rPr>
        <w:t xml:space="preserve"> with </w:t>
      </w:r>
      <w:r w:rsidR="00641DEC" w:rsidRPr="00A40966">
        <w:rPr>
          <w:rFonts w:eastAsiaTheme="minorEastAsia"/>
          <w:i/>
        </w:rPr>
        <w:t>e</w:t>
      </w:r>
      <w:r w:rsidR="00641DEC" w:rsidRPr="00A40966">
        <w:rPr>
          <w:rFonts w:eastAsiaTheme="minorEastAsia"/>
          <w:i/>
          <w:vertAlign w:val="subscript"/>
        </w:rPr>
        <w:t xml:space="preserve">t </w:t>
      </w:r>
      <w:r w:rsidR="00641DEC">
        <w:rPr>
          <w:rFonts w:eastAsiaTheme="minorEastAsia"/>
        </w:rPr>
        <w:t xml:space="preserve">~ </w:t>
      </w:r>
      <w:proofErr w:type="gramStart"/>
      <w:r w:rsidR="00641DEC">
        <w:rPr>
          <w:rFonts w:eastAsiaTheme="minorEastAsia"/>
        </w:rPr>
        <w:t>N(</w:t>
      </w:r>
      <w:proofErr w:type="gramEnd"/>
      <w:r w:rsidR="00641DEC">
        <w:rPr>
          <w:rFonts w:eastAsiaTheme="minorEastAsia"/>
        </w:rPr>
        <w:t>0,</w:t>
      </w:r>
      <w:r w:rsidR="00ED2401">
        <w:rPr>
          <w:rFonts w:eastAsiaTheme="minorEastAsia"/>
        </w:rPr>
        <w:t xml:space="preserve"> </w:t>
      </w:r>
      <w:r w:rsidR="00ED2401" w:rsidRPr="00A40966">
        <w:rPr>
          <w:rFonts w:ascii="Symbol" w:eastAsiaTheme="minorEastAsia" w:hAnsi="Symbol"/>
          <w:i/>
        </w:rPr>
        <w:t></w:t>
      </w:r>
      <w:r w:rsidR="00641DEC">
        <w:rPr>
          <w:rFonts w:eastAsiaTheme="minorEastAsia"/>
        </w:rPr>
        <w:t>)</w:t>
      </w:r>
      <w:r w:rsidR="000C700D">
        <w:rPr>
          <w:rFonts w:eastAsiaTheme="minorEastAsia"/>
        </w:rPr>
        <w:t xml:space="preserve">. </w:t>
      </w:r>
      <w:r w:rsidR="00D62708">
        <w:rPr>
          <w:rFonts w:eastAsiaTheme="minorEastAsia"/>
        </w:rPr>
        <w:t xml:space="preserve">The </w:t>
      </w:r>
      <w:r w:rsidR="00D62708" w:rsidRPr="00A40966">
        <w:rPr>
          <w:rFonts w:ascii="Symbol" w:eastAsiaTheme="minorEastAsia" w:hAnsi="Symbol"/>
          <w:i/>
        </w:rPr>
        <w:t></w:t>
      </w:r>
      <w:r w:rsidR="00D62708">
        <w:rPr>
          <w:rFonts w:eastAsiaTheme="minorEastAsia"/>
        </w:rPr>
        <w:t xml:space="preserve"> was chosen such that the </w:t>
      </w:r>
      <w:r w:rsidR="00D62708">
        <w:rPr>
          <w:rFonts w:eastAsiaTheme="minorEastAsia"/>
        </w:rPr>
        <w:t xml:space="preserve">model complexity (time-variation) did not </w:t>
      </w:r>
      <w:r w:rsidR="00AF6F27">
        <w:rPr>
          <w:rFonts w:eastAsiaTheme="minorEastAsia"/>
        </w:rPr>
        <w:t>increase</w:t>
      </w:r>
      <w:r w:rsidR="00D62708">
        <w:rPr>
          <w:rFonts w:eastAsiaTheme="minorEastAsia"/>
        </w:rPr>
        <w:t xml:space="preserve"> </w:t>
      </w:r>
      <w:r w:rsidR="00D62708">
        <w:rPr>
          <w:rFonts w:eastAsiaTheme="minorEastAsia"/>
        </w:rPr>
        <w:t>out-sample-prediction error</w:t>
      </w:r>
      <w:r w:rsidR="00AF6F27">
        <w:rPr>
          <w:rFonts w:eastAsiaTheme="minorEastAsia"/>
        </w:rPr>
        <w:t xml:space="preserve"> over the base catch model (with no </w:t>
      </w:r>
      <w:r w:rsidR="00C71171">
        <w:rPr>
          <w:rFonts w:eastAsiaTheme="minorEastAsia"/>
        </w:rPr>
        <w:t xml:space="preserve">environmental </w:t>
      </w:r>
      <w:r w:rsidR="00AF6F27">
        <w:rPr>
          <w:rFonts w:eastAsiaTheme="minorEastAsia"/>
        </w:rPr>
        <w:t>covariates)</w:t>
      </w:r>
      <w:r w:rsidR="00C71171">
        <w:rPr>
          <w:rFonts w:eastAsiaTheme="minorEastAsia"/>
        </w:rPr>
        <w:t>.</w:t>
      </w:r>
      <w:r w:rsidR="00D62708">
        <w:rPr>
          <w:rFonts w:eastAsiaTheme="minorEastAsia"/>
        </w:rPr>
        <w:t xml:space="preserve"> </w:t>
      </w:r>
    </w:p>
    <w:p w14:paraId="313BE700" w14:textId="3CE68527" w:rsidR="00EB56CB" w:rsidRPr="00A40966" w:rsidRDefault="00641DEC" w:rsidP="006750A6">
      <w:pPr>
        <w:pStyle w:val="BodyText"/>
        <w:spacing w:before="0" w:after="0" w:line="480" w:lineRule="auto"/>
        <w:ind w:firstLine="360"/>
        <w:rPr>
          <w:rFonts w:eastAsiaTheme="minorEastAsia"/>
        </w:rPr>
      </w:pPr>
      <w:r>
        <w:rPr>
          <w:rFonts w:eastAsiaTheme="minorEastAsia"/>
        </w:rPr>
        <w:t>The explanatory power of the covariates</w:t>
      </w:r>
      <w:r w:rsidR="00D62708">
        <w:rPr>
          <w:rFonts w:eastAsiaTheme="minorEastAsia"/>
        </w:rPr>
        <w:t>, even when allowed to be time-varying</w:t>
      </w:r>
      <w:r w:rsidR="00C71171">
        <w:rPr>
          <w:rFonts w:eastAsiaTheme="minorEastAsia"/>
        </w:rPr>
        <w:t xml:space="preserve"> and thus flexible enough to fit local conditions, </w:t>
      </w:r>
      <w:r>
        <w:rPr>
          <w:rFonts w:eastAsiaTheme="minorEastAsia"/>
        </w:rPr>
        <w:t xml:space="preserve">changed over time. </w:t>
      </w:r>
      <w:r w:rsidR="00C71171">
        <w:rPr>
          <w:rFonts w:eastAsiaTheme="minorEastAsia"/>
        </w:rPr>
        <w:t xml:space="preserve">Up to 1990, the land precipitation did not increase model fit but did afterwards.  </w:t>
      </w:r>
      <w:r w:rsidR="00C71171">
        <w:rPr>
          <w:rFonts w:eastAsiaTheme="minorEastAsia"/>
        </w:rPr>
        <w:t xml:space="preserve">The 2.5-year average regional SST improved the model fit over the entire time </w:t>
      </w:r>
      <w:r w:rsidR="00C71171">
        <w:rPr>
          <w:rFonts w:eastAsiaTheme="minorEastAsia"/>
        </w:rPr>
        <w:t xml:space="preserve">series (the covariate RMSE line was below that of the model with no covariates), but especially so from the </w:t>
      </w:r>
      <w:r w:rsidR="006750A6">
        <w:rPr>
          <w:rFonts w:eastAsiaTheme="minorEastAsia"/>
        </w:rPr>
        <w:t>mid-1980s to late-1990s (Figure 7).</w:t>
      </w:r>
      <w:r w:rsidR="006750A6">
        <w:rPr>
          <w:rFonts w:eastAsiaTheme="minorEastAsia"/>
        </w:rPr>
        <w:t xml:space="preserve"> </w:t>
      </w:r>
      <w:proofErr w:type="gramStart"/>
      <w:r w:rsidR="006750A6">
        <w:rPr>
          <w:rFonts w:eastAsiaTheme="minorEastAsia"/>
        </w:rPr>
        <w:t>Thus</w:t>
      </w:r>
      <w:proofErr w:type="gramEnd"/>
      <w:r w:rsidR="006750A6">
        <w:rPr>
          <w:rFonts w:eastAsiaTheme="minorEastAsia"/>
        </w:rPr>
        <w:t xml:space="preserve"> the relationship between the covariates and </w:t>
      </w:r>
      <w:r w:rsidR="006750A6">
        <w:rPr>
          <w:rFonts w:eastAsiaTheme="minorEastAsia"/>
        </w:rPr>
        <w:t>the catch residuals (the catch not explained by prior year catch) changed over time.</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402A71A4" w14:textId="50C66690" w:rsidR="00641D83" w:rsidRDefault="008030A4" w:rsidP="008D7994">
      <w:pPr>
        <w:pStyle w:val="BodyText"/>
        <w:spacing w:before="0" w:after="0" w:line="480" w:lineRule="auto"/>
      </w:pPr>
      <w:r>
        <w:t xml:space="preserve">Our results indicate that successful modeling of </w:t>
      </w:r>
      <w:r w:rsidR="009408CC">
        <w:t xml:space="preserve">Indian </w:t>
      </w:r>
      <w:r>
        <w:t>oil sardine catch depends on the season of interest (monsoon versus post-monsoon) and sel</w:t>
      </w:r>
      <w:r>
        <w:t xml:space="preserve">ection of the environmental covariate to use in the model. </w:t>
      </w:r>
      <w:r>
        <w:t>A</w:t>
      </w:r>
      <w:r>
        <w:t xml:space="preserve">ll the covariates we tested </w:t>
      </w:r>
      <w:r>
        <w:t xml:space="preserve">were tied to environmental conditions </w:t>
      </w:r>
      <w:r>
        <w:t>known to impact</w:t>
      </w:r>
      <w:r>
        <w:t xml:space="preserve"> key life</w:t>
      </w:r>
      <w:r w:rsidR="00F27F87">
        <w:t>- stages</w:t>
      </w:r>
      <w:r>
        <w:t xml:space="preserve"> of the oil</w:t>
      </w:r>
      <w:r>
        <w:t xml:space="preserve"> sardine. </w:t>
      </w:r>
      <w:r w:rsidR="004D1AC1">
        <w:t xml:space="preserve">However only two covariates, the </w:t>
      </w:r>
      <w:r w:rsidR="004D1AC1">
        <w:t xml:space="preserve">multiyear </w:t>
      </w:r>
      <w:r w:rsidR="004D1AC1">
        <w:t xml:space="preserve">average regional SST </w:t>
      </w:r>
      <w:r w:rsidR="004D1AC1">
        <w:t xml:space="preserve">and the monsoon rainfall levels over land </w:t>
      </w:r>
      <w:r w:rsidR="004D1AC1">
        <w:t xml:space="preserve">improved model fit and out of sample prediction. </w:t>
      </w:r>
      <w:r w:rsidR="00182B56">
        <w:t>However, the</w:t>
      </w:r>
      <w:r w:rsidR="004D1AC1">
        <w:t xml:space="preserve"> explanatory power of these two covariates varied over time (1956 to 2015) </w:t>
      </w:r>
      <w:r w:rsidR="00182B56">
        <w:t xml:space="preserve">becoming more explanatory </w:t>
      </w:r>
      <w:r w:rsidR="00182B56">
        <w:t>after</w:t>
      </w:r>
      <w:r w:rsidR="00182B56">
        <w:t xml:space="preserve"> 1990</w:t>
      </w:r>
      <w:r w:rsidR="004D1AC1">
        <w:t>.</w:t>
      </w:r>
    </w:p>
    <w:p w14:paraId="3C1ADD6E" w14:textId="77777777" w:rsidR="004D1AC1" w:rsidRDefault="004D1AC1" w:rsidP="008D7994">
      <w:pPr>
        <w:pStyle w:val="BodyText"/>
        <w:spacing w:before="0" w:after="0" w:line="480" w:lineRule="auto"/>
      </w:pPr>
    </w:p>
    <w:p w14:paraId="315F0CFE" w14:textId="143AEC55" w:rsidR="008030A4" w:rsidRPr="00A40966" w:rsidRDefault="008030A4" w:rsidP="008D7994">
      <w:pPr>
        <w:pStyle w:val="BodyText"/>
        <w:spacing w:before="0" w:after="0" w:line="480" w:lineRule="auto"/>
        <w:rPr>
          <w:b/>
        </w:rPr>
      </w:pPr>
      <w:r w:rsidRPr="00A40966">
        <w:rPr>
          <w:b/>
        </w:rPr>
        <w:t>4.1 Monsoon versus post-monsoon model performance</w:t>
      </w:r>
    </w:p>
    <w:p w14:paraId="6C2739D4" w14:textId="0A113292" w:rsidR="0082679E" w:rsidRDefault="0082679E" w:rsidP="008D7994">
      <w:pPr>
        <w:pStyle w:val="BodyText"/>
        <w:spacing w:before="0" w:after="0" w:line="480" w:lineRule="auto"/>
      </w:pPr>
      <w:r>
        <w:lastRenderedPageBreak/>
        <w:t>The Ju</w:t>
      </w:r>
      <w:r w:rsidR="00C81382">
        <w:t>ly</w:t>
      </w:r>
      <w:r>
        <w:t>-September catch (third quarter), which overlaps with the southwest monsoon and a seasonal fishery clos</w:t>
      </w:r>
      <w:r>
        <w:t xml:space="preserve">ure, is difficult to model. The best models with </w:t>
      </w:r>
      <w:r w:rsidR="005A53C7">
        <w:t xml:space="preserve">only </w:t>
      </w:r>
      <w:r>
        <w:t>prior catch as a covariate explained less than 30% of the variation</w:t>
      </w:r>
      <w:r>
        <w:t>, using either a non-linear or a time-varying effect of prior catch</w:t>
      </w:r>
      <w:r w:rsidR="0034471F">
        <w:t>, while t</w:t>
      </w:r>
      <w:r>
        <w:t xml:space="preserve">he best model with environmental covariates </w:t>
      </w:r>
      <w:r w:rsidR="0034471F">
        <w:t>explained 45% of the variation</w:t>
      </w:r>
      <w:r w:rsidR="0034471F">
        <w:t xml:space="preserve"> with median out </w:t>
      </w:r>
      <w:r w:rsidR="009408CC">
        <w:t xml:space="preserve">of </w:t>
      </w:r>
      <w:r w:rsidR="0034471F">
        <w:t xml:space="preserve">sample </w:t>
      </w:r>
      <w:r w:rsidR="009408CC">
        <w:t>prediction</w:t>
      </w:r>
      <w:r w:rsidR="0034471F">
        <w:t xml:space="preserve"> error</w:t>
      </w:r>
      <w:r w:rsidR="0034471F">
        <w:t>s</w:t>
      </w:r>
      <w:r w:rsidR="0034471F">
        <w:t xml:space="preserve"> of </w:t>
      </w:r>
      <w:r w:rsidR="0034471F">
        <w:t>+/-65% (of unlogged catch)</w:t>
      </w:r>
      <w:r w:rsidR="0034471F">
        <w:t xml:space="preserve">.  </w:t>
      </w:r>
      <w:r w:rsidR="00C81382">
        <w:t xml:space="preserve">We found no covariate that improved the </w:t>
      </w:r>
      <w:r w:rsidR="009408CC">
        <w:t>root mean squared</w:t>
      </w:r>
      <w:r w:rsidR="00C81382">
        <w:t xml:space="preserve"> </w:t>
      </w:r>
      <w:r w:rsidR="009408CC">
        <w:t xml:space="preserve">out of sample </w:t>
      </w:r>
      <w:r w:rsidR="00C81382">
        <w:t>prediction error</w:t>
      </w:r>
      <w:r w:rsidR="009408CC">
        <w:t xml:space="preserve"> (although some improved </w:t>
      </w:r>
      <w:r w:rsidR="009408CC">
        <w:t xml:space="preserve">the </w:t>
      </w:r>
      <w:r w:rsidR="009408CC">
        <w:t>median</w:t>
      </w:r>
      <w:r w:rsidR="009408CC">
        <w:t xml:space="preserve"> </w:t>
      </w:r>
      <w:r w:rsidR="009408CC">
        <w:t xml:space="preserve">prediction </w:t>
      </w:r>
      <w:r w:rsidR="009408CC">
        <w:t>errors)</w:t>
      </w:r>
      <w:r w:rsidR="00C81382">
        <w:t xml:space="preserve">. </w:t>
      </w:r>
      <w:r w:rsidR="0034471F">
        <w:t xml:space="preserve">In </w:t>
      </w:r>
      <w:r w:rsidR="0034471F">
        <w:t>contrast</w:t>
      </w:r>
      <w:r w:rsidR="0034471F">
        <w:t xml:space="preserve"> </w:t>
      </w:r>
      <w:r w:rsidR="0056224A">
        <w:t>variation in the</w:t>
      </w:r>
      <w:r w:rsidR="0034471F">
        <w:t xml:space="preserve"> post-monsoon </w:t>
      </w:r>
      <w:r w:rsidR="0034471F">
        <w:t>catch (October-Ma</w:t>
      </w:r>
      <w:r w:rsidR="00293521">
        <w:t>rch</w:t>
      </w:r>
      <w:r w:rsidR="0034471F">
        <w:t xml:space="preserve">) was much </w:t>
      </w:r>
      <w:r w:rsidR="0034471F">
        <w:t xml:space="preserve">better explained. </w:t>
      </w:r>
      <w:r w:rsidR="0034471F">
        <w:t xml:space="preserve">The best model with only prior catch as a covariate explained </w:t>
      </w:r>
      <w:r w:rsidR="0056224A">
        <w:t>57</w:t>
      </w:r>
      <w:r w:rsidR="0034471F">
        <w:t>% of the variation and with the best covariate, explained 7</w:t>
      </w:r>
      <w:r w:rsidR="0056224A">
        <w:t>2</w:t>
      </w:r>
      <w:r w:rsidR="0034471F">
        <w:t xml:space="preserve">%. </w:t>
      </w:r>
      <w:r w:rsidR="00C81382">
        <w:t xml:space="preserve">The best environmental covariate reduced the </w:t>
      </w:r>
      <w:r w:rsidR="00C81382">
        <w:t>prediction errors by more than 20%</w:t>
      </w:r>
      <w:r w:rsidR="00F05183">
        <w:t xml:space="preserve"> and explained two of t</w:t>
      </w:r>
      <w:r w:rsidR="00F05183">
        <w:t>he four recent catch collapses</w:t>
      </w:r>
      <w:r w:rsidR="004337C3">
        <w:t>.</w:t>
      </w:r>
    </w:p>
    <w:p w14:paraId="4FFCA86B" w14:textId="1D4BD7AA" w:rsidR="004D1AC1" w:rsidRDefault="004D1AC1" w:rsidP="00641D83">
      <w:pPr>
        <w:pStyle w:val="BodyText"/>
        <w:spacing w:before="0" w:after="0" w:line="480" w:lineRule="auto"/>
        <w:ind w:firstLine="360"/>
      </w:pPr>
      <w:r>
        <w:t xml:space="preserve">     Th</w:t>
      </w:r>
      <w:r>
        <w:t xml:space="preserve">is result cautions against modeling </w:t>
      </w:r>
      <w:r w:rsidR="00D943D1">
        <w:t>all quarters of</w:t>
      </w:r>
      <w:r>
        <w:t xml:space="preserve"> oil sardine catch</w:t>
      </w:r>
      <w:r>
        <w:t xml:space="preserve"> </w:t>
      </w:r>
      <w:r w:rsidR="00D943D1">
        <w:t>together (</w:t>
      </w:r>
      <w:r w:rsidR="00641D83">
        <w:t xml:space="preserve">as </w:t>
      </w:r>
      <w:r w:rsidR="00D943D1">
        <w:t>yearly catch)</w:t>
      </w:r>
      <w:r w:rsidR="00641D83">
        <w:t xml:space="preserve">. </w:t>
      </w:r>
      <w:r w:rsidR="00641D83" w:rsidRPr="00413B3A">
        <w:t>The J</w:t>
      </w:r>
      <w:r w:rsidR="00641D83" w:rsidRPr="003E2A48">
        <w:t>ul</w:t>
      </w:r>
      <w:r w:rsidR="00641D83">
        <w:t>y–</w:t>
      </w:r>
      <w:r w:rsidR="00641D83" w:rsidRPr="003E2A48">
        <w:t>Sep</w:t>
      </w:r>
      <w:r w:rsidR="00641D83">
        <w:t>tember</w:t>
      </w:r>
      <w:r w:rsidR="00641D83" w:rsidRPr="003E2A48">
        <w:t xml:space="preserve"> catch is difficult to </w:t>
      </w:r>
      <w:r w:rsidR="00641D83">
        <w:t>model</w:t>
      </w:r>
      <w:r w:rsidR="00641D83">
        <w:t>, as it exhibits</w:t>
      </w:r>
      <w:r w:rsidR="00641D83" w:rsidRPr="003E2A48">
        <w:t xml:space="preserve"> high variability that is poorly explained by past catch</w:t>
      </w:r>
      <w:r w:rsidR="00641D83">
        <w:t>es</w:t>
      </w:r>
      <w:r w:rsidR="00641D83" w:rsidRPr="003E2A48">
        <w:t xml:space="preserve"> or environment</w:t>
      </w:r>
      <w:r w:rsidR="00641D83">
        <w:t>al factors</w:t>
      </w:r>
      <w:r w:rsidR="00641D83" w:rsidRPr="003E2A48">
        <w:t>. In contrast, the Oct</w:t>
      </w:r>
      <w:r w:rsidR="00641D83">
        <w:t>ober–</w:t>
      </w:r>
      <w:r w:rsidR="00641D83" w:rsidRPr="003E2A48">
        <w:t>Mar</w:t>
      </w:r>
      <w:r w:rsidR="00641D83">
        <w:t>ch</w:t>
      </w:r>
      <w:r w:rsidR="00641D83" w:rsidRPr="003E2A48">
        <w:t xml:space="preserve"> catch is much better </w:t>
      </w:r>
      <w:proofErr w:type="gramStart"/>
      <w:r w:rsidR="00641D83" w:rsidRPr="003E2A48">
        <w:t>explained</w:t>
      </w:r>
      <w:proofErr w:type="gramEnd"/>
      <w:r w:rsidR="00641D83" w:rsidRPr="003E2A48">
        <w:t xml:space="preserve"> </w:t>
      </w:r>
      <w:r w:rsidR="0056224A">
        <w:t xml:space="preserve">and the best forecasts have </w:t>
      </w:r>
      <w:r w:rsidR="00641D83">
        <w:t>smaller</w:t>
      </w:r>
      <w:r w:rsidR="00641D83" w:rsidRPr="003E2A48">
        <w:t xml:space="preserve"> </w:t>
      </w:r>
      <w:r w:rsidR="00641D83">
        <w:t>predictive</w:t>
      </w:r>
      <w:r w:rsidR="00641D83" w:rsidRPr="003E2A48">
        <w:t xml:space="preserve"> errors.</w:t>
      </w:r>
      <w:r w:rsidR="00641D83">
        <w:t xml:space="preserve"> </w:t>
      </w:r>
      <w:r w:rsidR="00641D83">
        <w:t>Lumping all quarters together means that</w:t>
      </w:r>
      <w:r w:rsidR="00641D83">
        <w:t xml:space="preserve"> the high variability in the third quarter catch will hide the predictability of the October</w:t>
      </w:r>
      <w:r w:rsidR="006D7FDC">
        <w:t>-</w:t>
      </w:r>
      <w:r w:rsidR="00641D83">
        <w:t>Ma</w:t>
      </w:r>
      <w:r w:rsidR="00F05183">
        <w:t>rch</w:t>
      </w:r>
      <w:r w:rsidR="00F05183">
        <w:t xml:space="preserve"> catch, which </w:t>
      </w:r>
      <w:r w:rsidR="009408CC">
        <w:t>comprises</w:t>
      </w:r>
      <w:r w:rsidR="00F05183">
        <w:t xml:space="preserve"> 60-80% of the seasonal catch</w:t>
      </w:r>
      <w:r w:rsidR="00641D83">
        <w:t>.</w:t>
      </w:r>
    </w:p>
    <w:p w14:paraId="63FABF39" w14:textId="77777777" w:rsidR="00901E08" w:rsidRDefault="00901E08" w:rsidP="00A40966">
      <w:pPr>
        <w:pStyle w:val="BodyText"/>
        <w:spacing w:before="0" w:after="0" w:line="480" w:lineRule="auto"/>
        <w:ind w:firstLine="360"/>
      </w:pPr>
    </w:p>
    <w:p w14:paraId="49661E50" w14:textId="63A34D49" w:rsidR="0082679E" w:rsidRPr="00A40966" w:rsidRDefault="0082679E" w:rsidP="008D7994">
      <w:pPr>
        <w:pStyle w:val="BodyText"/>
        <w:spacing w:before="0" w:after="0" w:line="480" w:lineRule="auto"/>
        <w:rPr>
          <w:b/>
        </w:rPr>
      </w:pPr>
      <w:r w:rsidRPr="00A40966">
        <w:rPr>
          <w:b/>
        </w:rPr>
        <w:t>4.</w:t>
      </w:r>
      <w:r w:rsidR="00DF17F9">
        <w:rPr>
          <w:b/>
        </w:rPr>
        <w:t xml:space="preserve">2 </w:t>
      </w:r>
      <w:r w:rsidR="00114602">
        <w:rPr>
          <w:b/>
        </w:rPr>
        <w:t>Sea surface temperature</w:t>
      </w:r>
    </w:p>
    <w:p w14:paraId="70608CFB" w14:textId="7CF77B92" w:rsidR="00D943D1" w:rsidRDefault="00641D83" w:rsidP="00D943D1">
      <w:pPr>
        <w:pStyle w:val="BodyText"/>
        <w:spacing w:before="0" w:after="0" w:line="480" w:lineRule="auto"/>
      </w:pPr>
      <w:r>
        <w:t>In this study, the multi</w:t>
      </w:r>
      <w:r w:rsidR="009408CC">
        <w:t xml:space="preserve">year </w:t>
      </w:r>
      <w:r>
        <w:t xml:space="preserve">average regional SST explained the most variability in monsoon and post-monsoon oil sardine landings </w:t>
      </w:r>
      <w:r w:rsidR="00114602">
        <w:t xml:space="preserve">and improved out-of-sample </w:t>
      </w:r>
      <w:r w:rsidR="00114602">
        <w:t xml:space="preserve">catch prediction, reducing the </w:t>
      </w:r>
      <w:r w:rsidR="009408CC">
        <w:t>out of sample</w:t>
      </w:r>
      <w:r w:rsidR="00114602">
        <w:t xml:space="preserve"> prediction errors by 10-20%. </w:t>
      </w:r>
      <w:r w:rsidR="00901E08">
        <w:t>S</w:t>
      </w:r>
      <w:r w:rsidRPr="003E2A48">
        <w:t xml:space="preserve">tudies </w:t>
      </w:r>
      <w:r>
        <w:t xml:space="preserve">conducted </w:t>
      </w:r>
      <w:r w:rsidRPr="003E2A48">
        <w:t xml:space="preserve">in the </w:t>
      </w:r>
      <w:r w:rsidRPr="003E2A48">
        <w:lastRenderedPageBreak/>
        <w:t xml:space="preserve">California Current System have </w:t>
      </w:r>
      <w:r w:rsidR="00901E08">
        <w:t>also found that</w:t>
      </w:r>
      <w:r>
        <w:t xml:space="preserve"> the multiyear average SST</w:t>
      </w:r>
      <w:r w:rsidRPr="003E2A48">
        <w:t xml:space="preserve"> explains year-to-year variability in Pacific sardine recruitment (Checkley</w:t>
      </w:r>
      <w:r>
        <w:t>,</w:t>
      </w:r>
      <w:r w:rsidRPr="0065024E">
        <w:t xml:space="preserve"> </w:t>
      </w:r>
      <w:proofErr w:type="spellStart"/>
      <w:r w:rsidRPr="003E2A48">
        <w:t>Alheit</w:t>
      </w:r>
      <w:proofErr w:type="spellEnd"/>
      <w:r w:rsidRPr="003E2A48">
        <w:t>, Oozeki, &amp; Roy</w:t>
      </w:r>
      <w:r>
        <w:t>,</w:t>
      </w:r>
      <w:r w:rsidRPr="003E2A48">
        <w:t xml:space="preserve"> 2009</w:t>
      </w:r>
      <w:r>
        <w:t>; Checkley et al.,</w:t>
      </w:r>
      <w:r w:rsidRPr="003E2A48">
        <w:t xml:space="preserve"> 2017;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r>
        <w:t>This covariate has also been found to correlate with southern African sardine recruitmen</w:t>
      </w:r>
      <w:r w:rsidRPr="00A7331B">
        <w:t>t (</w:t>
      </w:r>
      <w:r w:rsidRPr="008D7994">
        <w:t xml:space="preserve">Boyer, Boyer, Fossen, &amp; </w:t>
      </w:r>
      <w:proofErr w:type="spellStart"/>
      <w:r w:rsidRPr="008D7994">
        <w:t>Kreiner</w:t>
      </w:r>
      <w:proofErr w:type="spellEnd"/>
      <w:r w:rsidRPr="008D7994">
        <w:t>, 2001</w:t>
      </w:r>
      <w:r w:rsidRPr="00A7331B">
        <w:t xml:space="preserve">). </w:t>
      </w:r>
      <w:proofErr w:type="spellStart"/>
      <w:r w:rsidRPr="003E2A48">
        <w:t>McClatchie</w:t>
      </w:r>
      <w:proofErr w:type="spellEnd"/>
      <w:r>
        <w:t>,</w:t>
      </w:r>
      <w:r w:rsidRPr="0065024E">
        <w:t xml:space="preserve"> </w:t>
      </w:r>
      <w:proofErr w:type="spellStart"/>
      <w:r w:rsidRPr="003E2A48">
        <w:t>Goericke</w:t>
      </w:r>
      <w:proofErr w:type="spellEnd"/>
      <w:r w:rsidRPr="003E2A48">
        <w:t xml:space="preserve">, </w:t>
      </w:r>
      <w:proofErr w:type="spellStart"/>
      <w:r w:rsidRPr="003E2A48">
        <w:t>Auad</w:t>
      </w:r>
      <w:proofErr w:type="spellEnd"/>
      <w:r w:rsidRPr="003E2A48">
        <w:t xml:space="preserve">, </w:t>
      </w:r>
      <w:r>
        <w:t xml:space="preserve">and </w:t>
      </w:r>
      <w:r w:rsidRPr="003E2A48">
        <w:t xml:space="preserve">Hill (2010) found no relationship </w:t>
      </w:r>
      <w:r>
        <w:t>between</w:t>
      </w:r>
      <w:r w:rsidRPr="003E2A48">
        <w:t xml:space="preserve"> SST and Pacific sardine recruitment, </w:t>
      </w:r>
      <w:r>
        <w:t xml:space="preserve">but they examined this relationship linearly; in the present study, as in the other cited studies, allowance of non-linearity </w:t>
      </w:r>
      <w:r w:rsidR="00CC53B1">
        <w:t>in the SST effect was important</w:t>
      </w:r>
      <w:r w:rsidRPr="003E2A48">
        <w:t>.</w:t>
      </w:r>
      <w:r>
        <w:t xml:space="preserve"> </w:t>
      </w:r>
      <w:r w:rsidR="00D943D1" w:rsidRPr="003E2A48">
        <w:t xml:space="preserve">Both Jacobson and </w:t>
      </w:r>
      <w:proofErr w:type="spellStart"/>
      <w:r w:rsidR="00D943D1" w:rsidRPr="003E2A48">
        <w:t>MacCall</w:t>
      </w:r>
      <w:proofErr w:type="spellEnd"/>
      <w:r w:rsidR="00D943D1" w:rsidRPr="003E2A48">
        <w:t xml:space="preserve"> (1995) and Checkley et al. (2017) found a step-like response function for temperature: below a threshold value the effect of temperature was linear </w:t>
      </w:r>
      <w:r w:rsidR="00CF5649">
        <w:t xml:space="preserve">(and positive) </w:t>
      </w:r>
      <w:r w:rsidR="00D943D1" w:rsidRPr="003E2A48">
        <w:t xml:space="preserve">and above the threshold, the effect was flat </w:t>
      </w:r>
      <w:r w:rsidR="00CF5649">
        <w:t xml:space="preserve">(no longer increased). </w:t>
      </w:r>
      <w:r w:rsidR="00CF5649">
        <w:t xml:space="preserve">In the linear portion of the effect curve, the point where the </w:t>
      </w:r>
      <w:r w:rsidR="00CF5649">
        <w:t xml:space="preserve">effect </w:t>
      </w:r>
      <w:r w:rsidR="00CF5649">
        <w:t>curve cross</w:t>
      </w:r>
      <w:r w:rsidR="00CF5649">
        <w:t>es</w:t>
      </w:r>
      <w:r w:rsidR="00CF5649">
        <w:t xml:space="preserve"> from negative </w:t>
      </w:r>
      <w:r w:rsidR="00CF5649">
        <w:t xml:space="preserve">to </w:t>
      </w:r>
      <w:r w:rsidR="00CF5649">
        <w:t xml:space="preserve">positive </w:t>
      </w:r>
      <w:r w:rsidR="00CF5649">
        <w:t>represents</w:t>
      </w:r>
      <w:r w:rsidR="00CF5649">
        <w:t xml:space="preserve"> </w:t>
      </w:r>
      <w:r w:rsidR="00CF5649">
        <w:t xml:space="preserve">an important biological </w:t>
      </w:r>
      <w:proofErr w:type="gramStart"/>
      <w:r w:rsidR="00CF5649">
        <w:t xml:space="preserve">threshold </w:t>
      </w:r>
      <w:r w:rsidR="00D943D1" w:rsidRPr="003E2A48">
        <w:t>.</w:t>
      </w:r>
      <w:proofErr w:type="gramEnd"/>
      <w:r w:rsidR="00D943D1" w:rsidRPr="003E2A48">
        <w:t xml:space="preserve"> Our analysis found a similar </w:t>
      </w:r>
      <w:r w:rsidR="00CF5649">
        <w:t>effect curve</w:t>
      </w:r>
      <w:r w:rsidR="00CF5649">
        <w:t xml:space="preserve"> </w:t>
      </w:r>
      <w:r w:rsidR="00D943D1" w:rsidRPr="003E2A48">
        <w:t xml:space="preserve">with a negative effect when the 2.5-year average temperature 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00D943D1"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00D943D1" w:rsidRPr="003E2A48">
        <w:t>C.</w:t>
      </w:r>
    </w:p>
    <w:p w14:paraId="2263E635" w14:textId="6A6318D3" w:rsidR="000857EA" w:rsidRDefault="000857EA" w:rsidP="008C2DB3">
      <w:pPr>
        <w:pStyle w:val="BodyText"/>
        <w:spacing w:before="0" w:after="0" w:line="480" w:lineRule="auto"/>
        <w:ind w:firstLine="360"/>
      </w:pPr>
      <w:r w:rsidRPr="006A6A34">
        <w:t>The SST in October–December, the period of larval and early juvenile development, may affect survival and growth in multiple ways and thus correlate with biomass in future years.</w:t>
      </w:r>
      <w:r w:rsidRPr="003E2A48">
        <w:t xml:space="preserve"> </w:t>
      </w:r>
      <w:r w:rsidR="00932082">
        <w:t>In some years, e</w:t>
      </w:r>
      <w:r w:rsidR="00932082">
        <w:t xml:space="preserve">xtreme heat events occur </w:t>
      </w:r>
      <w:r w:rsidR="00932082">
        <w:t xml:space="preserve">in </w:t>
      </w:r>
      <w:r w:rsidR="00932082" w:rsidRPr="006A6A34">
        <w:t>March–May</w:t>
      </w:r>
      <w:r w:rsidR="008C2DB3">
        <w:t xml:space="preserve"> </w:t>
      </w:r>
      <w:r w:rsidR="00932082">
        <w:t xml:space="preserve">during the period of egg development </w:t>
      </w:r>
      <w:r w:rsidR="00932082">
        <w:t xml:space="preserve">which may affect spawning and thus </w:t>
      </w:r>
      <w:r w:rsidR="008C2DB3">
        <w:t xml:space="preserve">the fall and future biomass. </w:t>
      </w:r>
      <w:r w:rsidR="009408CC">
        <w:t>However, w</w:t>
      </w:r>
      <w:r w:rsidR="00932082" w:rsidRPr="006A6A34">
        <w:t>e found no correlation of th</w:t>
      </w:r>
      <w:r w:rsidR="008C2DB3">
        <w:t>ese seasonal SST</w:t>
      </w:r>
      <w:r w:rsidR="00932082" w:rsidRPr="006A6A34">
        <w:t xml:space="preserve"> covariate</w:t>
      </w:r>
      <w:r w:rsidR="008C2DB3">
        <w:t>s</w:t>
      </w:r>
      <w:r w:rsidR="00932082" w:rsidRPr="006A6A34">
        <w:t xml:space="preserve"> with the July–September </w:t>
      </w:r>
      <w:r w:rsidR="008C2DB3">
        <w:t xml:space="preserve">or October-March </w:t>
      </w:r>
      <w:r w:rsidR="00932082" w:rsidRPr="006A6A34">
        <w:t>catch</w:t>
      </w:r>
      <w:r w:rsidR="008C2DB3">
        <w:t xml:space="preserve"> in the current or fu</w:t>
      </w:r>
      <w:r w:rsidR="008C2DB3">
        <w:t>ture seasons</w:t>
      </w:r>
      <w:r w:rsidR="00932082" w:rsidRPr="006A6A34">
        <w:t xml:space="preserve">. </w:t>
      </w:r>
      <w:r w:rsidR="00FB2A94">
        <w:t xml:space="preserve">Only the SST </w:t>
      </w:r>
      <w:r w:rsidR="00FB2A94">
        <w:t xml:space="preserve">averaged over </w:t>
      </w:r>
      <w:r w:rsidR="00FB2A94">
        <w:t xml:space="preserve">the lifespan of an oil sardine emerged as a consistently informative </w:t>
      </w:r>
      <w:r w:rsidR="00FB2A94">
        <w:t xml:space="preserve">SST </w:t>
      </w:r>
      <w:r w:rsidR="00FB2A94">
        <w:t>covariate.</w:t>
      </w:r>
    </w:p>
    <w:p w14:paraId="422F3669" w14:textId="77777777" w:rsidR="00FD4AE7" w:rsidRDefault="00FD4AE7" w:rsidP="00D943D1">
      <w:pPr>
        <w:pStyle w:val="BodyText"/>
        <w:spacing w:before="0" w:after="0" w:line="480" w:lineRule="auto"/>
      </w:pPr>
    </w:p>
    <w:p w14:paraId="745463DE" w14:textId="79F6A118" w:rsidR="00641D83" w:rsidRPr="00A40966" w:rsidRDefault="00FD4AE7" w:rsidP="00D943D1">
      <w:pPr>
        <w:pStyle w:val="BodyText"/>
        <w:spacing w:before="0" w:after="0" w:line="480" w:lineRule="auto"/>
        <w:rPr>
          <w:b/>
        </w:rPr>
      </w:pPr>
      <w:r w:rsidRPr="00A40966">
        <w:rPr>
          <w:b/>
        </w:rPr>
        <w:lastRenderedPageBreak/>
        <w:t>4.3 Precipitation</w:t>
      </w:r>
    </w:p>
    <w:p w14:paraId="706A2305" w14:textId="72E82090" w:rsidR="00635877" w:rsidRDefault="00385DA0" w:rsidP="00385DA0">
      <w:pPr>
        <w:pStyle w:val="BodyText"/>
        <w:spacing w:before="0" w:after="0" w:line="480" w:lineRule="auto"/>
        <w:ind w:firstLine="360"/>
      </w:pPr>
      <w:r>
        <w:t>From</w:t>
      </w:r>
      <w:r>
        <w:t xml:space="preserve"> early studies of oil sa</w:t>
      </w:r>
      <w:r>
        <w:t>rdines, p</w:t>
      </w:r>
      <w:r w:rsidR="00635877" w:rsidRPr="003E2A48">
        <w:t xml:space="preserve">recipitation during the </w:t>
      </w:r>
      <w:r>
        <w:t xml:space="preserve">summer </w:t>
      </w:r>
      <w:r w:rsidR="00635877" w:rsidRPr="003E2A48">
        <w:t xml:space="preserve">monsoon </w:t>
      </w:r>
      <w:r>
        <w:t>has</w:t>
      </w:r>
      <w:r>
        <w:t xml:space="preserve"> been studied as a</w:t>
      </w:r>
      <w:r w:rsidR="00E16409">
        <w:t xml:space="preserve"> </w:t>
      </w:r>
      <w:r>
        <w:t xml:space="preserve">variable to explain </w:t>
      </w:r>
      <w:r>
        <w:t>catch fluctuations</w:t>
      </w:r>
      <w:r w:rsidR="00635877" w:rsidRPr="003E2A48">
        <w:t xml:space="preserve"> (Antony Raja, 1969, 1974; </w:t>
      </w:r>
      <w:proofErr w:type="spellStart"/>
      <w:r w:rsidR="00635877" w:rsidRPr="003E2A48">
        <w:t>Murty</w:t>
      </w:r>
      <w:proofErr w:type="spellEnd"/>
      <w:r w:rsidR="00635877" w:rsidRPr="003E2A48">
        <w:t xml:space="preserve"> &amp; Edelman, 1966; Srinath, 1998). </w:t>
      </w:r>
      <w:r w:rsidR="00E16409">
        <w:rPr>
          <w:rFonts w:ascii="Times" w:hAnsi="Times" w:cs="Times"/>
        </w:rPr>
        <w:t>While correlations have been found, the i</w:t>
      </w:r>
      <w:r>
        <w:rPr>
          <w:rFonts w:ascii="Times" w:hAnsi="Times" w:cs="Times"/>
        </w:rPr>
        <w:t>dentified correlations between precipitation and oil sardine landings have been positive in some studies and negative in others (</w:t>
      </w:r>
      <w:proofErr w:type="spellStart"/>
      <w:r>
        <w:rPr>
          <w:rFonts w:ascii="Times" w:hAnsi="Times" w:cs="Times"/>
        </w:rPr>
        <w:t>Madhupratap</w:t>
      </w:r>
      <w:proofErr w:type="spellEnd"/>
      <w:r>
        <w:rPr>
          <w:rFonts w:ascii="Times" w:hAnsi="Times" w:cs="Times"/>
        </w:rPr>
        <w:t xml:space="preserve">, </w:t>
      </w:r>
      <w:proofErr w:type="spellStart"/>
      <w:r>
        <w:rPr>
          <w:rFonts w:ascii="Times" w:hAnsi="Times" w:cs="Times"/>
        </w:rPr>
        <w:t>Shetye</w:t>
      </w:r>
      <w:proofErr w:type="spellEnd"/>
      <w:r>
        <w:rPr>
          <w:rFonts w:ascii="Times" w:hAnsi="Times" w:cs="Times"/>
        </w:rPr>
        <w:t>, Nair, &amp; Nair, 1994) and varied depending on the time</w:t>
      </w:r>
      <w:r w:rsidR="009408CC">
        <w:rPr>
          <w:rFonts w:ascii="Times" w:hAnsi="Times" w:cs="Times"/>
        </w:rPr>
        <w:t xml:space="preserve"> period</w:t>
      </w:r>
      <w:r>
        <w:rPr>
          <w:rFonts w:ascii="Times" w:hAnsi="Times" w:cs="Times"/>
        </w:rPr>
        <w:t xml:space="preserve"> studied.</w:t>
      </w:r>
      <w:r>
        <w:rPr>
          <w:rFonts w:ascii="Times" w:hAnsi="Times" w:cs="Times"/>
        </w:rPr>
        <w:t xml:space="preserve"> In general, the correlation was assumed to be positive as rainfall is correlated with monsoon intensity which is in turn correlated with </w:t>
      </w:r>
      <w:r w:rsidR="009408CC">
        <w:rPr>
          <w:rFonts w:ascii="Times" w:hAnsi="Times" w:cs="Times"/>
        </w:rPr>
        <w:t xml:space="preserve">upwelling and </w:t>
      </w:r>
      <w:r>
        <w:rPr>
          <w:rFonts w:ascii="Times" w:hAnsi="Times" w:cs="Times"/>
        </w:rPr>
        <w:t xml:space="preserve">productivity. </w:t>
      </w:r>
      <w:r w:rsidR="00E16409">
        <w:t>But h</w:t>
      </w:r>
      <w:r w:rsidR="00635877">
        <w:t xml:space="preserve">eavy monsoon rain </w:t>
      </w:r>
      <w:r>
        <w:t xml:space="preserve">also has negative effects. During heavy rainfall, </w:t>
      </w:r>
      <w:r w:rsidR="00635877">
        <w:t xml:space="preserve">nutrient </w:t>
      </w:r>
      <w:r>
        <w:t>and sediments flow into the nearshore region f</w:t>
      </w:r>
      <w:r w:rsidR="00635877">
        <w:t>rom rivers</w:t>
      </w:r>
      <w:r>
        <w:t xml:space="preserve">, which leads to </w:t>
      </w:r>
      <w:r>
        <w:t xml:space="preserve">short-term </w:t>
      </w:r>
      <w:r w:rsidR="00635877">
        <w:t>eutrophication and anoxia</w:t>
      </w:r>
      <w:r>
        <w:t xml:space="preserve"> (</w:t>
      </w:r>
      <w:r w:rsidRPr="003E2A48">
        <w:t>Chauhan et al., 2011</w:t>
      </w:r>
      <w:r>
        <w:t>)</w:t>
      </w:r>
      <w:r w:rsidR="00635877">
        <w:t xml:space="preserve">. </w:t>
      </w:r>
    </w:p>
    <w:p w14:paraId="40A2628E" w14:textId="468E678F" w:rsidR="00E16409" w:rsidRDefault="00E16409" w:rsidP="00A40966">
      <w:pPr>
        <w:pStyle w:val="BodyText"/>
        <w:spacing w:before="0" w:after="0" w:line="480" w:lineRule="auto"/>
        <w:ind w:firstLine="360"/>
      </w:pPr>
      <w:r>
        <w:t>In our</w:t>
      </w:r>
      <w:r>
        <w:t xml:space="preserve"> study, we </w:t>
      </w:r>
      <w:r>
        <w:t>compared</w:t>
      </w:r>
      <w:r>
        <w:t xml:space="preserve"> rainfall </w:t>
      </w:r>
      <w:r>
        <w:t>over the ocean (</w:t>
      </w:r>
      <w:r w:rsidR="006A698C">
        <w:t xml:space="preserve">using </w:t>
      </w:r>
      <w:r>
        <w:t>remote-sensing data) and over the land (</w:t>
      </w:r>
      <w:r w:rsidR="006A698C">
        <w:t xml:space="preserve">using </w:t>
      </w:r>
      <w:r>
        <w:t>land-gauge data).</w:t>
      </w:r>
      <w:r>
        <w:t xml:space="preserve"> Though correlated, these are not identical. </w:t>
      </w:r>
      <w:r>
        <w:t xml:space="preserve">We found no correlation between rainfall </w:t>
      </w:r>
      <w:r>
        <w:t xml:space="preserve">over the ocean </w:t>
      </w:r>
      <w:r>
        <w:t>and catch</w:t>
      </w:r>
      <w:r>
        <w:t xml:space="preserve"> in any combination of our statistical tests. </w:t>
      </w:r>
      <w:r>
        <w:t xml:space="preserve">Oceanic rainfall was uniformly </w:t>
      </w:r>
      <w:proofErr w:type="spellStart"/>
      <w:r>
        <w:t>disinformative</w:t>
      </w:r>
      <w:proofErr w:type="spellEnd"/>
      <w:r>
        <w:t xml:space="preserve">—increasing </w:t>
      </w:r>
      <w:r w:rsidR="005A1DAE">
        <w:t xml:space="preserve">both </w:t>
      </w:r>
      <w:proofErr w:type="spellStart"/>
      <w:r>
        <w:t>AIC</w:t>
      </w:r>
      <w:r>
        <w:t>c</w:t>
      </w:r>
      <w:proofErr w:type="spellEnd"/>
      <w:r>
        <w:t xml:space="preserve"> and </w:t>
      </w:r>
      <w:r w:rsidR="005A1DAE">
        <w:t>out-of-sample</w:t>
      </w:r>
      <w:r>
        <w:t xml:space="preserve"> prediction errors</w:t>
      </w:r>
      <w:r w:rsidR="005A1DAE">
        <w:t>—</w:t>
      </w:r>
      <w:r>
        <w:t xml:space="preserve">across all combinations of models tested. In contrast the </w:t>
      </w:r>
      <w:r>
        <w:t xml:space="preserve">June-July </w:t>
      </w:r>
      <w:r>
        <w:t xml:space="preserve">precipitation over land </w:t>
      </w:r>
      <w:r>
        <w:t xml:space="preserve">in the current season </w:t>
      </w:r>
      <w:r>
        <w:t>was strongly informative</w:t>
      </w:r>
      <w:r w:rsidR="005A1DAE">
        <w:t xml:space="preserve"> </w:t>
      </w:r>
      <w:r w:rsidR="005A1DAE">
        <w:t>and was the only covariate besides the multiyear average SST that improved model fit and out-of-sample prediction.</w:t>
      </w:r>
      <w:r w:rsidR="005A1DAE">
        <w:t xml:space="preserve"> </w:t>
      </w:r>
      <w:r w:rsidR="00114602">
        <w:t>The effec</w:t>
      </w:r>
      <w:r w:rsidR="00114602">
        <w:t>t of precipitation was non-linear; zero for low to moderate rain and then negative at high precipitation.</w:t>
      </w:r>
      <w:r w:rsidR="00114602">
        <w:t xml:space="preserve"> This suggests that the </w:t>
      </w:r>
      <w:r w:rsidR="00561BC2">
        <w:t xml:space="preserve">negative effects of high rainfall </w:t>
      </w:r>
      <w:proofErr w:type="gramStart"/>
      <w:r w:rsidR="00114602">
        <w:t>w</w:t>
      </w:r>
      <w:r w:rsidR="00561BC2">
        <w:t>as</w:t>
      </w:r>
      <w:proofErr w:type="gramEnd"/>
      <w:r w:rsidR="00114602">
        <w:t xml:space="preserve"> the dominant impact</w:t>
      </w:r>
      <w:r w:rsidR="00561BC2">
        <w:t xml:space="preserve"> </w:t>
      </w:r>
      <w:r w:rsidR="00114602">
        <w:t xml:space="preserve">of precipitation on the catch. The effects were only seen </w:t>
      </w:r>
      <w:r w:rsidR="00561BC2">
        <w:t>o</w:t>
      </w:r>
      <w:r w:rsidR="00114602">
        <w:t>n the current seaso</w:t>
      </w:r>
      <w:r w:rsidR="00114602">
        <w:t xml:space="preserve">n </w:t>
      </w:r>
      <w:r w:rsidR="00561BC2">
        <w:t xml:space="preserve">catch </w:t>
      </w:r>
      <w:r w:rsidR="00114602">
        <w:t xml:space="preserve">and thus may reflect a temporary movement of fish offshore </w:t>
      </w:r>
      <w:r w:rsidR="00114602">
        <w:lastRenderedPageBreak/>
        <w:t>away from the fishery</w:t>
      </w:r>
      <w:r w:rsidR="00114602">
        <w:t xml:space="preserve"> rather than causing lower cohort strength that would persist into the next season.</w:t>
      </w:r>
    </w:p>
    <w:p w14:paraId="5B24F85D" w14:textId="140F43A7" w:rsidR="00D943D1" w:rsidRDefault="00D943D1" w:rsidP="00D943D1">
      <w:pPr>
        <w:pStyle w:val="BodyText"/>
        <w:spacing w:before="0" w:after="0" w:line="480" w:lineRule="auto"/>
      </w:pPr>
    </w:p>
    <w:p w14:paraId="43E501C3" w14:textId="3059540A" w:rsidR="00D943D1" w:rsidRPr="00A40966" w:rsidRDefault="00D943D1" w:rsidP="00481010">
      <w:pPr>
        <w:pStyle w:val="BodyText"/>
        <w:spacing w:before="0" w:after="0" w:line="480" w:lineRule="auto"/>
        <w:rPr>
          <w:b/>
        </w:rPr>
      </w:pPr>
      <w:r w:rsidRPr="00A40966">
        <w:rPr>
          <w:b/>
        </w:rPr>
        <w:t>4.</w:t>
      </w:r>
      <w:r w:rsidR="00DF17F9">
        <w:rPr>
          <w:b/>
        </w:rPr>
        <w:t>4</w:t>
      </w:r>
      <w:r w:rsidRPr="00A40966">
        <w:rPr>
          <w:b/>
        </w:rPr>
        <w:t xml:space="preserve"> </w:t>
      </w:r>
      <w:r w:rsidR="000857EA">
        <w:rPr>
          <w:b/>
        </w:rPr>
        <w:t>Upwelling</w:t>
      </w:r>
    </w:p>
    <w:p w14:paraId="522F19A2" w14:textId="146CD824" w:rsidR="00F96F58" w:rsidRDefault="00806920" w:rsidP="006A698C">
      <w:pPr>
        <w:pStyle w:val="BodyText"/>
        <w:spacing w:before="0" w:after="0" w:line="480" w:lineRule="auto"/>
        <w:ind w:firstLine="360"/>
      </w:pPr>
      <w:r w:rsidRPr="003E2A48">
        <w:t>Despite the strong connection</w:t>
      </w:r>
      <w:r w:rsidR="00A74E0B">
        <w:t>s of upwelling with</w:t>
      </w:r>
      <w:r w:rsidRPr="003E2A48">
        <w:t xml:space="preserve"> </w:t>
      </w:r>
      <w:r w:rsidR="00F96F58">
        <w:t>productivity which posit</w:t>
      </w:r>
      <w:r w:rsidR="00F96F58">
        <w:t xml:space="preserve">ively impacts </w:t>
      </w:r>
      <w:r w:rsidRPr="003E2A48">
        <w:t>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w:t>
      </w:r>
      <w:r w:rsidR="00AB5281">
        <w:t xml:space="preserve">(SST-nearshore-offshore differential, </w:t>
      </w:r>
      <w:proofErr w:type="spellStart"/>
      <w:r w:rsidR="00AB5281">
        <w:t>Bakun</w:t>
      </w:r>
      <w:proofErr w:type="spellEnd"/>
      <w:r w:rsidR="00AB5281">
        <w:t xml:space="preserve"> index, nor nearshore SST) </w:t>
      </w:r>
      <w:r w:rsidRPr="003E2A48">
        <w:t>explained year-to-year variation in landings</w:t>
      </w:r>
      <w:r w:rsidR="00F96F58">
        <w:t xml:space="preserve"> in any consistent pattern</w:t>
      </w:r>
      <w:r w:rsidRPr="003E2A48">
        <w:t>. W</w:t>
      </w:r>
      <w:r w:rsidR="00F96F58">
        <w:t>hen w</w:t>
      </w:r>
      <w:r w:rsidRPr="003E2A48">
        <w:t xml:space="preserve">e did find </w:t>
      </w:r>
      <w:r w:rsidR="00F96F58">
        <w:t>a rela</w:t>
      </w:r>
      <w:r w:rsidR="00F96F58">
        <w:t>tionship with</w:t>
      </w:r>
      <w:r w:rsidR="00A74E0B">
        <w:t xml:space="preserve"> current-season</w:t>
      </w:r>
      <w:r w:rsidRPr="003E2A48">
        <w:t xml:space="preserve"> upwelling intensity </w:t>
      </w:r>
      <w:r w:rsidR="00F96F58">
        <w:t>and catch, the</w:t>
      </w:r>
      <w:r w:rsidRPr="003E2A48">
        <w:t xml:space="preserve"> effect was negative</w:t>
      </w:r>
      <w:r w:rsidR="00A74E0B">
        <w:t>, rather than</w:t>
      </w:r>
      <w:r w:rsidRPr="003E2A48">
        <w:t xml:space="preserve"> positive</w:t>
      </w:r>
      <w:r w:rsidR="00AB5281">
        <w:t xml:space="preserve">. The negative effect </w:t>
      </w:r>
      <w:r w:rsidRPr="003E2A48">
        <w:t xml:space="preserve">emerged </w:t>
      </w:r>
      <w:r w:rsidR="006A698C">
        <w:t>at</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What was surprising is that </w:t>
      </w:r>
      <w:r w:rsidR="00AB5281">
        <w:t>we found no evidence of a</w:t>
      </w:r>
      <w:r w:rsidR="00AB5281">
        <w:t xml:space="preserve">n optimal intermediate </w:t>
      </w:r>
      <w:r w:rsidR="00AB5281">
        <w:t>upwelling intensity</w:t>
      </w:r>
      <w:r w:rsidR="00AB5281">
        <w:t>, i.e. an effect curve with a peak at some intermediate level</w:t>
      </w:r>
      <w:r w:rsidR="006A0271">
        <w:t>, as found for other sardines (</w:t>
      </w:r>
      <w:proofErr w:type="spellStart"/>
      <w:r w:rsidR="006A0271">
        <w:t>Deyle</w:t>
      </w:r>
      <w:proofErr w:type="spellEnd"/>
      <w:r w:rsidR="006A0271">
        <w:t xml:space="preserve"> et al., 2013). </w:t>
      </w:r>
    </w:p>
    <w:p w14:paraId="0E583138" w14:textId="6D1005FD" w:rsidR="008C2DB3" w:rsidRDefault="00AB5281" w:rsidP="006A698C">
      <w:pPr>
        <w:pStyle w:val="BodyText"/>
        <w:spacing w:before="0" w:after="0" w:line="480" w:lineRule="auto"/>
        <w:ind w:firstLine="360"/>
      </w:pPr>
      <w:r>
        <w:t>T</w:t>
      </w:r>
      <w:r w:rsidR="00481010">
        <w:t>he</w:t>
      </w:r>
      <w:r w:rsidR="00481010" w:rsidRPr="003E2A48">
        <w:t xml:space="preserve"> upwelling indices</w:t>
      </w:r>
      <w:r w:rsidR="00481010">
        <w:t xml:space="preserve"> tested in this study</w:t>
      </w:r>
      <w:r w:rsidR="00481010" w:rsidRPr="003E2A48">
        <w:t xml:space="preserve"> capture only </w:t>
      </w:r>
      <w:r w:rsidR="00481010">
        <w:t>nearshore intensity, whereas o</w:t>
      </w:r>
      <w:r w:rsidR="00481010" w:rsidRPr="003E2A48">
        <w:t xml:space="preserve">ther aspects of upwelling, such as </w:t>
      </w:r>
      <w:r w:rsidR="00481010">
        <w:t>its</w:t>
      </w:r>
      <w:r w:rsidR="00481010" w:rsidRPr="003E2A48">
        <w:t xml:space="preserve"> spatial extent along the coast and the timing of </w:t>
      </w:r>
      <w:r w:rsidR="00481010">
        <w:t>its initiation, also affect Indian oil sardines</w:t>
      </w:r>
      <w:r w:rsidR="00481010" w:rsidRPr="003E2A48">
        <w:t>.</w:t>
      </w:r>
      <w:r w:rsidR="006A698C">
        <w:t xml:space="preserve"> We did find </w:t>
      </w:r>
      <w:r w:rsidR="008C2DB3" w:rsidRPr="006A6A34">
        <w:t xml:space="preserve">support for </w:t>
      </w:r>
      <w:r w:rsidR="006A698C">
        <w:t>a more direct measure of productivity</w:t>
      </w:r>
      <w:r w:rsidR="006A698C" w:rsidRPr="006A6A34">
        <w:t xml:space="preserve"> and food availability</w:t>
      </w:r>
      <w:r w:rsidR="006A698C">
        <w:t>:</w:t>
      </w:r>
      <w:r w:rsidR="008C2DB3" w:rsidRPr="006A6A34">
        <w:t xml:space="preserve"> </w:t>
      </w:r>
      <w:r w:rsidR="006A698C">
        <w:t xml:space="preserve">the coastal </w:t>
      </w:r>
      <w:r w:rsidR="008C2DB3" w:rsidRPr="006A6A34">
        <w:t>surface chlorophyll-a concentration</w:t>
      </w:r>
      <w:r w:rsidR="006A698C">
        <w:t xml:space="preserve">. </w:t>
      </w:r>
      <w:r w:rsidR="00DF17F9">
        <w:t>C</w:t>
      </w:r>
      <w:r w:rsidR="00584594">
        <w:t>hlorophyll</w:t>
      </w:r>
      <w:r w:rsidR="0056224A">
        <w:t>-a</w:t>
      </w:r>
      <w:r w:rsidR="00584594">
        <w:t xml:space="preserve"> concentration in fall</w:t>
      </w:r>
      <w:r w:rsidR="00584594">
        <w:t xml:space="preserve">, the period of peak juvenile somatic growth, </w:t>
      </w:r>
      <w:r w:rsidR="00DF17F9">
        <w:t>explained</w:t>
      </w:r>
      <w:r w:rsidR="00584594">
        <w:t xml:space="preserve"> </w:t>
      </w:r>
      <w:r w:rsidR="00584594">
        <w:t xml:space="preserve">the October-March catch in the </w:t>
      </w:r>
      <w:r w:rsidR="00584594">
        <w:t>next season</w:t>
      </w:r>
      <w:r w:rsidR="00DF17F9">
        <w:t xml:space="preserve">, </w:t>
      </w:r>
      <w:r w:rsidR="00DF17F9">
        <w:t xml:space="preserve">reducing </w:t>
      </w:r>
      <w:r w:rsidR="00F96F58">
        <w:t xml:space="preserve">out of sample </w:t>
      </w:r>
      <w:r w:rsidR="00DF17F9">
        <w:t xml:space="preserve">prediction errors by 10% </w:t>
      </w:r>
      <w:r w:rsidR="00F96F58">
        <w:t>to</w:t>
      </w:r>
      <w:r w:rsidR="00DF17F9">
        <w:t xml:space="preserve"> 20%.</w:t>
      </w:r>
      <w:r w:rsidR="00DF17F9">
        <w:t xml:space="preserve"> </w:t>
      </w:r>
      <w:r w:rsidR="00DF17F9">
        <w:t xml:space="preserve"> With chlorophyll data only available after 1997, the power of our tests was </w:t>
      </w:r>
      <w:r w:rsidR="00DF17F9">
        <w:lastRenderedPageBreak/>
        <w:t>limited</w:t>
      </w:r>
      <w:r w:rsidR="00F96F58">
        <w:t xml:space="preserve">, </w:t>
      </w:r>
      <w:r w:rsidR="00DF17F9">
        <w:t>but this suggests that fall chlorophyll</w:t>
      </w:r>
      <w:r w:rsidR="0056224A">
        <w:t>-a</w:t>
      </w:r>
      <w:r w:rsidR="00DF17F9">
        <w:t xml:space="preserve"> concentration</w:t>
      </w:r>
      <w:r w:rsidR="00F96F58">
        <w:t xml:space="preserve">, when available, </w:t>
      </w:r>
      <w:r w:rsidR="00F96F58">
        <w:t>may prove useful for improving forecasts</w:t>
      </w:r>
      <w:r w:rsidR="00DF17F9">
        <w:t>.</w:t>
      </w:r>
    </w:p>
    <w:p w14:paraId="426042EE" w14:textId="1B6E3B43" w:rsidR="00AB5281" w:rsidRPr="003E2A48" w:rsidRDefault="00AB5281" w:rsidP="00A40966">
      <w:pPr>
        <w:pStyle w:val="BodyText"/>
        <w:spacing w:before="0" w:after="0" w:line="480" w:lineRule="auto"/>
      </w:pPr>
    </w:p>
    <w:p w14:paraId="5A757FBF" w14:textId="0407D95C" w:rsidR="000857EA" w:rsidRPr="0083719D" w:rsidRDefault="000857EA" w:rsidP="000857EA">
      <w:pPr>
        <w:pStyle w:val="BodyText"/>
        <w:spacing w:before="0" w:after="0" w:line="480" w:lineRule="auto"/>
        <w:rPr>
          <w:b/>
        </w:rPr>
      </w:pPr>
      <w:r w:rsidRPr="0083719D">
        <w:rPr>
          <w:b/>
        </w:rPr>
        <w:t>4.</w:t>
      </w:r>
      <w:r w:rsidR="00DF17F9">
        <w:rPr>
          <w:b/>
        </w:rPr>
        <w:t>5</w:t>
      </w:r>
      <w:r w:rsidRPr="0083719D">
        <w:rPr>
          <w:b/>
        </w:rPr>
        <w:t xml:space="preserve"> Oil sardine collapses</w:t>
      </w:r>
    </w:p>
    <w:p w14:paraId="68B29E8C" w14:textId="1FED74CA" w:rsidR="000857EA" w:rsidRDefault="000857EA" w:rsidP="000857EA">
      <w:pPr>
        <w:pStyle w:val="BodyText"/>
        <w:spacing w:before="0" w:after="0" w:line="480" w:lineRule="auto"/>
        <w:ind w:firstLine="720"/>
      </w:pPr>
      <w:r w:rsidRPr="003E2A48">
        <w:t>There were four years when Oct</w:t>
      </w:r>
      <w:r>
        <w:t>ober</w:t>
      </w:r>
      <w:r w:rsidRPr="003E2A48">
        <w:t>-Ma</w:t>
      </w:r>
      <w:r>
        <w:t>rch</w:t>
      </w:r>
      <w:r w:rsidRPr="003E2A48">
        <w:t xml:space="preserve"> oil sardine landings were much lower than expected based on prior catches: 1986, 1991, 1994 and 2013. The 2.5-year average SST explained the collapses in 1986 and 1991 (Figure 6</w:t>
      </w:r>
      <w:r w:rsidR="0056224A">
        <w:t>d</w:t>
      </w:r>
      <w:r w:rsidRPr="003E2A48">
        <w:t xml:space="preserve">). The largest collapse was in 1994 and the most recent, in our dataset, was 2013. The 2.5-year average SST did not </w:t>
      </w:r>
      <w:r>
        <w:t>successfully predict</w:t>
      </w:r>
      <w:r w:rsidRPr="003E2A48">
        <w:t xml:space="preserve"> the 1994 nor 2013 collapses</w:t>
      </w:r>
      <w:r>
        <w:t>; although the prediction error was reduced for both years, it was still large</w:t>
      </w:r>
      <w:r w:rsidRPr="003E2A48">
        <w:t>. The same pattern was seen for the Jul</w:t>
      </w:r>
      <w:r>
        <w:t>y</w:t>
      </w:r>
      <w:r w:rsidRPr="003E2A48">
        <w:t>-Sep</w:t>
      </w:r>
      <w:r>
        <w:t>tember</w:t>
      </w:r>
      <w:r w:rsidRPr="003E2A48">
        <w:t xml:space="preserve"> catch, with the exception that 1991 </w:t>
      </w:r>
      <w:r w:rsidR="00F96F58">
        <w:t>was not</w:t>
      </w:r>
      <w:r w:rsidRPr="003E2A48">
        <w:t xml:space="preserve"> unusually low</w:t>
      </w:r>
      <w:r w:rsidR="0056224A">
        <w:t xml:space="preserve"> (Figure 6b)</w:t>
      </w:r>
      <w:r w:rsidRPr="003E2A48">
        <w:t xml:space="preserve">. The 2.5-year average SST reduced the prediction error for </w:t>
      </w:r>
      <w:proofErr w:type="gramStart"/>
      <w:r w:rsidRPr="003E2A48">
        <w:t>1986, but</w:t>
      </w:r>
      <w:proofErr w:type="gramEnd"/>
      <w:r w:rsidRPr="003E2A48">
        <w:t xml:space="preserve"> did not (appreciably) for 1994 nor 2013. In fact, none of the covariates we tested explained the lower than expected 1994 catch</w:t>
      </w:r>
      <w:r>
        <w:t xml:space="preserve">; while only the precipitation over land in June-July </w:t>
      </w:r>
      <w:r w:rsidR="0056224A">
        <w:t>explained</w:t>
      </w:r>
      <w:r>
        <w:t xml:space="preserve"> the 2013 collapse (but not 1994, 1991, nor 1986)</w:t>
      </w:r>
      <w:r w:rsidRPr="003E2A48">
        <w:t xml:space="preserve">. The causes of the unusual </w:t>
      </w:r>
      <w:r>
        <w:t xml:space="preserve">1994 </w:t>
      </w:r>
      <w:r w:rsidRPr="003E2A48">
        <w:t>decline appear unrelated to the environmental factors we studied, suggesting either that other factors, biological or anthropogenic, drove th</w:t>
      </w:r>
      <w:r>
        <w:t>is</w:t>
      </w:r>
      <w:r w:rsidRPr="003E2A48">
        <w:t xml:space="preserve"> decline or that a particular combination of environmental factors </w:t>
      </w:r>
      <w:r>
        <w:t>was responsible</w:t>
      </w:r>
      <w:r w:rsidRPr="003E2A48">
        <w:t xml:space="preserve">. </w:t>
      </w:r>
    </w:p>
    <w:p w14:paraId="0219E558" w14:textId="1721C0C8" w:rsidR="00685AF2" w:rsidRPr="003E2A48" w:rsidRDefault="00685AF2" w:rsidP="00A40966">
      <w:pPr>
        <w:pStyle w:val="BodyText"/>
        <w:spacing w:before="0" w:after="0" w:line="480" w:lineRule="auto"/>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5"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5"/>
    </w:p>
    <w:p w14:paraId="3C4519A7" w14:textId="6F1FF519"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w:t>
      </w:r>
      <w:r w:rsidR="002650D9">
        <w:lastRenderedPageBreak/>
        <w:t xml:space="preserve">ocean </w:t>
      </w:r>
      <w:r w:rsidR="00806920" w:rsidRPr="003E2A48">
        <w:t>measurement</w:t>
      </w:r>
      <w:r w:rsidR="002650D9">
        <w:t>s</w:t>
      </w:r>
      <w:r w:rsidR="00806920" w:rsidRPr="003E2A48">
        <w:t xml:space="preserve">,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We found that the multiyear average </w:t>
      </w:r>
      <w:r w:rsidR="00DF17F9">
        <w:t>regional</w:t>
      </w:r>
      <w:r w:rsidR="00DF17F9" w:rsidRPr="003E2A48">
        <w:t xml:space="preserve"> </w:t>
      </w:r>
      <w:r w:rsidR="00806920" w:rsidRPr="003E2A48">
        <w:t xml:space="preserve">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F96F58">
        <w:t>but</w:t>
      </w:r>
      <w:r w:rsidR="00F96F58" w:rsidRPr="003E2A48">
        <w:t xml:space="preserve"> </w:t>
      </w:r>
      <w:r w:rsidR="00806920" w:rsidRPr="003E2A48">
        <w:t>it does integrate multiple influences (</w:t>
      </w:r>
      <w:r w:rsidR="00636F50">
        <w:t xml:space="preserve">i.e., </w:t>
      </w:r>
      <w:r w:rsidR="00806920" w:rsidRPr="003E2A48">
        <w:t>upwelling strength and temperature)</w:t>
      </w:r>
      <w:r w:rsidR="00F96F58">
        <w:t xml:space="preserve"> over the average oil sardine life</w:t>
      </w:r>
      <w:r w:rsidR="002650D9">
        <w:t>span</w:t>
      </w:r>
      <w:r w:rsidR="00806920" w:rsidRPr="003E2A48">
        <w:t>.</w:t>
      </w:r>
      <w:r w:rsidR="002650D9">
        <w:t xml:space="preserve"> The </w:t>
      </w:r>
      <w:proofErr w:type="gramStart"/>
      <w:r w:rsidR="002650D9">
        <w:t>second best</w:t>
      </w:r>
      <w:proofErr w:type="gramEnd"/>
      <w:r w:rsidR="002650D9">
        <w:t xml:space="preserve"> covariate was the precipitation over land, not ocean, </w:t>
      </w:r>
      <w:r w:rsidR="002650D9">
        <w:t>with a negative effect of high rainfall leading to lower catch in the current season.</w:t>
      </w:r>
    </w:p>
    <w:p w14:paraId="14203579" w14:textId="010A9D8B" w:rsidR="000753F6"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w:t>
      </w:r>
      <w:r w:rsidRPr="003E2A48">
        <w:lastRenderedPageBreak/>
        <w:t>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w:t>
      </w:r>
      <w:r w:rsidR="00CE11E9">
        <w:t xml:space="preserve"> </w:t>
      </w:r>
      <w:r w:rsidRPr="003E2A48">
        <w:t xml:space="preserve">monitoring </w:t>
      </w:r>
      <w:r w:rsidR="00CE11E9">
        <w:t xml:space="preserve">of </w:t>
      </w:r>
      <w:r w:rsidRPr="003E2A48">
        <w:t xml:space="preserve">covariate performance </w:t>
      </w:r>
      <w:r w:rsidR="002650D9">
        <w:t xml:space="preserve">in catch forecast models </w:t>
      </w:r>
      <w:r w:rsidR="00CE11E9">
        <w:t>is</w:t>
      </w:r>
      <w:r w:rsidRPr="003E2A48">
        <w:t xml:space="preserve"> crucial</w:t>
      </w:r>
      <w:r w:rsidR="00CE11E9">
        <w:t>,</w:t>
      </w:r>
      <w:r w:rsidRPr="003E2A48">
        <w:t xml:space="preserve"> as 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observed in this study</w:t>
      </w:r>
      <w:r w:rsidR="000753F6">
        <w:t xml:space="preserve"> when we examined the covariate </w:t>
      </w:r>
      <w:r w:rsidR="002650D9">
        <w:t>explanatory power</w:t>
      </w:r>
      <w:r w:rsidR="000753F6">
        <w:t xml:space="preserve"> over the entire 1956 to 2015 catch time series</w:t>
      </w:r>
      <w:r w:rsidRPr="003E2A48">
        <w:t>.</w:t>
      </w:r>
      <w:r w:rsidR="000753F6">
        <w:t xml:space="preserve"> </w:t>
      </w:r>
    </w:p>
    <w:p w14:paraId="41F5EBEB" w14:textId="3BD4B2FD" w:rsidR="008062F9" w:rsidRDefault="000753F6" w:rsidP="003E42D4">
      <w:pPr>
        <w:pStyle w:val="BodyText"/>
        <w:spacing w:before="0" w:after="0" w:line="480" w:lineRule="auto"/>
        <w:ind w:firstLine="360"/>
      </w:pPr>
      <w:r>
        <w:t xml:space="preserve">Our study </w:t>
      </w:r>
      <w:r>
        <w:t xml:space="preserve">emphasizes a </w:t>
      </w:r>
      <w:r>
        <w:t>number of key points for developing catch forecast models</w:t>
      </w:r>
      <w:r>
        <w:t xml:space="preserve">. </w:t>
      </w:r>
      <w:r w:rsidR="003E42D4">
        <w:t>First,</w:t>
      </w:r>
      <w:r>
        <w:t xml:space="preserve"> non-linear </w:t>
      </w:r>
      <w:r>
        <w:t xml:space="preserve">effects </w:t>
      </w:r>
      <w:r>
        <w:t>are common</w:t>
      </w:r>
      <w:r>
        <w:t xml:space="preserve"> and important to include</w:t>
      </w:r>
      <w:r>
        <w:t xml:space="preserve">. All the informative covariates </w:t>
      </w:r>
      <w:r>
        <w:t>involved</w:t>
      </w:r>
      <w:r>
        <w:t xml:space="preserve"> a</w:t>
      </w:r>
      <w:r>
        <w:t xml:space="preserve"> non-linear effect </w:t>
      </w:r>
      <w:r>
        <w:t>curve which matched known</w:t>
      </w:r>
      <w:r>
        <w:t xml:space="preserve"> </w:t>
      </w:r>
      <w:r w:rsidR="00722A32">
        <w:t xml:space="preserve">covariate </w:t>
      </w:r>
      <w:r>
        <w:t xml:space="preserve">effects, e.g. a negative effect of a covariate at high levels. </w:t>
      </w:r>
      <w:r w:rsidR="003E42D4">
        <w:t>Second,</w:t>
      </w:r>
      <w:r w:rsidR="008B0E14">
        <w:t xml:space="preserve"> </w:t>
      </w:r>
      <w:r w:rsidR="003E42D4">
        <w:t>c</w:t>
      </w:r>
      <w:r w:rsidR="00F9375B">
        <w:t xml:space="preserve">ovariate effects change over </w:t>
      </w:r>
      <w:r w:rsidR="00F9375B">
        <w:t xml:space="preserve">time. Fisheries exist within complex multi-species ecological systems. </w:t>
      </w:r>
      <w:r w:rsidR="00F9375B">
        <w:t xml:space="preserve">Forecast models will need to </w:t>
      </w:r>
      <w:r w:rsidR="00722A32">
        <w:t>guard against changing effects</w:t>
      </w:r>
      <w:r w:rsidR="00F9375B">
        <w:t xml:space="preserve"> </w:t>
      </w:r>
      <w:r w:rsidR="00F9375B">
        <w:t xml:space="preserve">least the </w:t>
      </w:r>
      <w:r w:rsidR="003E42D4">
        <w:t xml:space="preserve">forecast </w:t>
      </w:r>
      <w:r w:rsidR="00F9375B">
        <w:t xml:space="preserve">model become </w:t>
      </w:r>
      <w:proofErr w:type="spellStart"/>
      <w:r w:rsidR="00F9375B">
        <w:t>dis</w:t>
      </w:r>
      <w:r w:rsidR="00F9375B">
        <w:t>informative</w:t>
      </w:r>
      <w:proofErr w:type="spellEnd"/>
      <w:r w:rsidR="00F9375B">
        <w:t xml:space="preserve">. </w:t>
      </w:r>
      <w:r w:rsidR="003E42D4">
        <w:t xml:space="preserve">Lastly) Model complexity comes at a price particularly when the goal is forecasting. </w:t>
      </w:r>
      <w:r w:rsidR="003E42D4">
        <w:t xml:space="preserve"> </w:t>
      </w:r>
      <w:r w:rsidR="003E42D4">
        <w:t>Inclusion of o</w:t>
      </w:r>
      <w:r w:rsidR="003E42D4">
        <w:t xml:space="preserve">ut-of-sample forecast metrics </w:t>
      </w:r>
      <w:r w:rsidR="003E42D4">
        <w:t xml:space="preserve">is crucial as these </w:t>
      </w:r>
      <w:r w:rsidR="003E42D4">
        <w:t>can give a very different picture than the model fit metrics. Covariates that are supported</w:t>
      </w:r>
      <w:r w:rsidR="00722A32">
        <w:t xml:space="preserve"> by model fit</w:t>
      </w:r>
      <w:r w:rsidR="003E42D4">
        <w:t>,</w:t>
      </w:r>
      <w:r w:rsidR="003E42D4">
        <w:t xml:space="preserve"> even using metrics that penalize extra complexity</w:t>
      </w:r>
      <w:r w:rsidR="003E42D4">
        <w:t xml:space="preserve">, </w:t>
      </w:r>
      <w:r w:rsidR="003E42D4">
        <w:t xml:space="preserve">may be still be uninformative or even </w:t>
      </w:r>
      <w:proofErr w:type="spellStart"/>
      <w:r w:rsidR="003E42D4">
        <w:t>disinformative</w:t>
      </w:r>
      <w:proofErr w:type="spellEnd"/>
      <w:r w:rsidR="003E42D4">
        <w:t xml:space="preserve"> for out-of-sample prediction.</w:t>
      </w:r>
      <w:r w:rsidR="003E42D4">
        <w:t xml:space="preserve"> </w:t>
      </w:r>
      <w:r w:rsidR="004442FC">
        <w:t>Nonetheless, i</w:t>
      </w:r>
      <w:r w:rsidR="004442FC">
        <w:t>ncluding key environmental covariates</w:t>
      </w:r>
      <w:r w:rsidR="004442FC">
        <w:t xml:space="preserve"> </w:t>
      </w:r>
      <w:r w:rsidR="004442FC">
        <w:t xml:space="preserve">can </w:t>
      </w:r>
      <w:r w:rsidR="004442FC">
        <w:t xml:space="preserve">appreciably </w:t>
      </w:r>
      <w:r w:rsidR="004442FC">
        <w:t xml:space="preserve">improve </w:t>
      </w:r>
      <w:r w:rsidR="004442FC">
        <w:t>catch</w:t>
      </w:r>
      <w:r w:rsidR="004442FC">
        <w:t xml:space="preserve"> forecasts</w:t>
      </w:r>
      <w:r w:rsidR="004442FC">
        <w:t>,</w:t>
      </w:r>
      <w:r w:rsidR="004442FC">
        <w:t xml:space="preserve"> and </w:t>
      </w:r>
      <w:r w:rsidR="004442FC">
        <w:t xml:space="preserve">in particular, </w:t>
      </w:r>
      <w:r w:rsidR="004442FC">
        <w:t xml:space="preserve">the multiyear average sea surface temperature </w:t>
      </w:r>
      <w:r w:rsidR="004442FC">
        <w:t xml:space="preserve">has emerged as </w:t>
      </w:r>
      <w:r w:rsidR="004442FC">
        <w:t xml:space="preserve">an </w:t>
      </w:r>
      <w:r w:rsidR="004442FC">
        <w:t xml:space="preserve">informative </w:t>
      </w:r>
      <w:r w:rsidR="004442FC">
        <w:t xml:space="preserve">covariate </w:t>
      </w:r>
      <w:r w:rsidR="004442FC">
        <w:t xml:space="preserve">across </w:t>
      </w:r>
      <w:r w:rsidR="002650D9">
        <w:t>mul</w:t>
      </w:r>
      <w:r w:rsidR="002650D9">
        <w:t xml:space="preserve">tiple </w:t>
      </w:r>
      <w:r w:rsidR="004442FC">
        <w:t>studies on sardine species.</w:t>
      </w:r>
    </w:p>
    <w:p w14:paraId="12685E75" w14:textId="77777777" w:rsidR="000558C7" w:rsidRPr="003E2A48" w:rsidRDefault="000558C7" w:rsidP="00354701">
      <w:pPr>
        <w:spacing w:line="480" w:lineRule="auto"/>
        <w:rPr>
          <w:rFonts w:eastAsiaTheme="majorEastAsia" w:cstheme="majorBidi"/>
          <w:b/>
          <w:bCs/>
        </w:rPr>
      </w:pPr>
      <w:bookmarkStart w:id="16"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17" w:name="ref-AlheitHagen1997"/>
      <w:bookmarkStart w:id="18" w:name="refs"/>
      <w:bookmarkEnd w:id="16"/>
    </w:p>
    <w:p w14:paraId="40BD5C99" w14:textId="77777777" w:rsidR="008062F9" w:rsidRPr="00CE477A" w:rsidRDefault="00806920" w:rsidP="00AA3B73">
      <w:pPr>
        <w:pStyle w:val="Bibliography"/>
        <w:spacing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7">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line="480" w:lineRule="auto"/>
        <w:ind w:left="360" w:hanging="360"/>
      </w:pPr>
      <w:bookmarkStart w:id="19" w:name="ref-Alheitetal2012"/>
      <w:bookmarkEnd w:id="17"/>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8">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line="480" w:lineRule="auto"/>
        <w:ind w:left="360" w:hanging="360"/>
      </w:pPr>
      <w:bookmarkStart w:id="20" w:name="ref-Annigeri1969"/>
      <w:bookmarkEnd w:id="19"/>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line="480" w:lineRule="auto"/>
        <w:ind w:left="360" w:hanging="360"/>
      </w:pPr>
      <w:bookmarkStart w:id="21" w:name="ref-AntonyRaja1964"/>
      <w:bookmarkEnd w:id="20"/>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line="480" w:lineRule="auto"/>
        <w:ind w:left="360" w:hanging="360"/>
      </w:pPr>
      <w:bookmarkStart w:id="22" w:name="ref-AntonyRaja1969"/>
      <w:bookmarkEnd w:id="21"/>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line="480" w:lineRule="auto"/>
        <w:ind w:left="360" w:hanging="360"/>
      </w:pPr>
      <w:bookmarkStart w:id="23" w:name="ref-AntonyRaja1970"/>
      <w:bookmarkEnd w:id="22"/>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line="480" w:lineRule="auto"/>
        <w:ind w:left="360" w:hanging="360"/>
      </w:pPr>
      <w:bookmarkStart w:id="24" w:name="ref-AntonyRaja1974"/>
      <w:bookmarkEnd w:id="23"/>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line="480" w:lineRule="auto"/>
        <w:ind w:left="360" w:hanging="360"/>
      </w:pPr>
      <w:bookmarkStart w:id="25" w:name="ref-Bakunetal2008"/>
      <w:bookmarkEnd w:id="24"/>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line="480" w:lineRule="auto"/>
        <w:ind w:left="360" w:hanging="360"/>
      </w:pPr>
      <w:bookmarkStart w:id="26" w:name="ref-Bensam1964a"/>
      <w:bookmarkEnd w:id="25"/>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line="480" w:lineRule="auto"/>
        <w:ind w:left="360" w:hanging="360"/>
      </w:pPr>
      <w:bookmarkStart w:id="27" w:name="ref-Boyeretal2001"/>
      <w:bookmarkEnd w:id="26"/>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9">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line="480" w:lineRule="auto"/>
        <w:ind w:left="360" w:hanging="360"/>
      </w:pPr>
      <w:bookmarkStart w:id="28" w:name="ref-Smitha2010"/>
      <w:bookmarkEnd w:id="27"/>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line="480" w:lineRule="auto"/>
        <w:ind w:left="360" w:hanging="360"/>
      </w:pPr>
      <w:bookmarkStart w:id="29" w:name="ref-Smithaetal2008"/>
      <w:bookmarkEnd w:id="28"/>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0">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line="480" w:lineRule="auto"/>
        <w:ind w:left="360" w:hanging="360"/>
      </w:pPr>
      <w:bookmarkStart w:id="30" w:name="ref-Chauhanetal2011"/>
      <w:bookmarkEnd w:id="29"/>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1">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line="480" w:lineRule="auto"/>
        <w:ind w:left="360" w:hanging="360"/>
      </w:pPr>
      <w:bookmarkStart w:id="31" w:name="ref-Checkleyetal2009"/>
      <w:bookmarkEnd w:id="30"/>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line="480" w:lineRule="auto"/>
        <w:ind w:left="360" w:hanging="360"/>
      </w:pPr>
      <w:bookmarkStart w:id="32" w:name="ref-Checkleyetal2017"/>
      <w:bookmarkEnd w:id="31"/>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2">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line="480" w:lineRule="auto"/>
        <w:ind w:left="360" w:hanging="360"/>
      </w:pPr>
      <w:bookmarkStart w:id="33" w:name="ref-Chidambaram1950"/>
      <w:bookmarkEnd w:id="32"/>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line="480" w:lineRule="auto"/>
        <w:ind w:left="360" w:hanging="360"/>
        <w:rPr>
          <w:rStyle w:val="Hyperlink"/>
          <w:color w:val="auto"/>
        </w:rPr>
      </w:pPr>
      <w:bookmarkStart w:id="34" w:name="ref-CohenStone1987"/>
      <w:bookmarkEnd w:id="33"/>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3">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line="480" w:lineRule="auto"/>
        <w:ind w:left="360" w:hanging="360"/>
      </w:pPr>
      <w:bookmarkStart w:id="35" w:name="ref-Curyetal2000"/>
      <w:bookmarkEnd w:id="34"/>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4">
        <w:r w:rsidRPr="001A7D4A">
          <w:rPr>
            <w:rStyle w:val="Hyperlink"/>
            <w:color w:val="auto"/>
          </w:rPr>
          <w:t>https://doi.org/10.1006/jmsc.2000.0712</w:t>
        </w:r>
      </w:hyperlink>
    </w:p>
    <w:p w14:paraId="19AA9D74" w14:textId="5DD86AE3" w:rsidR="008062F9" w:rsidRDefault="00806920" w:rsidP="00AA3B73">
      <w:pPr>
        <w:pStyle w:val="Bibliography"/>
        <w:spacing w:line="480" w:lineRule="auto"/>
        <w:ind w:left="360" w:hanging="360"/>
        <w:rPr>
          <w:rStyle w:val="Hyperlink"/>
          <w:color w:val="auto"/>
        </w:rPr>
      </w:pPr>
      <w:bookmarkStart w:id="36" w:name="ref-DasEdwin2018"/>
      <w:bookmarkEnd w:id="35"/>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5">
        <w:r w:rsidRPr="001A7D4A">
          <w:rPr>
            <w:rStyle w:val="Hyperlink"/>
            <w:color w:val="auto"/>
          </w:rPr>
          <w:t>https://doi.org/10.21077/ijf.2018.65.1.69105-08</w:t>
        </w:r>
      </w:hyperlink>
    </w:p>
    <w:p w14:paraId="583949E0" w14:textId="31831810" w:rsidR="002075F4" w:rsidRDefault="002075F4" w:rsidP="002075F4">
      <w:pPr>
        <w:pStyle w:val="Bibliography"/>
        <w:spacing w:line="480" w:lineRule="auto"/>
        <w:ind w:left="360" w:hanging="360"/>
      </w:pPr>
      <w:proofErr w:type="spellStart"/>
      <w:r>
        <w:t>Deyle</w:t>
      </w:r>
      <w:proofErr w:type="spellEnd"/>
      <w:r>
        <w:t xml:space="preserve">, E. R., Fogarty, M., Hsieh, C., Kaufman, </w:t>
      </w:r>
      <w:r>
        <w:t>L.,</w:t>
      </w:r>
      <w:r>
        <w:t xml:space="preserve"> </w:t>
      </w:r>
      <w:proofErr w:type="spellStart"/>
      <w:r>
        <w:t>MacCall</w:t>
      </w:r>
      <w:proofErr w:type="spellEnd"/>
      <w:r>
        <w:t>, A</w:t>
      </w:r>
      <w:r>
        <w:t>.</w:t>
      </w:r>
      <w:r>
        <w:t xml:space="preserve"> D.</w:t>
      </w:r>
      <w:r>
        <w:t xml:space="preserve">, </w:t>
      </w:r>
      <w:r>
        <w:t>Munch, S</w:t>
      </w:r>
      <w:r>
        <w:t>.</w:t>
      </w:r>
      <w:r>
        <w:t xml:space="preserve"> B.</w:t>
      </w:r>
      <w:r>
        <w:t xml:space="preserve">, </w:t>
      </w:r>
      <w:proofErr w:type="spellStart"/>
      <w:r>
        <w:t>Perretti</w:t>
      </w:r>
      <w:proofErr w:type="spellEnd"/>
      <w:r>
        <w:t xml:space="preserve">, </w:t>
      </w:r>
      <w:r>
        <w:t>H.</w:t>
      </w:r>
      <w:r>
        <w:t xml:space="preserve"> Y</w:t>
      </w:r>
      <w:r>
        <w:t>., &amp;</w:t>
      </w:r>
      <w:r>
        <w:t xml:space="preserve"> Sugihara, </w:t>
      </w:r>
      <w:r>
        <w:t xml:space="preserve">G. (2013). </w:t>
      </w:r>
      <w:r>
        <w:t xml:space="preserve">Predicting climate effects on </w:t>
      </w:r>
      <w:r>
        <w:t>P</w:t>
      </w:r>
      <w:r>
        <w:t>acific sardine</w:t>
      </w:r>
      <w:r>
        <w:t xml:space="preserve">. </w:t>
      </w:r>
      <w:r w:rsidRPr="00A40966">
        <w:rPr>
          <w:i/>
        </w:rPr>
        <w:t>Proceedings of the National Academy of Science</w:t>
      </w:r>
      <w:r w:rsidRPr="00A40966">
        <w:rPr>
          <w:i/>
        </w:rPr>
        <w:t xml:space="preserve"> </w:t>
      </w:r>
      <w:r w:rsidRPr="00A40966">
        <w:rPr>
          <w:i/>
        </w:rPr>
        <w:t>110</w:t>
      </w:r>
      <w:r>
        <w:t>(</w:t>
      </w:r>
      <w:r>
        <w:t>16</w:t>
      </w:r>
      <w:r>
        <w:t>)</w:t>
      </w:r>
      <w:r>
        <w:t xml:space="preserve">, </w:t>
      </w:r>
      <w:r>
        <w:t>6430-6435</w:t>
      </w:r>
      <w:r>
        <w:t xml:space="preserve">. </w:t>
      </w:r>
      <w:r>
        <w:t>https://doi.org/10.1073/pnas.1215506110</w:t>
      </w:r>
    </w:p>
    <w:p w14:paraId="41673086" w14:textId="3DBB6FDB" w:rsidR="008062F9" w:rsidRPr="00CE477A" w:rsidRDefault="00806920" w:rsidP="002075F4">
      <w:pPr>
        <w:pStyle w:val="Bibliography"/>
        <w:spacing w:line="480" w:lineRule="auto"/>
        <w:ind w:left="360" w:hanging="360"/>
      </w:pPr>
      <w:bookmarkStart w:id="37" w:name="ref-FarmerFroeschke2015"/>
      <w:bookmarkEnd w:id="36"/>
      <w:r w:rsidRPr="001A7D4A">
        <w:lastRenderedPageBreak/>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r w:rsidR="002075F4" w:rsidRPr="00A40966">
        <w:t>https://doi.org/10.1080/02755947.2015.1044628</w:t>
      </w:r>
    </w:p>
    <w:p w14:paraId="2EBD662A" w14:textId="77777777" w:rsidR="008062F9" w:rsidRPr="00CE477A" w:rsidRDefault="00806920" w:rsidP="00AA3B73">
      <w:pPr>
        <w:pStyle w:val="Bibliography"/>
        <w:spacing w:line="480" w:lineRule="auto"/>
        <w:ind w:left="360" w:hanging="360"/>
      </w:pPr>
      <w:bookmarkStart w:id="38" w:name="ref-Garza-Giletal2015"/>
      <w:bookmarkEnd w:id="37"/>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hyperlink r:id="rId16">
        <w:r w:rsidRPr="001A7D4A">
          <w:rPr>
            <w:rStyle w:val="Hyperlink"/>
            <w:color w:val="auto"/>
          </w:rPr>
          <w:t>https://www.doi.org/10.5772/58877</w:t>
        </w:r>
      </w:hyperlink>
    </w:p>
    <w:p w14:paraId="330518CC" w14:textId="77777777" w:rsidR="008062F9" w:rsidRPr="00CE477A" w:rsidRDefault="00806920" w:rsidP="00AA3B73">
      <w:pPr>
        <w:pStyle w:val="Bibliography"/>
        <w:spacing w:line="480" w:lineRule="auto"/>
        <w:ind w:left="360" w:hanging="360"/>
      </w:pPr>
      <w:bookmarkStart w:id="39" w:name="ref-Georgakarakosetal2006"/>
      <w:bookmarkEnd w:id="38"/>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17">
        <w:r w:rsidRPr="001A7D4A">
          <w:rPr>
            <w:rStyle w:val="Hyperlink"/>
            <w:color w:val="auto"/>
          </w:rPr>
          <w:t>https://doi.org/10.1016/j.fishres.2005.12.003</w:t>
        </w:r>
      </w:hyperlink>
    </w:p>
    <w:p w14:paraId="65952525" w14:textId="77777777" w:rsidR="008062F9" w:rsidRPr="00CE477A" w:rsidRDefault="00806920" w:rsidP="00AA3B73">
      <w:pPr>
        <w:pStyle w:val="Bibliography"/>
        <w:spacing w:line="480" w:lineRule="auto"/>
        <w:ind w:left="360" w:hanging="360"/>
      </w:pPr>
      <w:bookmarkStart w:id="40" w:name="ref-Georgeetal2012"/>
      <w:bookmarkEnd w:id="39"/>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w:t>
      </w:r>
      <w:proofErr w:type="spellStart"/>
      <w:r w:rsidRPr="001A7D4A">
        <w:t>Babu</w:t>
      </w:r>
      <w:proofErr w:type="spellEnd"/>
      <w:r w:rsidRPr="001A7D4A">
        <w:t xml:space="preserve">,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18">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line="480" w:lineRule="auto"/>
        <w:ind w:left="360" w:hanging="360"/>
      </w:pPr>
      <w:bookmarkStart w:id="41" w:name="ref-Guptaetal2016"/>
      <w:bookmarkEnd w:id="40"/>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19">
        <w:r w:rsidRPr="001A7D4A">
          <w:rPr>
            <w:rStyle w:val="Hyperlink"/>
            <w:color w:val="auto"/>
          </w:rPr>
          <w:t>https://doi.org/10.1002/2015JG003163</w:t>
        </w:r>
      </w:hyperlink>
    </w:p>
    <w:p w14:paraId="292BCBEB" w14:textId="77777777" w:rsidR="008062F9" w:rsidRPr="003E2A48" w:rsidRDefault="00806920" w:rsidP="00AA3B73">
      <w:pPr>
        <w:pStyle w:val="Bibliography"/>
        <w:spacing w:line="480" w:lineRule="auto"/>
        <w:ind w:left="360" w:hanging="360"/>
      </w:pPr>
      <w:bookmarkStart w:id="42" w:name="ref-Habeebrehmanetal2008"/>
      <w:bookmarkEnd w:id="41"/>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0">
        <w:r w:rsidRPr="003E2A48">
          <w:rPr>
            <w:rStyle w:val="Hyperlink"/>
            <w:color w:val="auto"/>
          </w:rPr>
          <w:t>https://doi.org/10.1016/j.jmarsys.2008.04.002</w:t>
        </w:r>
      </w:hyperlink>
    </w:p>
    <w:p w14:paraId="103ACA98" w14:textId="77777777" w:rsidR="008062F9" w:rsidRPr="003E2A48" w:rsidRDefault="00806920" w:rsidP="00AA3B73">
      <w:pPr>
        <w:pStyle w:val="Bibliography"/>
        <w:spacing w:line="480" w:lineRule="auto"/>
        <w:ind w:left="360" w:hanging="360"/>
      </w:pPr>
      <w:bookmarkStart w:id="43" w:name="ref-Haltuchetal2019"/>
      <w:bookmarkEnd w:id="42"/>
      <w:proofErr w:type="spellStart"/>
      <w:r w:rsidRPr="003E2A48">
        <w:lastRenderedPageBreak/>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1">
        <w:r w:rsidRPr="003E2A48">
          <w:rPr>
            <w:rStyle w:val="Hyperlink"/>
            <w:color w:val="auto"/>
          </w:rPr>
          <w:t>https://doi.org/10.1016/j.fishres.2018.12.016</w:t>
        </w:r>
      </w:hyperlink>
    </w:p>
    <w:p w14:paraId="3A7AE2FD" w14:textId="77777777" w:rsidR="008062F9" w:rsidRPr="00CE477A" w:rsidRDefault="00806920" w:rsidP="00AA3B73">
      <w:pPr>
        <w:pStyle w:val="Bibliography"/>
        <w:spacing w:line="480" w:lineRule="auto"/>
        <w:ind w:left="360" w:hanging="360"/>
      </w:pPr>
      <w:bookmarkStart w:id="44" w:name="ref-Hansenetal2006"/>
      <w:bookmarkEnd w:id="43"/>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2">
        <w:r w:rsidRPr="001A7D4A">
          <w:rPr>
            <w:rStyle w:val="Hyperlink"/>
            <w:color w:val="auto"/>
          </w:rPr>
          <w:t>https://doi.org/10.1577/M04-096.1</w:t>
        </w:r>
      </w:hyperlink>
    </w:p>
    <w:p w14:paraId="1762DF7A" w14:textId="77777777" w:rsidR="008062F9" w:rsidRPr="00CE477A" w:rsidRDefault="00806920" w:rsidP="00AA3B73">
      <w:pPr>
        <w:pStyle w:val="Bibliography"/>
        <w:spacing w:line="480" w:lineRule="auto"/>
        <w:ind w:left="360" w:hanging="360"/>
      </w:pPr>
      <w:bookmarkStart w:id="45" w:name="ref-Holmesetal2012"/>
      <w:bookmarkEnd w:id="44"/>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3">
        <w:r w:rsidRPr="001A7D4A">
          <w:rPr>
            <w:rStyle w:val="Hyperlink"/>
            <w:color w:val="auto"/>
          </w:rPr>
          <w:t>https://doi.org/10.32614/RJ-2012-002</w:t>
        </w:r>
      </w:hyperlink>
    </w:p>
    <w:p w14:paraId="4723FD72" w14:textId="77777777" w:rsidR="008062F9" w:rsidRPr="00685AF2" w:rsidRDefault="00806920" w:rsidP="00AA3B73">
      <w:pPr>
        <w:pStyle w:val="Bibliography"/>
        <w:spacing w:line="480" w:lineRule="auto"/>
        <w:ind w:left="360" w:hanging="360"/>
      </w:pPr>
      <w:bookmarkStart w:id="46" w:name="ref-Hornell1910"/>
      <w:bookmarkEnd w:id="45"/>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line="480" w:lineRule="auto"/>
        <w:ind w:left="360" w:hanging="360"/>
      </w:pPr>
      <w:bookmarkStart w:id="47" w:name="ref-HornellNayudu1923"/>
      <w:bookmarkEnd w:id="46"/>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line="480" w:lineRule="auto"/>
        <w:ind w:left="360" w:hanging="360"/>
      </w:pPr>
      <w:bookmarkStart w:id="48" w:name="ref-JacobsonMacCall1995"/>
      <w:bookmarkEnd w:id="47"/>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4">
        <w:r w:rsidRPr="001A7D4A">
          <w:rPr>
            <w:rStyle w:val="Hyperlink"/>
            <w:color w:val="auto"/>
          </w:rPr>
          <w:t>https://doi.org/10.1139/f95-057</w:t>
        </w:r>
      </w:hyperlink>
    </w:p>
    <w:p w14:paraId="2FB6F1F0" w14:textId="77777777" w:rsidR="008062F9" w:rsidRPr="00685AF2" w:rsidRDefault="00806920" w:rsidP="00AA3B73">
      <w:pPr>
        <w:pStyle w:val="Bibliography"/>
        <w:spacing w:line="480" w:lineRule="auto"/>
        <w:ind w:left="360" w:hanging="360"/>
      </w:pPr>
      <w:bookmarkStart w:id="49" w:name="ref-Jayaprakash2002"/>
      <w:bookmarkEnd w:id="48"/>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line="480" w:lineRule="auto"/>
        <w:ind w:left="360" w:hanging="360"/>
      </w:pPr>
      <w:bookmarkStart w:id="50" w:name="ref-JayaprakashPillai2000"/>
      <w:bookmarkEnd w:id="49"/>
      <w:r w:rsidRPr="00685AF2">
        <w:lastRenderedPageBreak/>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line="480" w:lineRule="auto"/>
        <w:ind w:left="360" w:hanging="360"/>
      </w:pPr>
      <w:bookmarkStart w:id="51" w:name="ref-Jayarametal2010"/>
      <w:bookmarkEnd w:id="50"/>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5">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line="480" w:lineRule="auto"/>
        <w:ind w:left="360" w:hanging="360"/>
      </w:pPr>
      <w:bookmarkStart w:id="52" w:name="ref-Kripaetal2018"/>
      <w:bookmarkEnd w:id="51"/>
      <w:r w:rsidRPr="001A7D4A">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26">
        <w:r w:rsidRPr="001A7D4A">
          <w:rPr>
            <w:rStyle w:val="Hyperlink"/>
            <w:color w:val="auto"/>
          </w:rPr>
          <w:t>https://doi.org/10.3389/fmars.2018.00443</w:t>
        </w:r>
      </w:hyperlink>
    </w:p>
    <w:p w14:paraId="166ADF87" w14:textId="77777777" w:rsidR="008062F9" w:rsidRPr="00685AF2" w:rsidRDefault="00806920" w:rsidP="00AA3B73">
      <w:pPr>
        <w:pStyle w:val="Bibliography"/>
        <w:spacing w:line="480" w:lineRule="auto"/>
        <w:ind w:left="360" w:hanging="360"/>
      </w:pPr>
      <w:bookmarkStart w:id="53" w:name="ref-Krishnakumaretal2008"/>
      <w:bookmarkEnd w:id="52"/>
      <w:proofErr w:type="spellStart"/>
      <w:r w:rsidRPr="001A7D4A">
        <w:t>Krishn</w:t>
      </w:r>
      <w:r w:rsidRPr="00C71234">
        <w:t>akumar</w:t>
      </w:r>
      <w:proofErr w:type="spellEnd"/>
      <w:r w:rsidRPr="00C71234">
        <w:t>,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line="480" w:lineRule="auto"/>
        <w:ind w:left="360" w:hanging="360"/>
      </w:pPr>
      <w:bookmarkStart w:id="54" w:name="ref-Lawer2016"/>
      <w:bookmarkEnd w:id="53"/>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27">
        <w:r w:rsidRPr="001A7D4A">
          <w:rPr>
            <w:rStyle w:val="Hyperlink"/>
            <w:color w:val="auto"/>
          </w:rPr>
          <w:t>http://dx.doi.org/10.4236/nr.2016.74018</w:t>
        </w:r>
      </w:hyperlink>
    </w:p>
    <w:p w14:paraId="3C4A7DBA" w14:textId="77777777" w:rsidR="008062F9" w:rsidRPr="00CE477A" w:rsidRDefault="00806920" w:rsidP="00AA3B73">
      <w:pPr>
        <w:pStyle w:val="Bibliography"/>
        <w:spacing w:line="480" w:lineRule="auto"/>
        <w:ind w:left="360" w:hanging="360"/>
      </w:pPr>
      <w:bookmarkStart w:id="55" w:name="ref-LindegrenCheckley2012"/>
      <w:bookmarkEnd w:id="54"/>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28">
        <w:r w:rsidRPr="001A7D4A">
          <w:rPr>
            <w:rStyle w:val="Hyperlink"/>
            <w:color w:val="auto"/>
          </w:rPr>
          <w:t>https://doi.org/10.1139/cjfas-2012-0211</w:t>
        </w:r>
      </w:hyperlink>
    </w:p>
    <w:p w14:paraId="10C62E67" w14:textId="77777777" w:rsidR="008062F9" w:rsidRPr="00CE477A" w:rsidRDefault="00806920" w:rsidP="00AA3B73">
      <w:pPr>
        <w:pStyle w:val="Bibliography"/>
        <w:spacing w:line="480" w:lineRule="auto"/>
        <w:ind w:left="360" w:hanging="360"/>
      </w:pPr>
      <w:bookmarkStart w:id="56" w:name="ref-Lindegrenetal2013"/>
      <w:bookmarkEnd w:id="55"/>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 xml:space="preserve">Proceedings of </w:t>
      </w:r>
      <w:r w:rsidRPr="00685AF2">
        <w:rPr>
          <w:i/>
        </w:rPr>
        <w:lastRenderedPageBreak/>
        <w:t>the National Academy of Sciences</w:t>
      </w:r>
      <w:r w:rsidRPr="00685AF2">
        <w:t xml:space="preserve">, </w:t>
      </w:r>
      <w:r w:rsidRPr="00685AF2">
        <w:rPr>
          <w:i/>
        </w:rPr>
        <w:t>110</w:t>
      </w:r>
      <w:r w:rsidRPr="00685AF2">
        <w:t xml:space="preserve">(33), 13672–13677. </w:t>
      </w:r>
      <w:hyperlink r:id="rId29">
        <w:r w:rsidRPr="001A7D4A">
          <w:rPr>
            <w:rStyle w:val="Hyperlink"/>
            <w:color w:val="auto"/>
          </w:rPr>
          <w:t>https://doi.org/10.1073/pnas.1305733110</w:t>
        </w:r>
      </w:hyperlink>
    </w:p>
    <w:p w14:paraId="1DEED320" w14:textId="77777777" w:rsidR="008062F9" w:rsidRPr="00CE477A" w:rsidRDefault="00806920" w:rsidP="00AA3B73">
      <w:pPr>
        <w:pStyle w:val="Bibliography"/>
        <w:spacing w:line="480" w:lineRule="auto"/>
        <w:ind w:left="360" w:hanging="360"/>
      </w:pPr>
      <w:bookmarkStart w:id="57" w:name="ref-Lloretetal2000"/>
      <w:bookmarkEnd w:id="56"/>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0">
        <w:r w:rsidRPr="001A7D4A">
          <w:rPr>
            <w:rStyle w:val="Hyperlink"/>
            <w:color w:val="auto"/>
          </w:rPr>
          <w:t>https://doi.org/10.1006/jmsc.2000.0570</w:t>
        </w:r>
      </w:hyperlink>
    </w:p>
    <w:p w14:paraId="6E2644D2" w14:textId="77777777" w:rsidR="008062F9" w:rsidRPr="00CE477A" w:rsidRDefault="00806920" w:rsidP="00AA3B73">
      <w:pPr>
        <w:pStyle w:val="Bibliography"/>
        <w:spacing w:line="480" w:lineRule="auto"/>
        <w:ind w:left="360" w:hanging="360"/>
      </w:pPr>
      <w:bookmarkStart w:id="58" w:name="ref-LonghurstWooster1990"/>
      <w:bookmarkEnd w:id="57"/>
      <w:r w:rsidRPr="001A7D4A">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1">
        <w:r w:rsidRPr="001A7D4A">
          <w:rPr>
            <w:rStyle w:val="Hyperlink"/>
            <w:color w:val="auto"/>
          </w:rPr>
          <w:t>https://doi.org/10.1139/f90-268</w:t>
        </w:r>
      </w:hyperlink>
    </w:p>
    <w:p w14:paraId="4D2B1018" w14:textId="77777777" w:rsidR="008062F9" w:rsidRPr="00CE477A" w:rsidRDefault="00806920" w:rsidP="00AA3B73">
      <w:pPr>
        <w:pStyle w:val="Bibliography"/>
        <w:spacing w:line="480" w:lineRule="auto"/>
        <w:ind w:left="360" w:hanging="360"/>
      </w:pPr>
      <w:bookmarkStart w:id="59" w:name="ref-Madhupratapetal2001"/>
      <w:bookmarkEnd w:id="58"/>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w:t>
      </w:r>
      <w:proofErr w:type="spellStart"/>
      <w:r w:rsidRPr="00685AF2">
        <w:t>Mesozooplankton</w:t>
      </w:r>
      <w:proofErr w:type="spellEnd"/>
      <w:r w:rsidRPr="00685AF2">
        <w:t xml:space="preserve">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2">
        <w:r w:rsidRPr="001A7D4A">
          <w:rPr>
            <w:rStyle w:val="Hyperlink"/>
            <w:color w:val="auto"/>
          </w:rPr>
          <w:t>https://doi.org/10.1016/S0967-0645(00)00142-9</w:t>
        </w:r>
      </w:hyperlink>
    </w:p>
    <w:p w14:paraId="08154077" w14:textId="77777777" w:rsidR="008062F9" w:rsidRPr="00CE477A" w:rsidRDefault="00806920" w:rsidP="00AA3B73">
      <w:pPr>
        <w:pStyle w:val="Bibliography"/>
        <w:spacing w:line="480" w:lineRule="auto"/>
        <w:ind w:left="360" w:hanging="360"/>
      </w:pPr>
      <w:bookmarkStart w:id="60" w:name="ref-Madhupratapetal1994"/>
      <w:bookmarkEnd w:id="59"/>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3">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line="480" w:lineRule="auto"/>
        <w:ind w:left="360" w:hanging="360"/>
      </w:pPr>
      <w:bookmarkStart w:id="61" w:name="ref-McClatchieetal2010"/>
      <w:bookmarkEnd w:id="60"/>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4">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line="480" w:lineRule="auto"/>
        <w:ind w:left="360" w:hanging="360"/>
      </w:pPr>
      <w:bookmarkStart w:id="62" w:name="ref-Mendelssohn1981"/>
      <w:bookmarkEnd w:id="61"/>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line="480" w:lineRule="auto"/>
        <w:ind w:left="360" w:hanging="360"/>
      </w:pPr>
      <w:bookmarkStart w:id="63" w:name="ref-Menonetal2019"/>
      <w:bookmarkEnd w:id="62"/>
      <w:r w:rsidRPr="00685AF2">
        <w:lastRenderedPageBreak/>
        <w:t xml:space="preserve">Menon, N. N., </w:t>
      </w:r>
      <w:proofErr w:type="spellStart"/>
      <w:r w:rsidRPr="00685AF2">
        <w:t>Sankar</w:t>
      </w:r>
      <w:proofErr w:type="spellEnd"/>
      <w:r w:rsidRPr="00685AF2">
        <w:t xml:space="preserve">,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5">
        <w:r w:rsidRPr="003E2A48">
          <w:rPr>
            <w:rStyle w:val="Hyperlink"/>
            <w:color w:val="auto"/>
          </w:rPr>
          <w:t>https://doi.org/10.3354/meps12806</w:t>
        </w:r>
      </w:hyperlink>
    </w:p>
    <w:p w14:paraId="0F3FA01E" w14:textId="77777777" w:rsidR="008062F9" w:rsidRPr="003E2A48" w:rsidRDefault="00806920" w:rsidP="00AA3B73">
      <w:pPr>
        <w:pStyle w:val="Bibliography"/>
        <w:spacing w:line="480" w:lineRule="auto"/>
        <w:ind w:left="360" w:hanging="360"/>
      </w:pPr>
      <w:bookmarkStart w:id="64" w:name="ref-Moustahfidetal2018"/>
      <w:bookmarkEnd w:id="63"/>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line="480" w:lineRule="auto"/>
        <w:ind w:left="360" w:hanging="360"/>
      </w:pPr>
      <w:bookmarkStart w:id="65" w:name="ref-MurtyEdelman1966"/>
      <w:bookmarkEnd w:id="64"/>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line="480" w:lineRule="auto"/>
        <w:ind w:left="360" w:hanging="360"/>
      </w:pPr>
      <w:bookmarkStart w:id="66" w:name="ref-Naiduetal1999"/>
      <w:bookmarkEnd w:id="65"/>
      <w:r w:rsidRPr="00685AF2">
        <w:t xml:space="preserve">Naidu, P. D., Kumar, M. R. R., &amp; </w:t>
      </w:r>
      <w:proofErr w:type="spellStart"/>
      <w:r w:rsidRPr="00685AF2">
        <w:t>Babu</w:t>
      </w:r>
      <w:proofErr w:type="spellEnd"/>
      <w:r w:rsidRPr="00685AF2">
        <w:t xml:space="preserve">,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36">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line="480" w:lineRule="auto"/>
        <w:ind w:left="360" w:hanging="360"/>
      </w:pPr>
      <w:bookmarkStart w:id="67" w:name="ref-Nairetal2016"/>
      <w:bookmarkEnd w:id="66"/>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37">
        <w:r w:rsidRPr="001A7D4A">
          <w:rPr>
            <w:rStyle w:val="Hyperlink"/>
            <w:color w:val="auto"/>
          </w:rPr>
          <w:t>https://doi.org/10.6024/jmbai.2016.58.1.1899-07</w:t>
        </w:r>
      </w:hyperlink>
    </w:p>
    <w:p w14:paraId="3E202605" w14:textId="77777777" w:rsidR="008062F9" w:rsidRPr="00685AF2" w:rsidRDefault="00806920" w:rsidP="00AA3B73">
      <w:pPr>
        <w:pStyle w:val="Bibliography"/>
        <w:spacing w:line="480" w:lineRule="auto"/>
        <w:ind w:left="360" w:hanging="360"/>
      </w:pPr>
      <w:bookmarkStart w:id="68" w:name="ref-Nair1952"/>
      <w:bookmarkEnd w:id="67"/>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line="480" w:lineRule="auto"/>
        <w:ind w:left="360" w:hanging="360"/>
      </w:pPr>
      <w:bookmarkStart w:id="69" w:name="ref-Nair1959"/>
      <w:bookmarkEnd w:id="68"/>
      <w:r w:rsidRPr="00685AF2">
        <w:lastRenderedPageBreak/>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line="480" w:lineRule="auto"/>
        <w:ind w:left="360" w:hanging="360"/>
      </w:pPr>
      <w:bookmarkStart w:id="70" w:name="ref-NairSubrahmanyan1955"/>
      <w:bookmarkEnd w:id="69"/>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line="480" w:lineRule="auto"/>
        <w:ind w:left="360" w:hanging="360"/>
      </w:pPr>
      <w:bookmarkStart w:id="71" w:name="ref-NobelSathianandan1991"/>
      <w:bookmarkEnd w:id="70"/>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line="480" w:lineRule="auto"/>
        <w:ind w:left="360" w:hanging="360"/>
      </w:pPr>
      <w:bookmarkStart w:id="72" w:name="ref-Pillai1991"/>
      <w:bookmarkEnd w:id="71"/>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line="480" w:lineRule="auto"/>
        <w:ind w:left="360" w:hanging="360"/>
      </w:pPr>
      <w:bookmarkStart w:id="73" w:name="ref-Piontkovskietal2015"/>
      <w:bookmarkEnd w:id="72"/>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38">
        <w:r w:rsidRPr="001A7D4A">
          <w:rPr>
            <w:rStyle w:val="Hyperlink"/>
            <w:color w:val="auto"/>
          </w:rPr>
          <w:t>https://dx.doi.org/10.7755/MFR.76.3.3</w:t>
        </w:r>
      </w:hyperlink>
    </w:p>
    <w:p w14:paraId="7A271362" w14:textId="77777777" w:rsidR="008062F9" w:rsidRPr="00CE477A" w:rsidRDefault="00806920" w:rsidP="00AA3B73">
      <w:pPr>
        <w:pStyle w:val="Bibliography"/>
        <w:spacing w:line="480" w:lineRule="auto"/>
        <w:ind w:left="360" w:hanging="360"/>
      </w:pPr>
      <w:bookmarkStart w:id="74" w:name="ref-PitchaikaniLipton2012"/>
      <w:bookmarkEnd w:id="73"/>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39">
        <w:r w:rsidRPr="001A7D4A">
          <w:rPr>
            <w:rStyle w:val="Hyperlink"/>
            <w:color w:val="auto"/>
          </w:rPr>
          <w:t>https://doi.org/10.5897/JOMS</w:t>
        </w:r>
      </w:hyperlink>
    </w:p>
    <w:p w14:paraId="481F8D83" w14:textId="77777777" w:rsidR="008062F9" w:rsidRPr="00685AF2" w:rsidRDefault="00806920" w:rsidP="00AA3B73">
      <w:pPr>
        <w:pStyle w:val="Bibliography"/>
        <w:spacing w:line="480" w:lineRule="auto"/>
        <w:ind w:left="360" w:hanging="360"/>
      </w:pPr>
      <w:bookmarkStart w:id="75" w:name="ref-PrabhuDhulkhed1967"/>
      <w:bookmarkEnd w:id="74"/>
      <w:proofErr w:type="spellStart"/>
      <w:r w:rsidRPr="001A7D4A">
        <w:t>Prabhu</w:t>
      </w:r>
      <w:proofErr w:type="spellEnd"/>
      <w:r w:rsidRPr="001A7D4A">
        <w:t xml:space="preserve">,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line="480" w:lineRule="auto"/>
        <w:ind w:left="360" w:hanging="360"/>
      </w:pPr>
      <w:bookmarkStart w:id="76" w:name="ref-PrabhuDhulkhed1970"/>
      <w:bookmarkEnd w:id="75"/>
      <w:proofErr w:type="spellStart"/>
      <w:r w:rsidRPr="00685AF2">
        <w:t>Prabhu</w:t>
      </w:r>
      <w:proofErr w:type="spellEnd"/>
      <w:r w:rsidRPr="00685AF2">
        <w:t xml:space="preserve">,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line="480" w:lineRule="auto"/>
        <w:ind w:left="360" w:hanging="360"/>
      </w:pPr>
      <w:bookmarkStart w:id="77" w:name="ref-Pristaetal2011"/>
      <w:bookmarkEnd w:id="76"/>
      <w:proofErr w:type="spellStart"/>
      <w:r w:rsidRPr="00685AF2">
        <w:lastRenderedPageBreak/>
        <w:t>Prista</w:t>
      </w:r>
      <w:proofErr w:type="spellEnd"/>
      <w:r w:rsidRPr="00685AF2">
        <w:t xml:space="preserve">, N., </w:t>
      </w:r>
      <w:proofErr w:type="spellStart"/>
      <w:r w:rsidRPr="00685AF2">
        <w:t>Diawara</w:t>
      </w:r>
      <w:proofErr w:type="spellEnd"/>
      <w:r w:rsidRPr="00685AF2">
        <w:t xml:space="preserve">,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0">
        <w:r w:rsidRPr="001A7D4A">
          <w:rPr>
            <w:rStyle w:val="Hyperlink"/>
            <w:color w:val="auto"/>
          </w:rPr>
          <w:t>https://doi.org/10.7755/FB</w:t>
        </w:r>
      </w:hyperlink>
    </w:p>
    <w:p w14:paraId="35B5AE86" w14:textId="77777777" w:rsidR="008062F9" w:rsidRPr="00CE477A" w:rsidRDefault="00806920" w:rsidP="00AA3B73">
      <w:pPr>
        <w:pStyle w:val="Bibliography"/>
        <w:spacing w:line="480" w:lineRule="auto"/>
        <w:ind w:left="360" w:hanging="360"/>
      </w:pPr>
      <w:bookmarkStart w:id="78" w:name="ref-Raghavanetal2010"/>
      <w:bookmarkEnd w:id="77"/>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1">
        <w:r w:rsidRPr="001A7D4A">
          <w:rPr>
            <w:rStyle w:val="Hyperlink"/>
            <w:color w:val="auto"/>
          </w:rPr>
          <w:t>https://doi.org/10.21276/ijee</w:t>
        </w:r>
      </w:hyperlink>
    </w:p>
    <w:p w14:paraId="15F50D12" w14:textId="77777777" w:rsidR="008062F9" w:rsidRPr="003E2A48" w:rsidRDefault="00806920" w:rsidP="00AA3B73">
      <w:pPr>
        <w:pStyle w:val="Bibliography"/>
        <w:spacing w:line="480" w:lineRule="auto"/>
        <w:ind w:left="360" w:hanging="360"/>
      </w:pPr>
      <w:bookmarkStart w:id="79" w:name="ref-Rohitetal2018"/>
      <w:bookmarkEnd w:id="78"/>
      <w:r w:rsidRPr="001A7D4A">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line="480" w:lineRule="auto"/>
        <w:ind w:left="360" w:hanging="360"/>
      </w:pPr>
      <w:bookmarkStart w:id="80" w:name="ref-Roxyetal2014"/>
      <w:bookmarkEnd w:id="79"/>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2">
        <w:r w:rsidRPr="003E2A48">
          <w:rPr>
            <w:rStyle w:val="Hyperlink"/>
            <w:color w:val="auto"/>
          </w:rPr>
          <w:t>https://doi.org/10.1175/JCLI-D-14-00471.1</w:t>
        </w:r>
      </w:hyperlink>
    </w:p>
    <w:p w14:paraId="1367F286" w14:textId="77777777" w:rsidR="008062F9" w:rsidRPr="00CE477A" w:rsidRDefault="00806920" w:rsidP="00AA3B73">
      <w:pPr>
        <w:pStyle w:val="Bibliography"/>
        <w:spacing w:line="480" w:lineRule="auto"/>
        <w:ind w:left="360" w:hanging="360"/>
      </w:pPr>
      <w:bookmarkStart w:id="81" w:name="ref-RykaczewskiCheckley2008"/>
      <w:bookmarkEnd w:id="80"/>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3">
        <w:r w:rsidRPr="001A7D4A">
          <w:rPr>
            <w:rStyle w:val="Hyperlink"/>
            <w:color w:val="auto"/>
          </w:rPr>
          <w:t>https://doi.org/10.1073/pnas.0711777105</w:t>
        </w:r>
      </w:hyperlink>
    </w:p>
    <w:p w14:paraId="15CFCABC" w14:textId="77777777" w:rsidR="008062F9" w:rsidRPr="00CE477A" w:rsidRDefault="00806920" w:rsidP="00AA3B73">
      <w:pPr>
        <w:pStyle w:val="Bibliography"/>
        <w:spacing w:line="480" w:lineRule="auto"/>
        <w:ind w:left="360" w:hanging="360"/>
      </w:pPr>
      <w:bookmarkStart w:id="82" w:name="ref-Schaafetal1975"/>
      <w:bookmarkEnd w:id="81"/>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4">
        <w:r w:rsidRPr="001A7D4A">
          <w:rPr>
            <w:rStyle w:val="Hyperlink"/>
            <w:color w:val="auto"/>
          </w:rPr>
          <w:t>https://doi.org/10.7755/MFR</w:t>
        </w:r>
      </w:hyperlink>
    </w:p>
    <w:p w14:paraId="5FA14FC8" w14:textId="77777777" w:rsidR="008062F9" w:rsidRPr="00CE477A" w:rsidRDefault="00806920" w:rsidP="00AA3B73">
      <w:pPr>
        <w:pStyle w:val="Bibliography"/>
        <w:spacing w:line="480" w:lineRule="auto"/>
        <w:ind w:left="360" w:hanging="360"/>
      </w:pPr>
      <w:bookmarkStart w:id="83" w:name="ref-Schwartzloseetal2010"/>
      <w:bookmarkEnd w:id="82"/>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w:t>
      </w:r>
      <w:r w:rsidRPr="00685AF2">
        <w:lastRenderedPageBreak/>
        <w:t xml:space="preserve">populations. </w:t>
      </w:r>
      <w:r w:rsidRPr="00685AF2">
        <w:rPr>
          <w:i/>
        </w:rPr>
        <w:t>South African Journal of Marine Science</w:t>
      </w:r>
      <w:r w:rsidRPr="00685AF2">
        <w:t xml:space="preserve">, </w:t>
      </w:r>
      <w:r w:rsidRPr="00685AF2">
        <w:rPr>
          <w:i/>
        </w:rPr>
        <w:t>21</w:t>
      </w:r>
      <w:r w:rsidRPr="00685AF2">
        <w:t xml:space="preserve">(1), 289–347. </w:t>
      </w:r>
      <w:hyperlink r:id="rId45">
        <w:r w:rsidRPr="001A7D4A">
          <w:rPr>
            <w:rStyle w:val="Hyperlink"/>
            <w:color w:val="auto"/>
          </w:rPr>
          <w:t>https://doi.org/10.2989/025776199784125962</w:t>
        </w:r>
      </w:hyperlink>
    </w:p>
    <w:p w14:paraId="4A7EA26B" w14:textId="77777777" w:rsidR="008062F9" w:rsidRPr="00685AF2" w:rsidRDefault="00806920" w:rsidP="00AA3B73">
      <w:pPr>
        <w:pStyle w:val="Bibliography"/>
        <w:spacing w:line="480" w:lineRule="auto"/>
        <w:ind w:left="360" w:hanging="360"/>
      </w:pPr>
      <w:bookmarkStart w:id="84" w:name="ref-Srinath1998"/>
      <w:bookmarkEnd w:id="83"/>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line="480" w:lineRule="auto"/>
        <w:ind w:left="360" w:hanging="360"/>
      </w:pPr>
      <w:bookmarkStart w:id="85" w:name="ref-Srinathetal2005"/>
      <w:bookmarkEnd w:id="84"/>
      <w:r w:rsidRPr="00685AF2">
        <w:t xml:space="preserve">Srinath, M., </w:t>
      </w:r>
      <w:proofErr w:type="spellStart"/>
      <w:r w:rsidRPr="00685AF2">
        <w:t>Kuriakose</w:t>
      </w:r>
      <w:proofErr w:type="spellEnd"/>
      <w:r w:rsidRPr="00685AF2">
        <w:t xml:space="preserv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line="480" w:lineRule="auto"/>
        <w:ind w:left="360" w:hanging="360"/>
      </w:pPr>
      <w:bookmarkStart w:id="86" w:name="ref-StergiouChristou1996"/>
      <w:bookmarkEnd w:id="85"/>
      <w:r w:rsidRPr="00685AF2">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46">
        <w:r w:rsidRPr="003E2A48">
          <w:rPr>
            <w:rStyle w:val="Hyperlink"/>
            <w:color w:val="auto"/>
          </w:rPr>
          <w:t>https://doi.org/10.1016/0165-7836(95)00389-4</w:t>
        </w:r>
      </w:hyperlink>
    </w:p>
    <w:p w14:paraId="17AEFD6D" w14:textId="77777777" w:rsidR="008062F9" w:rsidRPr="00685AF2" w:rsidRDefault="00806920" w:rsidP="00AA3B73">
      <w:pPr>
        <w:pStyle w:val="Bibliography"/>
        <w:spacing w:line="480" w:lineRule="auto"/>
        <w:ind w:left="360" w:hanging="360"/>
      </w:pPr>
      <w:bookmarkStart w:id="87" w:name="ref-Suprabaetal2016"/>
      <w:bookmarkEnd w:id="86"/>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line="480" w:lineRule="auto"/>
        <w:ind w:left="360" w:hanging="360"/>
      </w:pPr>
      <w:bookmarkStart w:id="88" w:name="ref-Takasukaetal2007"/>
      <w:bookmarkEnd w:id="87"/>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47">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line="480" w:lineRule="auto"/>
        <w:ind w:left="360" w:hanging="360"/>
      </w:pPr>
      <w:bookmarkStart w:id="89" w:name="ref-Thara2011"/>
      <w:bookmarkEnd w:id="88"/>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line="480" w:lineRule="auto"/>
        <w:ind w:left="360" w:hanging="360"/>
      </w:pPr>
      <w:bookmarkStart w:id="90" w:name="ref-Tommasietal2016"/>
      <w:bookmarkEnd w:id="89"/>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48">
        <w:r w:rsidRPr="001A7D4A">
          <w:rPr>
            <w:rStyle w:val="Hyperlink"/>
            <w:color w:val="auto"/>
          </w:rPr>
          <w:t>https://doi.org/10.1002/eap.1458</w:t>
        </w:r>
      </w:hyperlink>
    </w:p>
    <w:p w14:paraId="4C46E583" w14:textId="77777777" w:rsidR="008062F9" w:rsidRPr="00CE477A" w:rsidRDefault="00806920" w:rsidP="00AA3B73">
      <w:pPr>
        <w:pStyle w:val="Bibliography"/>
        <w:spacing w:line="480" w:lineRule="auto"/>
        <w:ind w:left="360" w:hanging="360"/>
      </w:pPr>
      <w:bookmarkStart w:id="91" w:name="ref-Vallivattathillametal2017"/>
      <w:bookmarkEnd w:id="90"/>
      <w:proofErr w:type="spellStart"/>
      <w:r w:rsidRPr="001A7D4A">
        <w:lastRenderedPageBreak/>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49">
        <w:r w:rsidRPr="001A7D4A">
          <w:rPr>
            <w:rStyle w:val="Hyperlink"/>
            <w:color w:val="auto"/>
          </w:rPr>
          <w:t>https://doi.org/10.5194/bg-14-1541-2017</w:t>
        </w:r>
      </w:hyperlink>
    </w:p>
    <w:p w14:paraId="56DFA22A" w14:textId="77777777" w:rsidR="008062F9" w:rsidRPr="003E2A48" w:rsidRDefault="00806920" w:rsidP="00AA3B73">
      <w:pPr>
        <w:pStyle w:val="Bibliography"/>
        <w:spacing w:line="480" w:lineRule="auto"/>
        <w:ind w:left="360" w:hanging="360"/>
      </w:pPr>
      <w:bookmarkStart w:id="92" w:name="ref-VenugopalanSrinath1998"/>
      <w:bookmarkEnd w:id="91"/>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line="480" w:lineRule="auto"/>
        <w:ind w:left="360" w:hanging="360"/>
      </w:pPr>
      <w:bookmarkStart w:id="93" w:name="ref-Vivekanandanetal2009"/>
      <w:bookmarkEnd w:id="92"/>
      <w:proofErr w:type="spellStart"/>
      <w:r w:rsidRPr="003E2A48">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line="480" w:lineRule="auto"/>
        <w:ind w:left="360" w:hanging="360"/>
      </w:pPr>
      <w:bookmarkStart w:id="94" w:name="ref-Vivekanandanetal2003"/>
      <w:bookmarkEnd w:id="93"/>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w:t>
      </w:r>
      <w:proofErr w:type="spellStart"/>
      <w:r w:rsidRPr="00685AF2">
        <w:t>Pauly</w:t>
      </w:r>
      <w:proofErr w:type="spellEnd"/>
      <w:r w:rsidRPr="00685AF2">
        <w:t xml:space="preserve">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line="480" w:lineRule="auto"/>
        <w:ind w:left="360" w:hanging="360"/>
      </w:pPr>
      <w:bookmarkStart w:id="95" w:name="ref-Wood2011"/>
      <w:bookmarkEnd w:id="94"/>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0">
        <w:r w:rsidRPr="001A7D4A">
          <w:rPr>
            <w:rStyle w:val="Hyperlink"/>
            <w:color w:val="auto"/>
          </w:rPr>
          <w:t>https://doi.org/10.1111/j.1467-9868.2010.00749.x</w:t>
        </w:r>
      </w:hyperlink>
    </w:p>
    <w:p w14:paraId="13FD1507" w14:textId="77777777" w:rsidR="008062F9" w:rsidRPr="001A7D4A" w:rsidRDefault="00806920" w:rsidP="00AA3B73">
      <w:pPr>
        <w:pStyle w:val="Bibliography"/>
        <w:spacing w:line="480" w:lineRule="auto"/>
        <w:ind w:left="360" w:hanging="360"/>
      </w:pPr>
      <w:bookmarkStart w:id="96" w:name="ref-Wood2017"/>
      <w:bookmarkEnd w:id="95"/>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line="480" w:lineRule="auto"/>
        <w:ind w:left="360" w:hanging="360"/>
      </w:pPr>
      <w:bookmarkStart w:id="97" w:name="ref-Woodetal2016"/>
      <w:bookmarkEnd w:id="96"/>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1">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line="480" w:lineRule="auto"/>
        <w:ind w:left="360" w:hanging="360"/>
        <w:rPr>
          <w:rStyle w:val="Hyperlink"/>
          <w:color w:val="auto"/>
        </w:rPr>
      </w:pPr>
      <w:bookmarkStart w:id="98" w:name="ref-XuBoyce2009"/>
      <w:bookmarkEnd w:id="97"/>
      <w:r w:rsidRPr="001A7D4A">
        <w:lastRenderedPageBreak/>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2">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99" w:name="figure-legends"/>
      <w:bookmarkEnd w:id="18"/>
      <w:bookmarkEnd w:id="98"/>
      <w:r w:rsidRPr="003E2A48">
        <w:rPr>
          <w:rFonts w:asciiTheme="minorHAnsi" w:hAnsiTheme="minorHAnsi"/>
          <w:color w:val="auto"/>
          <w:sz w:val="24"/>
          <w:szCs w:val="24"/>
        </w:rPr>
        <w:lastRenderedPageBreak/>
        <w:t>FIGURE LEGENDS</w:t>
      </w:r>
      <w:bookmarkEnd w:id="99"/>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3147E98A"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A40966">
        <w:t>,</w:t>
      </w:r>
      <w:r w:rsidR="00806920" w:rsidRPr="003E2A48">
        <w:t xml:space="preserve"> </w:t>
      </w:r>
      <w:r w:rsidR="00D400C1">
        <w:t xml:space="preserve">current-season </w:t>
      </w:r>
      <w:r w:rsidR="00806920" w:rsidRPr="003E2A48">
        <w:t>upwelling intensity</w:t>
      </w:r>
      <w:r w:rsidR="00D400C1">
        <w:t xml:space="preserve"> </w:t>
      </w:r>
      <w:r w:rsidR="00F23BC5">
        <w:t xml:space="preserve">(average June-September SST-derived UPW index in box 4) </w:t>
      </w:r>
      <w:r w:rsidR="00A40966">
        <w:t xml:space="preserve">and June-July precipitation over land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59A21DB2" w:rsidR="00041204" w:rsidRDefault="00185159" w:rsidP="00F9352D">
      <w:pPr>
        <w:pStyle w:val="BodyText"/>
        <w:spacing w:before="0" w:after="0" w:line="480" w:lineRule="auto"/>
      </w:pPr>
      <w:r w:rsidRPr="00CE477A">
        <w:rPr>
          <w:b/>
          <w:bCs/>
        </w:rPr>
        <w:t>FIGURE 6</w:t>
      </w:r>
      <w:r w:rsidR="00806920" w:rsidRPr="003E2A48">
        <w:t xml:space="preserve"> </w:t>
      </w:r>
      <w:r w:rsidR="00226FBB">
        <w:t>Predicted</w:t>
      </w:r>
      <w:r w:rsidR="00226FBB" w:rsidRPr="003E2A48">
        <w:t xml:space="preserve"> </w:t>
      </w:r>
      <w:r w:rsidR="00806920" w:rsidRPr="003E2A48">
        <w:t>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w:t>
      </w:r>
      <w:r w:rsidR="00226FBB">
        <w:t xml:space="preserve">The value to be </w:t>
      </w:r>
      <w:r w:rsidR="00226FBB">
        <w:lastRenderedPageBreak/>
        <w:t xml:space="preserve">predicted as left out in the model fitting. </w:t>
      </w:r>
      <w:r w:rsidR="00D562EB">
        <w:t xml:space="preserve">Values above the line 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2.5-year average SST</w:t>
      </w:r>
      <w:r w:rsidR="00226FBB">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w:t>
      </w:r>
      <w:r w:rsidR="00226FBB">
        <w:t xml:space="preserve"> only</w:t>
      </w:r>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w:t>
      </w:r>
      <w:r w:rsidR="00A32AFB">
        <w:t xml:space="preserve"> </w:t>
      </w:r>
      <w:r w:rsidR="00226FBB">
        <w:t xml:space="preserve">LOOCV </w:t>
      </w:r>
      <w:r w:rsidR="00A32AFB">
        <w:t xml:space="preserve">RMSE, </w:t>
      </w:r>
      <w:r w:rsidR="00226FBB">
        <w:t xml:space="preserve">leave one out </w:t>
      </w:r>
      <w:r w:rsidR="00A32AFB">
        <w:t xml:space="preserve">root mean squared </w:t>
      </w:r>
      <w:r w:rsidR="00226FBB">
        <w:t xml:space="preserve">prediction </w:t>
      </w:r>
      <w:r w:rsidR="00A32AFB">
        <w:t>error.</w:t>
      </w:r>
      <w:r w:rsidR="00A32AFB" w:rsidRPr="003E2A48" w:rsidDel="00A32AFB">
        <w:t xml:space="preserve"> </w:t>
      </w:r>
    </w:p>
    <w:p w14:paraId="1E55AF74" w14:textId="5307B3B5" w:rsidR="004C55C2" w:rsidRDefault="00041204" w:rsidP="00F9352D">
      <w:pPr>
        <w:pStyle w:val="BodyText"/>
        <w:spacing w:before="0" w:after="0" w:line="480" w:lineRule="auto"/>
      </w:pPr>
      <w:r w:rsidRPr="00CE477A">
        <w:rPr>
          <w:b/>
          <w:bCs/>
        </w:rPr>
        <w:t xml:space="preserve">FIGURE </w:t>
      </w:r>
      <w:r>
        <w:rPr>
          <w:b/>
          <w:bCs/>
        </w:rPr>
        <w:t>7</w:t>
      </w:r>
      <w:r w:rsidRPr="003E2A48">
        <w:t xml:space="preserve"> </w:t>
      </w:r>
      <w:r w:rsidR="00FB7067">
        <w:t xml:space="preserve">Model fit over 10-year windows </w:t>
      </w:r>
      <w:r>
        <w:t>for dynamic linear models of October-Ma</w:t>
      </w:r>
      <w:r w:rsidR="00293521">
        <w:t>rch</w:t>
      </w:r>
      <w:r>
        <w:t xml:space="preserve"> catch 1956-2015 using the 2.5-year average </w:t>
      </w:r>
      <w:r w:rsidR="006750A6">
        <w:t xml:space="preserve">SST from the ICOADS data set </w:t>
      </w:r>
      <w:r>
        <w:t>and June-July precipitation over land</w:t>
      </w:r>
      <w:r w:rsidR="006750A6">
        <w:t xml:space="preserve"> (from land gauges)</w:t>
      </w:r>
      <w:r>
        <w:t xml:space="preserve"> as covariates</w:t>
      </w:r>
      <w:r w:rsidR="00FB7067">
        <w:t>. These models allowed the covariate model to evolve over time</w:t>
      </w:r>
      <w:r>
        <w:t>. The models were fit to the residuals of the simpler base model (with only prior October-</w:t>
      </w:r>
      <w:r w:rsidR="00293521">
        <w:t xml:space="preserve">March </w:t>
      </w:r>
      <w:r>
        <w:t xml:space="preserve">catch as a covariate) </w:t>
      </w:r>
      <w:r w:rsidR="00FB7067">
        <w:t>with t</w:t>
      </w:r>
      <w:r w:rsidR="00C7703E">
        <w:t xml:space="preserve">he 1994 residual was removed. </w:t>
      </w:r>
      <w:r>
        <w:t>The covariates were z-scored (mean removed and standardized to variance of 1)</w:t>
      </w:r>
      <w:r w:rsidR="00C7703E">
        <w:t xml:space="preserve"> and in</w:t>
      </w:r>
      <w:r w:rsidR="00C7703E">
        <w:t>cluded as a third-order polynomial to allow a non-linear effect</w:t>
      </w:r>
      <w:r w:rsidR="00122F24">
        <w:t xml:space="preserve">.  </w:t>
      </w:r>
      <w:r w:rsidR="00FB7067">
        <w:t xml:space="preserve">The plot shows the </w:t>
      </w:r>
      <w:r w:rsidR="00122F24">
        <w:t>RMSE computed on a 10-year sliding window</w:t>
      </w:r>
      <w:r w:rsidR="00C7703E">
        <w:t>.</w:t>
      </w:r>
    </w:p>
    <w:p w14:paraId="5766E1EB" w14:textId="77777777" w:rsidR="00173E30" w:rsidRDefault="00173E30" w:rsidP="0000127E">
      <w:pPr>
        <w:pStyle w:val="TableCaption"/>
        <w:rPr>
          <w:i w:val="0"/>
        </w:rPr>
      </w:pPr>
    </w:p>
    <w:p w14:paraId="042470B2" w14:textId="6087DE45" w:rsidR="00173E30" w:rsidRDefault="00173E30" w:rsidP="0000127E">
      <w:pPr>
        <w:pStyle w:val="TableCaption"/>
        <w:rPr>
          <w:i w:val="0"/>
        </w:rPr>
        <w:sectPr w:rsidR="00173E30" w:rsidSect="00D638A7">
          <w:pgSz w:w="12240" w:h="15840"/>
          <w:pgMar w:top="1440" w:right="1440" w:bottom="1440" w:left="1440" w:header="720" w:footer="720" w:gutter="0"/>
          <w:lnNumType w:countBy="1" w:restart="continuous"/>
          <w:cols w:space="720"/>
          <w:docGrid w:linePitch="326"/>
        </w:sectPr>
      </w:pPr>
    </w:p>
    <w:p w14:paraId="558B6278" w14:textId="77777777" w:rsidR="00B91833" w:rsidRDefault="00B91833" w:rsidP="00D638A7">
      <w:pPr>
        <w:spacing w:line="276" w:lineRule="auto"/>
        <w:ind w:right="43"/>
        <w:jc w:val="both"/>
        <w:rPr>
          <w:rFonts w:ascii="Cambria" w:eastAsia="Arial" w:hAnsi="Cambria"/>
        </w:rPr>
      </w:pPr>
      <w:r w:rsidRPr="004F1560">
        <w:rPr>
          <w:rFonts w:ascii="Cambria" w:eastAsia="Arial" w:hAnsi="Cambria"/>
          <w:b/>
          <w:bCs/>
        </w:rPr>
        <w:lastRenderedPageBreak/>
        <w:t>TABLE 1</w:t>
      </w:r>
      <w:r w:rsidRPr="00F25E8A">
        <w:rPr>
          <w:rFonts w:ascii="Cambria" w:eastAsia="Arial" w:hAnsi="Cambria"/>
        </w:rPr>
        <w:t xml:space="preserve"> </w:t>
      </w:r>
      <w:r>
        <w:rPr>
          <w:rFonts w:ascii="Cambria" w:eastAsia="Arial" w:hAnsi="Cambria"/>
        </w:rPr>
        <w:t>Hypothesized covariates and relationships for the July–September (</w:t>
      </w:r>
      <w:r>
        <w:rPr>
          <w:rFonts w:ascii="Cambria" w:eastAsia="Arial" w:hAnsi="Cambria"/>
          <w:i/>
          <w:iCs/>
        </w:rPr>
        <w:t>S</w:t>
      </w:r>
      <w:r>
        <w:rPr>
          <w:rFonts w:ascii="Cambria" w:eastAsia="Arial" w:hAnsi="Cambria"/>
        </w:rPr>
        <w:t xml:space="preserve">) and </w:t>
      </w:r>
      <w:r>
        <w:rPr>
          <w:rFonts w:ascii="Cambria" w:eastAsia="Arial" w:hAnsi="Cambria"/>
          <w:iCs/>
        </w:rPr>
        <w:t>October–March</w:t>
      </w:r>
      <w:r w:rsidRPr="00F25E8A">
        <w:rPr>
          <w:rFonts w:ascii="Cambria" w:eastAsia="Arial" w:hAnsi="Cambria"/>
        </w:rPr>
        <w:t xml:space="preserve"> </w:t>
      </w:r>
      <w:r>
        <w:rPr>
          <w:rFonts w:ascii="Cambria" w:eastAsia="Arial" w:hAnsi="Cambria"/>
        </w:rPr>
        <w:t>(</w:t>
      </w:r>
      <w:r w:rsidRPr="00F25E8A">
        <w:rPr>
          <w:rFonts w:ascii="Cambria" w:eastAsia="Arial" w:hAnsi="Cambria"/>
          <w:i/>
        </w:rPr>
        <w:t>N</w:t>
      </w:r>
      <w:r>
        <w:rPr>
          <w:rFonts w:ascii="Cambria" w:eastAsia="Arial" w:hAnsi="Cambria"/>
          <w:iCs/>
        </w:rPr>
        <w:t>)</w:t>
      </w:r>
      <w:r w:rsidRPr="00F25E8A">
        <w:rPr>
          <w:rFonts w:ascii="Cambria" w:eastAsia="Arial" w:hAnsi="Cambria"/>
        </w:rPr>
        <w:t xml:space="preserve"> landings</w:t>
      </w:r>
      <w:r>
        <w:rPr>
          <w:rFonts w:ascii="Cambria" w:eastAsia="Arial" w:hAnsi="Cambria"/>
        </w:rPr>
        <w:t>. The models are structured as response</w:t>
      </w:r>
      <w:r w:rsidRPr="00F25E8A">
        <w:rPr>
          <w:rFonts w:ascii="Cambria" w:eastAsia="Arial" w:hAnsi="Cambria"/>
        </w:rPr>
        <w:t xml:space="preserve"> </w:t>
      </w:r>
      <w:r w:rsidRPr="00F25E8A">
        <w:rPr>
          <w:rFonts w:ascii="Cambria" w:eastAsia="Arial Unicode MS" w:hAnsi="Cambria"/>
        </w:rPr>
        <w:t>∼</w:t>
      </w:r>
      <w:r w:rsidRPr="00F25E8A">
        <w:rPr>
          <w:rFonts w:ascii="Cambria" w:eastAsia="Arial" w:hAnsi="Cambria"/>
        </w:rPr>
        <w:t xml:space="preserve"> explanatory variable</w:t>
      </w:r>
      <w:r>
        <w:rPr>
          <w:rFonts w:ascii="Cambria" w:eastAsia="Arial" w:hAnsi="Cambria"/>
        </w:rPr>
        <w:t>(</w:t>
      </w:r>
      <w:r w:rsidRPr="00F25E8A">
        <w:rPr>
          <w:rFonts w:ascii="Cambria" w:eastAsia="Arial" w:hAnsi="Cambria"/>
        </w:rPr>
        <w:t>s</w:t>
      </w:r>
      <w:r>
        <w:rPr>
          <w:rFonts w:ascii="Cambria" w:eastAsia="Arial" w:hAnsi="Cambria"/>
        </w:rPr>
        <w:t>). The tests did not impose a direction (positive or negative) and some covariates have been hypothesized to have both positive and negative impacts on oil sardines. References for the description and justification appear in the main text introduction.</w:t>
      </w:r>
    </w:p>
    <w:p w14:paraId="5F4D69D0" w14:textId="77777777" w:rsidR="00B91833" w:rsidRPr="004F1560" w:rsidRDefault="00B91833" w:rsidP="00D638A7">
      <w:pPr>
        <w:spacing w:line="276" w:lineRule="auto"/>
        <w:ind w:right="43"/>
        <w:jc w:val="both"/>
        <w:rPr>
          <w:rFonts w:ascii="Cambria" w:eastAsia="Times New Roman" w:hAnsi="Cambria"/>
        </w:rPr>
      </w:pPr>
    </w:p>
    <w:tbl>
      <w:tblPr>
        <w:tblW w:w="0" w:type="auto"/>
        <w:tblInd w:w="40" w:type="dxa"/>
        <w:tblBorders>
          <w:bottom w:val="single" w:sz="8" w:space="0" w:color="auto"/>
          <w:insideH w:val="single" w:sz="8" w:space="0" w:color="auto"/>
        </w:tblBorders>
        <w:tblLayout w:type="fixed"/>
        <w:tblCellMar>
          <w:left w:w="0" w:type="dxa"/>
          <w:right w:w="0" w:type="dxa"/>
        </w:tblCellMar>
        <w:tblLook w:val="0000" w:firstRow="0" w:lastRow="0" w:firstColumn="0" w:lastColumn="0" w:noHBand="0" w:noVBand="0"/>
      </w:tblPr>
      <w:tblGrid>
        <w:gridCol w:w="3110"/>
        <w:gridCol w:w="6170"/>
      </w:tblGrid>
      <w:tr w:rsidR="00B91833" w:rsidRPr="004F1560" w14:paraId="46E0A18F" w14:textId="77777777" w:rsidTr="00D638A7">
        <w:trPr>
          <w:cantSplit/>
          <w:trHeight w:val="20"/>
        </w:trPr>
        <w:tc>
          <w:tcPr>
            <w:tcW w:w="3110" w:type="dxa"/>
            <w:tcBorders>
              <w:top w:val="nil"/>
              <w:bottom w:val="single" w:sz="18" w:space="0" w:color="auto"/>
            </w:tcBorders>
            <w:shd w:val="clear" w:color="auto" w:fill="auto"/>
          </w:tcPr>
          <w:p w14:paraId="37E130B2" w14:textId="77777777" w:rsidR="00B91833" w:rsidRPr="004F1560" w:rsidRDefault="00B91833" w:rsidP="00D638A7">
            <w:pPr>
              <w:spacing w:line="276" w:lineRule="auto"/>
              <w:ind w:left="120"/>
              <w:rPr>
                <w:rFonts w:ascii="Cambria" w:eastAsia="Arial" w:hAnsi="Cambria"/>
                <w:b/>
                <w:bCs/>
              </w:rPr>
            </w:pPr>
            <w:r>
              <w:rPr>
                <w:rFonts w:ascii="Cambria" w:eastAsia="Arial" w:hAnsi="Cambria"/>
                <w:b/>
                <w:bCs/>
              </w:rPr>
              <w:t>Model</w:t>
            </w:r>
          </w:p>
        </w:tc>
        <w:tc>
          <w:tcPr>
            <w:tcW w:w="6170" w:type="dxa"/>
            <w:tcBorders>
              <w:top w:val="nil"/>
              <w:bottom w:val="single" w:sz="18" w:space="0" w:color="auto"/>
            </w:tcBorders>
            <w:shd w:val="clear" w:color="auto" w:fill="auto"/>
          </w:tcPr>
          <w:p w14:paraId="5515F83A" w14:textId="77777777" w:rsidR="00B91833" w:rsidRPr="004F1560" w:rsidRDefault="00B91833" w:rsidP="00D638A7">
            <w:pPr>
              <w:spacing w:line="276" w:lineRule="auto"/>
              <w:ind w:left="100"/>
              <w:rPr>
                <w:rFonts w:ascii="Cambria" w:eastAsia="Arial" w:hAnsi="Cambria"/>
                <w:b/>
                <w:bCs/>
              </w:rPr>
            </w:pPr>
            <w:r w:rsidRPr="004F1560">
              <w:rPr>
                <w:rFonts w:ascii="Cambria" w:eastAsia="Arial" w:hAnsi="Cambria"/>
                <w:b/>
                <w:bCs/>
              </w:rPr>
              <w:t>Description</w:t>
            </w:r>
            <w:r>
              <w:rPr>
                <w:rFonts w:ascii="Cambria" w:eastAsia="Arial" w:hAnsi="Cambria"/>
                <w:b/>
                <w:bCs/>
              </w:rPr>
              <w:t xml:space="preserve"> and justification</w:t>
            </w:r>
          </w:p>
        </w:tc>
      </w:tr>
      <w:tr w:rsidR="00B91833" w:rsidRPr="00F25E8A" w14:paraId="2E83CE81" w14:textId="77777777" w:rsidTr="00D638A7">
        <w:trPr>
          <w:cantSplit/>
          <w:trHeight w:val="20"/>
        </w:trPr>
        <w:tc>
          <w:tcPr>
            <w:tcW w:w="3110" w:type="dxa"/>
            <w:tcBorders>
              <w:top w:val="single" w:sz="18" w:space="0" w:color="auto"/>
            </w:tcBorders>
            <w:shd w:val="clear" w:color="auto" w:fill="auto"/>
          </w:tcPr>
          <w:p w14:paraId="32A2D8A5" w14:textId="77777777" w:rsidR="00B91833" w:rsidRPr="00E517A4" w:rsidRDefault="00B91833" w:rsidP="00D638A7">
            <w:pPr>
              <w:spacing w:line="276" w:lineRule="auto"/>
              <w:ind w:left="120"/>
              <w:rPr>
                <w:rFonts w:ascii="Cambria" w:eastAsia="Arial" w:hAnsi="Cambria"/>
                <w:i/>
              </w:rPr>
            </w:pPr>
            <w:r w:rsidRPr="00F25E8A">
              <w:rPr>
                <w:rFonts w:ascii="Cambria" w:eastAsia="Arial" w:hAnsi="Cambria"/>
              </w:rPr>
              <w:t>DD1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N</w:t>
            </w:r>
            <w:r w:rsidRPr="00F25E8A">
              <w:rPr>
                <w:rFonts w:ascii="Cambria" w:eastAsia="Arial" w:hAnsi="Cambria"/>
                <w:i/>
                <w:vertAlign w:val="subscript"/>
              </w:rPr>
              <w:t>t-1</w:t>
            </w:r>
          </w:p>
        </w:tc>
        <w:tc>
          <w:tcPr>
            <w:tcW w:w="6170" w:type="dxa"/>
            <w:tcBorders>
              <w:top w:val="single" w:sz="18" w:space="0" w:color="auto"/>
            </w:tcBorders>
            <w:shd w:val="clear" w:color="auto" w:fill="auto"/>
          </w:tcPr>
          <w:p w14:paraId="2C5E08C9"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rPr>
              <w:t xml:space="preserve">comprises fish </w:t>
            </w:r>
            <w:r w:rsidRPr="00F25E8A">
              <w:rPr>
                <w:rFonts w:ascii="Cambria" w:eastAsia="Arial" w:hAnsi="Cambria"/>
              </w:rPr>
              <w:t>age</w:t>
            </w:r>
            <w:r>
              <w:rPr>
                <w:rFonts w:ascii="Cambria" w:eastAsia="Arial" w:hAnsi="Cambria"/>
              </w:rPr>
              <w:t>d ≥</w:t>
            </w:r>
            <w:r w:rsidRPr="00F25E8A">
              <w:rPr>
                <w:rFonts w:ascii="Cambria" w:eastAsia="Arial" w:hAnsi="Cambria"/>
              </w:rPr>
              <w:t xml:space="preserve"> 1</w:t>
            </w:r>
            <w:r>
              <w:rPr>
                <w:rFonts w:ascii="Cambria" w:eastAsia="Arial" w:hAnsi="Cambria"/>
              </w:rPr>
              <w:t xml:space="preserve"> year. These fish</w:t>
            </w:r>
            <w:r w:rsidRPr="00F25E8A">
              <w:rPr>
                <w:rFonts w:ascii="Cambria" w:eastAsia="Arial" w:hAnsi="Cambria"/>
              </w:rPr>
              <w:t xml:space="preserve"> </w:t>
            </w:r>
            <w:r>
              <w:rPr>
                <w:rFonts w:ascii="Cambria" w:eastAsia="Arial" w:hAnsi="Cambria"/>
              </w:rPr>
              <w:t xml:space="preserve">would have appeared in </w:t>
            </w: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vertAlign w:val="subscript"/>
              </w:rPr>
              <w:t>−1</w:t>
            </w:r>
            <w:r w:rsidRPr="00F25E8A">
              <w:rPr>
                <w:rFonts w:ascii="Cambria" w:eastAsia="Arial" w:hAnsi="Cambria"/>
                <w:i/>
              </w:rPr>
              <w:t xml:space="preserve"> </w:t>
            </w:r>
            <w:r>
              <w:rPr>
                <w:rFonts w:ascii="Cambria" w:eastAsia="Arial" w:hAnsi="Cambria"/>
              </w:rPr>
              <w:t xml:space="preserve">as </w:t>
            </w:r>
            <w:r w:rsidRPr="00F25E8A">
              <w:rPr>
                <w:rFonts w:ascii="Cambria" w:eastAsia="Arial" w:hAnsi="Cambria"/>
              </w:rPr>
              <w:t>age</w:t>
            </w:r>
            <w:r>
              <w:rPr>
                <w:rFonts w:ascii="Cambria" w:eastAsia="Arial" w:hAnsi="Cambria"/>
              </w:rPr>
              <w:t>d</w:t>
            </w:r>
            <w:r w:rsidRPr="00F25E8A">
              <w:rPr>
                <w:rFonts w:ascii="Cambria" w:eastAsia="Arial" w:hAnsi="Cambria"/>
              </w:rPr>
              <w:t xml:space="preserve"> 0</w:t>
            </w:r>
            <w:r>
              <w:rPr>
                <w:rFonts w:ascii="Cambria" w:eastAsia="Arial" w:hAnsi="Cambria"/>
              </w:rPr>
              <w:t>–</w:t>
            </w:r>
            <w:proofErr w:type="gramStart"/>
            <w:r w:rsidRPr="00F25E8A">
              <w:rPr>
                <w:rFonts w:ascii="Cambria" w:eastAsia="Arial" w:hAnsi="Cambria"/>
              </w:rPr>
              <w:t>2</w:t>
            </w:r>
            <w:r>
              <w:rPr>
                <w:rFonts w:ascii="Cambria" w:eastAsia="Arial" w:hAnsi="Cambria"/>
              </w:rPr>
              <w:t xml:space="preserve"> year</w:t>
            </w:r>
            <w:proofErr w:type="gramEnd"/>
            <w:r>
              <w:rPr>
                <w:rFonts w:ascii="Cambria" w:eastAsia="Arial" w:hAnsi="Cambria"/>
              </w:rPr>
              <w:t xml:space="preserve"> age fish. </w:t>
            </w:r>
          </w:p>
        </w:tc>
      </w:tr>
      <w:tr w:rsidR="00B91833" w:rsidRPr="00F25E8A" w14:paraId="43B7BE38" w14:textId="77777777" w:rsidTr="00D638A7">
        <w:trPr>
          <w:cantSplit/>
          <w:trHeight w:val="20"/>
        </w:trPr>
        <w:tc>
          <w:tcPr>
            <w:tcW w:w="3110" w:type="dxa"/>
            <w:shd w:val="clear" w:color="auto" w:fill="auto"/>
          </w:tcPr>
          <w:p w14:paraId="1195E948" w14:textId="77777777" w:rsidR="00B91833" w:rsidRPr="00F25E8A" w:rsidRDefault="00B91833" w:rsidP="00D638A7">
            <w:pPr>
              <w:spacing w:line="276" w:lineRule="auto"/>
              <w:ind w:left="120"/>
              <w:rPr>
                <w:rFonts w:ascii="Cambria" w:eastAsia="Arial" w:hAnsi="Cambria"/>
              </w:rPr>
            </w:pPr>
            <w:r w:rsidRPr="00F25E8A">
              <w:rPr>
                <w:rFonts w:ascii="Cambria" w:eastAsia="Arial" w:hAnsi="Cambria"/>
              </w:rPr>
              <w:t>DD2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iCs/>
              </w:rPr>
              <w:t xml:space="preserve">and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S</w:t>
            </w:r>
            <w:r w:rsidRPr="00F25E8A">
              <w:rPr>
                <w:rFonts w:ascii="Cambria" w:eastAsia="Arial" w:hAnsi="Cambria"/>
                <w:i/>
                <w:vertAlign w:val="subscript"/>
              </w:rPr>
              <w:t>t-1</w:t>
            </w:r>
            <w:r w:rsidRPr="00F25E8A">
              <w:rPr>
                <w:rFonts w:ascii="Cambria" w:eastAsia="Arial" w:hAnsi="Cambria"/>
                <w:i/>
              </w:rPr>
              <w:t xml:space="preserve"> </w:t>
            </w:r>
            <w:r w:rsidRPr="003A3B17">
              <w:rPr>
                <w:rFonts w:ascii="Cambria" w:eastAsia="Arial" w:hAnsi="Cambria"/>
                <w:iCs/>
              </w:rPr>
              <w:t>and</w:t>
            </w:r>
            <w:r w:rsidRPr="00F25E8A">
              <w:rPr>
                <w:rFonts w:ascii="Cambria" w:eastAsia="Arial" w:hAnsi="Cambria"/>
                <w:i/>
              </w:rPr>
              <w:t xml:space="preserve"> S</w:t>
            </w:r>
            <w:r w:rsidRPr="00F25E8A">
              <w:rPr>
                <w:rFonts w:ascii="Cambria" w:eastAsia="Arial" w:hAnsi="Cambria"/>
                <w:i/>
                <w:vertAlign w:val="subscript"/>
              </w:rPr>
              <w:t>t-2</w:t>
            </w:r>
          </w:p>
        </w:tc>
        <w:tc>
          <w:tcPr>
            <w:tcW w:w="6170" w:type="dxa"/>
            <w:shd w:val="clear" w:color="auto" w:fill="auto"/>
          </w:tcPr>
          <w:p w14:paraId="3F232E65"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rPr>
              <w:t>comprises pre</w:t>
            </w:r>
            <w:r w:rsidRPr="00F25E8A">
              <w:rPr>
                <w:rFonts w:ascii="Cambria" w:eastAsia="Arial" w:hAnsi="Cambria"/>
              </w:rPr>
              <w:t>domina</w:t>
            </w:r>
            <w:r>
              <w:rPr>
                <w:rFonts w:ascii="Cambria" w:eastAsia="Arial" w:hAnsi="Cambria"/>
              </w:rPr>
              <w:t>n</w:t>
            </w:r>
            <w:r w:rsidRPr="00F25E8A">
              <w:rPr>
                <w:rFonts w:ascii="Cambria" w:eastAsia="Arial" w:hAnsi="Cambria"/>
              </w:rPr>
              <w:t>t</w:t>
            </w:r>
            <w:r>
              <w:rPr>
                <w:rFonts w:ascii="Cambria" w:eastAsia="Arial" w:hAnsi="Cambria"/>
              </w:rPr>
              <w:t xml:space="preserve">ly </w:t>
            </w:r>
            <w:r w:rsidRPr="00F25E8A">
              <w:rPr>
                <w:rFonts w:ascii="Cambria" w:eastAsia="Arial" w:hAnsi="Cambria"/>
              </w:rPr>
              <w:t>post-spawn</w:t>
            </w:r>
            <w:r>
              <w:rPr>
                <w:rFonts w:ascii="Cambria" w:eastAsia="Arial" w:hAnsi="Cambria"/>
              </w:rPr>
              <w:t xml:space="preserve">ed spent </w:t>
            </w:r>
            <w:r w:rsidRPr="00F25E8A">
              <w:rPr>
                <w:rFonts w:ascii="Cambria" w:eastAsia="Arial" w:hAnsi="Cambria"/>
              </w:rPr>
              <w:t>fish</w:t>
            </w:r>
            <w:r>
              <w:rPr>
                <w:rFonts w:ascii="Cambria" w:eastAsia="Arial" w:hAnsi="Cambria"/>
              </w:rPr>
              <w:t xml:space="preserve"> and is</w:t>
            </w:r>
            <w:r w:rsidRPr="00F25E8A">
              <w:rPr>
                <w:rFonts w:ascii="Cambria" w:eastAsia="Arial" w:hAnsi="Cambria"/>
              </w:rPr>
              <w:t xml:space="preserve"> correlated with spawning stock</w:t>
            </w:r>
            <w:r>
              <w:rPr>
                <w:rFonts w:ascii="Cambria" w:eastAsia="Arial" w:hAnsi="Cambria"/>
              </w:rPr>
              <w:t xml:space="preserve"> abundance</w:t>
            </w:r>
            <w:r w:rsidRPr="00F25E8A">
              <w:rPr>
                <w:rFonts w:ascii="Cambria" w:eastAsia="Arial" w:hAnsi="Cambria"/>
              </w:rPr>
              <w:t xml:space="preserve"> and cohort strength. If cohort strength</w:t>
            </w:r>
            <w:r w:rsidRPr="00F25E8A">
              <w:rPr>
                <w:rFonts w:ascii="Cambria" w:eastAsia="Arial" w:hAnsi="Cambria"/>
                <w:w w:val="99"/>
              </w:rPr>
              <w:t xml:space="preserve"> persists over time,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Pr>
                <w:rFonts w:ascii="Cambria" w:eastAsia="Arial" w:hAnsi="Cambria"/>
                <w:iCs/>
              </w:rPr>
              <w:t xml:space="preserve">and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w w:val="99"/>
              </w:rPr>
              <w:t xml:space="preserve"> should correlate</w:t>
            </w:r>
            <w:r w:rsidRPr="00F25E8A">
              <w:rPr>
                <w:rFonts w:ascii="Cambria" w:eastAsia="Arial" w:hAnsi="Cambria"/>
              </w:rPr>
              <w:t xml:space="preserve"> with </w:t>
            </w:r>
            <w:r w:rsidRPr="00F25E8A">
              <w:rPr>
                <w:rFonts w:ascii="Cambria" w:eastAsia="Arial" w:hAnsi="Cambria"/>
                <w:i/>
              </w:rPr>
              <w:t>S</w:t>
            </w:r>
            <w:r w:rsidRPr="00F25E8A">
              <w:rPr>
                <w:rFonts w:ascii="Cambria" w:eastAsia="Arial" w:hAnsi="Cambria"/>
                <w:i/>
                <w:vertAlign w:val="subscript"/>
              </w:rPr>
              <w:t>t-1</w:t>
            </w:r>
            <w:r w:rsidRPr="00F25E8A">
              <w:rPr>
                <w:rFonts w:ascii="Cambria" w:eastAsia="Arial" w:hAnsi="Cambria"/>
                <w:i/>
              </w:rPr>
              <w:t xml:space="preserve"> </w:t>
            </w:r>
            <w:r w:rsidRPr="00A62B26">
              <w:rPr>
                <w:rFonts w:ascii="Cambria" w:eastAsia="Arial" w:hAnsi="Cambria"/>
                <w:iCs/>
              </w:rPr>
              <w:t>and</w:t>
            </w:r>
            <w:r w:rsidRPr="00F25E8A">
              <w:rPr>
                <w:rFonts w:ascii="Cambria" w:eastAsia="Arial" w:hAnsi="Cambria"/>
                <w:i/>
              </w:rPr>
              <w:t xml:space="preserve"> S</w:t>
            </w:r>
            <w:r w:rsidRPr="00F25E8A">
              <w:rPr>
                <w:rFonts w:ascii="Cambria" w:eastAsia="Arial" w:hAnsi="Cambria"/>
                <w:i/>
                <w:vertAlign w:val="subscript"/>
              </w:rPr>
              <w:t>t-2</w:t>
            </w:r>
            <w:r w:rsidRPr="00F25E8A">
              <w:rPr>
                <w:rFonts w:ascii="Cambria" w:eastAsia="Arial" w:hAnsi="Cambria"/>
              </w:rPr>
              <w:t>.</w:t>
            </w:r>
          </w:p>
        </w:tc>
      </w:tr>
      <w:tr w:rsidR="00B91833" w:rsidRPr="00F25E8A" w14:paraId="34D6D7F7" w14:textId="77777777" w:rsidTr="00D638A7">
        <w:trPr>
          <w:cantSplit/>
          <w:trHeight w:val="20"/>
        </w:trPr>
        <w:tc>
          <w:tcPr>
            <w:tcW w:w="3110" w:type="dxa"/>
            <w:shd w:val="clear" w:color="auto" w:fill="auto"/>
          </w:tcPr>
          <w:p w14:paraId="7B0948E6" w14:textId="77777777" w:rsidR="00B91833" w:rsidRPr="00F25E8A" w:rsidRDefault="00B91833" w:rsidP="00D638A7">
            <w:pPr>
              <w:spacing w:line="276" w:lineRule="auto"/>
              <w:ind w:left="120"/>
              <w:rPr>
                <w:rFonts w:ascii="Cambria" w:eastAsia="Arial" w:hAnsi="Cambria"/>
              </w:rPr>
            </w:pPr>
            <w:r w:rsidRPr="00F25E8A">
              <w:rPr>
                <w:rFonts w:ascii="Cambria" w:eastAsia="Arial" w:hAnsi="Cambria"/>
              </w:rPr>
              <w:t>DD3</w:t>
            </w:r>
            <w:r>
              <w:rPr>
                <w:rFonts w:ascii="Cambria" w:eastAsia="Arial" w:hAnsi="Cambria"/>
              </w:rPr>
              <w:t>:</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N</w:t>
            </w:r>
            <w:r w:rsidRPr="00F25E8A">
              <w:rPr>
                <w:rFonts w:ascii="Cambria" w:eastAsia="Arial" w:hAnsi="Cambria"/>
                <w:i/>
                <w:vertAlign w:val="subscript"/>
              </w:rPr>
              <w:t>t-1</w:t>
            </w:r>
          </w:p>
        </w:tc>
        <w:tc>
          <w:tcPr>
            <w:tcW w:w="6170" w:type="dxa"/>
            <w:shd w:val="clear" w:color="auto" w:fill="auto"/>
          </w:tcPr>
          <w:p w14:paraId="2E3EA89A"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vertAlign w:val="subscript"/>
              </w:rPr>
              <w:t>−1</w:t>
            </w:r>
            <w:r w:rsidRPr="00F25E8A">
              <w:rPr>
                <w:rFonts w:ascii="Cambria" w:eastAsia="Arial" w:hAnsi="Cambria"/>
                <w:i/>
              </w:rPr>
              <w:t xml:space="preserve"> </w:t>
            </w:r>
            <w:r>
              <w:rPr>
                <w:rFonts w:ascii="Cambria" w:eastAsia="Arial" w:hAnsi="Cambria"/>
              </w:rPr>
              <w:t xml:space="preserve">comprises fish </w:t>
            </w:r>
            <w:r w:rsidRPr="00F25E8A">
              <w:rPr>
                <w:rFonts w:ascii="Cambria" w:eastAsia="Arial" w:hAnsi="Cambria"/>
              </w:rPr>
              <w:t>age</w:t>
            </w:r>
            <w:r>
              <w:rPr>
                <w:rFonts w:ascii="Cambria" w:eastAsia="Arial" w:hAnsi="Cambria"/>
              </w:rPr>
              <w:t>d</w:t>
            </w:r>
            <w:r w:rsidRPr="00F25E8A">
              <w:rPr>
                <w:rFonts w:ascii="Cambria" w:eastAsia="Arial" w:hAnsi="Cambria"/>
              </w:rPr>
              <w:t xml:space="preserve"> 0</w:t>
            </w:r>
            <w:r>
              <w:rPr>
                <w:rFonts w:ascii="Cambria" w:eastAsia="Arial" w:hAnsi="Cambria"/>
              </w:rPr>
              <w:t xml:space="preserve"> to &gt;</w:t>
            </w:r>
            <w:r w:rsidRPr="00F25E8A">
              <w:rPr>
                <w:rFonts w:ascii="Cambria" w:eastAsia="Arial" w:hAnsi="Cambria"/>
              </w:rPr>
              <w:t>2</w:t>
            </w:r>
            <w:r>
              <w:rPr>
                <w:rFonts w:ascii="Cambria" w:eastAsia="Arial" w:hAnsi="Cambria"/>
              </w:rPr>
              <w:t xml:space="preserve"> years, which will appear one year older in the next</w:t>
            </w:r>
            <w:r w:rsidRPr="00F25E8A">
              <w:rPr>
                <w:rFonts w:ascii="Cambria" w:eastAsia="Arial" w:hAnsi="Cambria"/>
              </w:rPr>
              <w:t xml:space="preserve"> </w:t>
            </w:r>
            <w:r>
              <w:rPr>
                <w:rFonts w:ascii="Cambria" w:eastAsia="Arial" w:hAnsi="Cambria"/>
              </w:rPr>
              <w:t>season</w:t>
            </w:r>
            <w:r w:rsidRPr="00F25E8A">
              <w:rPr>
                <w:rFonts w:ascii="Cambria" w:eastAsia="Arial" w:hAnsi="Cambria"/>
              </w:rPr>
              <w:t xml:space="preserve"> in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rPr>
              <w:t xml:space="preserve"> landings.</w:t>
            </w:r>
          </w:p>
        </w:tc>
      </w:tr>
      <w:tr w:rsidR="00B91833" w:rsidRPr="00F25E8A" w14:paraId="2E6B5FD4" w14:textId="77777777" w:rsidTr="00D638A7">
        <w:trPr>
          <w:cantSplit/>
          <w:trHeight w:val="20"/>
        </w:trPr>
        <w:tc>
          <w:tcPr>
            <w:tcW w:w="3110" w:type="dxa"/>
            <w:shd w:val="clear" w:color="auto" w:fill="auto"/>
          </w:tcPr>
          <w:p w14:paraId="3127E52A" w14:textId="77777777" w:rsidR="00B91833" w:rsidRPr="00F25E8A" w:rsidRDefault="00B91833" w:rsidP="00D638A7">
            <w:pPr>
              <w:spacing w:line="276" w:lineRule="auto"/>
              <w:ind w:left="593" w:hanging="450"/>
              <w:rPr>
                <w:rFonts w:ascii="Cambria" w:eastAsia="Arial" w:hAnsi="Cambria"/>
              </w:rPr>
            </w:pPr>
            <w:r w:rsidRPr="00F25E8A">
              <w:rPr>
                <w:rFonts w:ascii="Cambria" w:eastAsia="Arial" w:hAnsi="Cambria"/>
              </w:rPr>
              <w:t>S1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Jul </w:t>
            </w:r>
            <w:r>
              <w:rPr>
                <w:rFonts w:ascii="Cambria" w:eastAsia="Arial" w:hAnsi="Cambria"/>
              </w:rPr>
              <w:t>and Apr-Mar oceanic precipitation</w:t>
            </w:r>
          </w:p>
        </w:tc>
        <w:tc>
          <w:tcPr>
            <w:tcW w:w="6170" w:type="dxa"/>
            <w:shd w:val="clear" w:color="auto" w:fill="auto"/>
          </w:tcPr>
          <w:p w14:paraId="628F4C34"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rPr>
              <w:t xml:space="preserve">The </w:t>
            </w:r>
            <w:r>
              <w:rPr>
                <w:rFonts w:ascii="Cambria" w:eastAsia="Arial" w:hAnsi="Cambria"/>
              </w:rPr>
              <w:t>April-May and June–July</w:t>
            </w:r>
            <w:r w:rsidRPr="00F25E8A">
              <w:rPr>
                <w:rFonts w:ascii="Cambria" w:eastAsia="Arial" w:hAnsi="Cambria"/>
              </w:rPr>
              <w:t xml:space="preserve"> precipitation </w:t>
            </w:r>
            <w:r>
              <w:rPr>
                <w:rFonts w:ascii="Cambria" w:eastAsia="Arial" w:hAnsi="Cambria"/>
              </w:rPr>
              <w:t xml:space="preserve">over the ocean </w:t>
            </w:r>
            <w:r w:rsidRPr="00F25E8A">
              <w:rPr>
                <w:rFonts w:ascii="Cambria" w:eastAsia="Arial" w:hAnsi="Cambria"/>
              </w:rPr>
              <w:t>directly or indirectly</w:t>
            </w:r>
            <w:r w:rsidRPr="00F25E8A">
              <w:rPr>
                <w:rFonts w:ascii="Cambria" w:eastAsia="Arial" w:hAnsi="Cambria"/>
                <w:w w:val="98"/>
              </w:rPr>
              <w:t xml:space="preserve"> </w:t>
            </w:r>
            <w:r>
              <w:rPr>
                <w:rFonts w:ascii="Cambria" w:eastAsia="Arial" w:hAnsi="Cambria"/>
                <w:w w:val="98"/>
              </w:rPr>
              <w:t>prompts spawning</w:t>
            </w:r>
            <w:r w:rsidRPr="00F25E8A">
              <w:rPr>
                <w:rFonts w:ascii="Cambria" w:eastAsia="Arial" w:hAnsi="Cambria"/>
                <w:w w:val="98"/>
              </w:rPr>
              <w:t>, after which spent adults</w:t>
            </w:r>
            <w:r w:rsidRPr="00F25E8A">
              <w:rPr>
                <w:rFonts w:ascii="Cambria" w:eastAsia="Arial" w:hAnsi="Cambria"/>
              </w:rPr>
              <w:t xml:space="preserve"> migrate inshore </w:t>
            </w:r>
            <w:r>
              <w:rPr>
                <w:rFonts w:ascii="Cambria" w:eastAsia="Arial" w:hAnsi="Cambria"/>
              </w:rPr>
              <w:t>and are exposed to</w:t>
            </w:r>
            <w:r w:rsidRPr="00F25E8A">
              <w:rPr>
                <w:rFonts w:ascii="Cambria" w:eastAsia="Arial" w:hAnsi="Cambria"/>
              </w:rPr>
              <w:t xml:space="preserve"> the fishery</w:t>
            </w:r>
            <w:r>
              <w:rPr>
                <w:rFonts w:ascii="Cambria" w:eastAsia="Arial" w:hAnsi="Cambria"/>
              </w:rPr>
              <w:t xml:space="preserve">. </w:t>
            </w:r>
          </w:p>
        </w:tc>
      </w:tr>
      <w:tr w:rsidR="00B91833" w:rsidRPr="00F25E8A" w14:paraId="7FAE9B66" w14:textId="77777777" w:rsidTr="00D638A7">
        <w:trPr>
          <w:cantSplit/>
          <w:trHeight w:val="20"/>
        </w:trPr>
        <w:tc>
          <w:tcPr>
            <w:tcW w:w="3110" w:type="dxa"/>
            <w:shd w:val="clear" w:color="auto" w:fill="auto"/>
          </w:tcPr>
          <w:p w14:paraId="684801EF" w14:textId="77777777" w:rsidR="00B91833" w:rsidRPr="00F25E8A" w:rsidRDefault="00B91833" w:rsidP="00D638A7">
            <w:pPr>
              <w:spacing w:line="276" w:lineRule="auto"/>
              <w:ind w:left="593" w:hanging="450"/>
              <w:rPr>
                <w:rFonts w:ascii="Cambria" w:eastAsia="Arial" w:hAnsi="Cambria"/>
              </w:rPr>
            </w:pPr>
            <w:r w:rsidRPr="00F25E8A">
              <w:rPr>
                <w:rFonts w:ascii="Cambria" w:eastAsia="Arial" w:hAnsi="Cambria"/>
              </w:rPr>
              <w:t>S2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D00D80">
              <w:rPr>
                <w:rFonts w:ascii="Cambria" w:eastAsia="Arial" w:hAnsi="Cambria"/>
              </w:rPr>
              <w:t>and</w:t>
            </w:r>
            <w:r>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Pr>
                <w:rFonts w:ascii="Cambria" w:eastAsia="Arial" w:hAnsi="Cambria"/>
              </w:rPr>
              <w:t>Jun–Jul land precipitation</w:t>
            </w:r>
            <w:r w:rsidRPr="00F25E8A">
              <w:rPr>
                <w:rFonts w:ascii="Cambria" w:eastAsia="Arial" w:hAnsi="Cambria"/>
              </w:rPr>
              <w:t xml:space="preserve"> </w:t>
            </w:r>
          </w:p>
        </w:tc>
        <w:tc>
          <w:tcPr>
            <w:tcW w:w="6170" w:type="dxa"/>
            <w:shd w:val="clear" w:color="auto" w:fill="auto"/>
          </w:tcPr>
          <w:p w14:paraId="2D7F1753" w14:textId="77777777" w:rsidR="00B91833" w:rsidRPr="00F25E8A" w:rsidRDefault="00B91833" w:rsidP="00D638A7">
            <w:pPr>
              <w:spacing w:line="276" w:lineRule="auto"/>
              <w:ind w:left="100"/>
              <w:rPr>
                <w:rFonts w:ascii="Cambria" w:eastAsia="Arial" w:hAnsi="Cambria"/>
              </w:rPr>
            </w:pPr>
            <w:r>
              <w:rPr>
                <w:rFonts w:ascii="Cambria" w:eastAsia="Arial" w:hAnsi="Cambria"/>
              </w:rPr>
              <w:t>Precipitation</w:t>
            </w:r>
            <w:r w:rsidRPr="00F25E8A">
              <w:rPr>
                <w:rFonts w:ascii="Cambria" w:eastAsia="Arial" w:hAnsi="Cambria"/>
              </w:rPr>
              <w:t xml:space="preserve"> </w:t>
            </w:r>
            <w:r>
              <w:rPr>
                <w:rFonts w:ascii="Cambria" w:eastAsia="Arial" w:hAnsi="Cambria"/>
              </w:rPr>
              <w:t>over land during the monsoon leads to high nutrient input from river discharge which leads to eutrophication and anoxia in the nearshore areas during the monsoon, while at the same time supporting productivity post-monsoon.</w:t>
            </w:r>
          </w:p>
        </w:tc>
      </w:tr>
      <w:tr w:rsidR="00B91833" w:rsidRPr="00F25E8A" w14:paraId="04B48A5A" w14:textId="77777777" w:rsidTr="00D638A7">
        <w:trPr>
          <w:cantSplit/>
          <w:trHeight w:val="20"/>
        </w:trPr>
        <w:tc>
          <w:tcPr>
            <w:tcW w:w="3110" w:type="dxa"/>
            <w:shd w:val="clear" w:color="auto" w:fill="auto"/>
          </w:tcPr>
          <w:p w14:paraId="688C867F" w14:textId="77777777" w:rsidR="00B91833" w:rsidRPr="00F25E8A" w:rsidRDefault="00B91833" w:rsidP="00D638A7">
            <w:pPr>
              <w:spacing w:line="276" w:lineRule="auto"/>
              <w:ind w:left="593" w:hanging="450"/>
              <w:rPr>
                <w:rFonts w:ascii="Cambria" w:eastAsia="Arial" w:hAnsi="Cambria"/>
              </w:rPr>
            </w:pPr>
            <w:r w:rsidRPr="00F25E8A">
              <w:rPr>
                <w:rFonts w:ascii="Cambria" w:eastAsia="Arial" w:hAnsi="Cambria"/>
              </w:rPr>
              <w:t>S3</w:t>
            </w:r>
            <w:r>
              <w:rPr>
                <w:rFonts w:ascii="Cambria" w:eastAsia="Arial" w:hAnsi="Cambria"/>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Apr</w:t>
            </w:r>
            <w:r>
              <w:rPr>
                <w:rFonts w:ascii="Cambria" w:eastAsia="Arial" w:hAnsi="Cambria"/>
              </w:rPr>
              <w:t>–</w:t>
            </w:r>
            <w:r w:rsidRPr="00F25E8A">
              <w:rPr>
                <w:rFonts w:ascii="Cambria" w:eastAsia="Arial" w:hAnsi="Cambria"/>
              </w:rPr>
              <w:t>Mar precipitation</w:t>
            </w:r>
          </w:p>
        </w:tc>
        <w:tc>
          <w:tcPr>
            <w:tcW w:w="6170" w:type="dxa"/>
            <w:shd w:val="clear" w:color="auto" w:fill="auto"/>
          </w:tcPr>
          <w:p w14:paraId="7210AC72" w14:textId="77777777" w:rsidR="00B91833" w:rsidRPr="00F25E8A" w:rsidRDefault="00B91833" w:rsidP="00D638A7">
            <w:pPr>
              <w:spacing w:line="276" w:lineRule="auto"/>
              <w:ind w:left="100"/>
              <w:rPr>
                <w:rFonts w:ascii="Cambria" w:eastAsia="Arial" w:hAnsi="Cambria"/>
              </w:rPr>
            </w:pPr>
            <w:r>
              <w:rPr>
                <w:rFonts w:ascii="Cambria" w:eastAsia="Arial" w:hAnsi="Cambria"/>
              </w:rPr>
              <w:t>Spring p</w:t>
            </w:r>
            <w:r w:rsidRPr="00F25E8A">
              <w:rPr>
                <w:rFonts w:ascii="Cambria" w:eastAsia="Arial" w:hAnsi="Cambria"/>
              </w:rPr>
              <w:t>recipitation is an indicator of climatic conditions during</w:t>
            </w:r>
            <w:r w:rsidRPr="00F25E8A">
              <w:rPr>
                <w:rFonts w:ascii="Cambria" w:eastAsia="Arial" w:hAnsi="Cambria"/>
                <w:w w:val="99"/>
              </w:rPr>
              <w:t xml:space="preserve"> egg development</w:t>
            </w:r>
            <w:r>
              <w:rPr>
                <w:rFonts w:ascii="Cambria" w:eastAsia="Arial" w:hAnsi="Cambria"/>
                <w:w w:val="99"/>
              </w:rPr>
              <w:t>, which</w:t>
            </w:r>
            <w:r w:rsidRPr="00F25E8A">
              <w:rPr>
                <w:rFonts w:ascii="Cambria" w:eastAsia="Arial" w:hAnsi="Cambria"/>
                <w:w w:val="99"/>
              </w:rPr>
              <w:t xml:space="preserve"> aﬀect</w:t>
            </w:r>
            <w:r>
              <w:rPr>
                <w:rFonts w:ascii="Cambria" w:eastAsia="Arial" w:hAnsi="Cambria"/>
                <w:w w:val="99"/>
              </w:rPr>
              <w:t xml:space="preserve"> spawning </w:t>
            </w:r>
            <w:r w:rsidRPr="00F25E8A">
              <w:rPr>
                <w:rFonts w:ascii="Cambria" w:eastAsia="Arial" w:hAnsi="Cambria"/>
                <w:w w:val="99"/>
              </w:rPr>
              <w:t xml:space="preserve">success </w:t>
            </w:r>
            <w:r>
              <w:rPr>
                <w:rFonts w:ascii="Cambria" w:eastAsia="Arial" w:hAnsi="Cambria"/>
                <w:w w:val="99"/>
              </w:rPr>
              <w:t>and</w:t>
            </w:r>
            <w:r w:rsidRPr="00F25E8A">
              <w:rPr>
                <w:rFonts w:ascii="Cambria" w:eastAsia="Arial" w:hAnsi="Cambria"/>
              </w:rPr>
              <w:t xml:space="preserve"> thus the </w:t>
            </w:r>
            <w:r>
              <w:rPr>
                <w:rFonts w:ascii="Cambria" w:eastAsia="Arial" w:hAnsi="Cambria"/>
              </w:rPr>
              <w:t>cohort strength in the current and future seasons.</w:t>
            </w:r>
          </w:p>
        </w:tc>
      </w:tr>
      <w:tr w:rsidR="00B91833" w:rsidRPr="00F25E8A" w14:paraId="0953F3CD" w14:textId="77777777" w:rsidTr="00D638A7">
        <w:trPr>
          <w:cantSplit/>
          <w:trHeight w:val="20"/>
        </w:trPr>
        <w:tc>
          <w:tcPr>
            <w:tcW w:w="3110" w:type="dxa"/>
            <w:shd w:val="clear" w:color="auto" w:fill="auto"/>
          </w:tcPr>
          <w:p w14:paraId="1D2C58C4" w14:textId="77777777" w:rsidR="00B91833" w:rsidRPr="00F25E8A" w:rsidRDefault="00B91833" w:rsidP="00D638A7">
            <w:pPr>
              <w:spacing w:line="276" w:lineRule="auto"/>
              <w:ind w:left="120"/>
              <w:rPr>
                <w:rFonts w:ascii="Cambria" w:eastAsia="Arial" w:hAnsi="Cambria"/>
              </w:rPr>
            </w:pPr>
            <w:r w:rsidRPr="00F25E8A">
              <w:rPr>
                <w:rFonts w:ascii="Cambria" w:eastAsia="Arial" w:hAnsi="Cambria"/>
              </w:rPr>
              <w:t>S4</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Sep </w:t>
            </w:r>
            <w:r>
              <w:rPr>
                <w:rFonts w:ascii="Cambria" w:eastAsia="Arial" w:hAnsi="Cambria"/>
              </w:rPr>
              <w:t>upwelling</w:t>
            </w:r>
          </w:p>
        </w:tc>
        <w:tc>
          <w:tcPr>
            <w:tcW w:w="6170" w:type="dxa"/>
            <w:shd w:val="clear" w:color="auto" w:fill="auto"/>
          </w:tcPr>
          <w:p w14:paraId="49562846"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rPr>
              <w:t xml:space="preserve">High </w:t>
            </w:r>
            <w:r>
              <w:rPr>
                <w:rFonts w:ascii="Cambria" w:eastAsia="Arial" w:hAnsi="Cambria"/>
              </w:rPr>
              <w:t>upwelling</w:t>
            </w:r>
            <w:r w:rsidRPr="00F25E8A">
              <w:rPr>
                <w:rFonts w:ascii="Cambria" w:eastAsia="Arial" w:hAnsi="Cambria"/>
              </w:rPr>
              <w:t xml:space="preserve"> drive</w:t>
            </w:r>
            <w:r>
              <w:rPr>
                <w:rFonts w:ascii="Cambria" w:eastAsia="Arial" w:hAnsi="Cambria"/>
              </w:rPr>
              <w:t>s</w:t>
            </w:r>
            <w:r w:rsidRPr="00F25E8A">
              <w:rPr>
                <w:rFonts w:ascii="Cambria" w:eastAsia="Arial" w:hAnsi="Cambria"/>
              </w:rPr>
              <w:t xml:space="preserve"> by </w:t>
            </w:r>
            <w:r>
              <w:rPr>
                <w:rFonts w:ascii="Cambria" w:eastAsia="Arial" w:hAnsi="Cambria"/>
              </w:rPr>
              <w:t xml:space="preserve">the offshore </w:t>
            </w:r>
            <w:r w:rsidRPr="00F25E8A">
              <w:rPr>
                <w:rFonts w:ascii="Cambria" w:eastAsia="Arial" w:hAnsi="Cambria"/>
              </w:rPr>
              <w:t xml:space="preserve">advection of phytoplankton biomass </w:t>
            </w:r>
            <w:r>
              <w:rPr>
                <w:rFonts w:ascii="Cambria" w:eastAsia="Arial" w:hAnsi="Cambria"/>
              </w:rPr>
              <w:t>and brings</w:t>
            </w:r>
            <w:r w:rsidRPr="00F25E8A">
              <w:rPr>
                <w:rFonts w:ascii="Cambria" w:eastAsia="Arial" w:hAnsi="Cambria"/>
              </w:rPr>
              <w:t xml:space="preserve"> hypoxic water to the surface</w:t>
            </w:r>
            <w:r>
              <w:rPr>
                <w:rFonts w:ascii="Cambria" w:eastAsia="Arial" w:hAnsi="Cambria"/>
              </w:rPr>
              <w:t>. Both</w:t>
            </w:r>
            <w:r w:rsidRPr="00F25E8A">
              <w:rPr>
                <w:rFonts w:ascii="Cambria" w:eastAsia="Arial" w:hAnsi="Cambria"/>
              </w:rPr>
              <w:t xml:space="preserve"> drive mature fish further oﬀshore</w:t>
            </w:r>
            <w:r>
              <w:rPr>
                <w:rFonts w:ascii="Cambria" w:eastAsia="Arial" w:hAnsi="Cambria"/>
              </w:rPr>
              <w:t>,</w:t>
            </w:r>
            <w:r w:rsidRPr="00F25E8A">
              <w:rPr>
                <w:rFonts w:ascii="Cambria" w:eastAsia="Arial" w:hAnsi="Cambria"/>
                <w:w w:val="99"/>
              </w:rPr>
              <w:t xml:space="preserve"> </w:t>
            </w:r>
            <w:r>
              <w:rPr>
                <w:rFonts w:ascii="Cambria" w:eastAsia="Arial" w:hAnsi="Cambria"/>
                <w:w w:val="99"/>
              </w:rPr>
              <w:t>reducing fishery</w:t>
            </w:r>
            <w:r w:rsidRPr="00F25E8A">
              <w:rPr>
                <w:rFonts w:ascii="Cambria" w:eastAsia="Arial" w:hAnsi="Cambria"/>
                <w:w w:val="99"/>
              </w:rPr>
              <w:t xml:space="preserve"> exposure</w:t>
            </w:r>
            <w:r w:rsidRPr="00F25E8A">
              <w:rPr>
                <w:rFonts w:ascii="Cambria" w:eastAsia="Arial" w:hAnsi="Cambria"/>
              </w:rPr>
              <w:t>.</w:t>
            </w:r>
            <w:r>
              <w:rPr>
                <w:rFonts w:ascii="Cambria" w:eastAsia="Arial" w:hAnsi="Cambria"/>
              </w:rPr>
              <w:t xml:space="preserve"> Conversely, moderate upwelling leads to phytoplankton blooms which bring fish closer to the coast and to the fishery.</w:t>
            </w:r>
          </w:p>
        </w:tc>
      </w:tr>
      <w:tr w:rsidR="00B91833" w:rsidRPr="00F25E8A" w14:paraId="54CB5794" w14:textId="77777777" w:rsidTr="00D638A7">
        <w:trPr>
          <w:cantSplit/>
          <w:trHeight w:val="20"/>
        </w:trPr>
        <w:tc>
          <w:tcPr>
            <w:tcW w:w="3110" w:type="dxa"/>
            <w:shd w:val="clear" w:color="auto" w:fill="auto"/>
          </w:tcPr>
          <w:p w14:paraId="74BCC84D" w14:textId="77777777" w:rsidR="00B91833" w:rsidRPr="00F25E8A" w:rsidRDefault="00B91833" w:rsidP="00D638A7">
            <w:pPr>
              <w:spacing w:line="276" w:lineRule="auto"/>
              <w:ind w:left="593" w:hanging="450"/>
              <w:rPr>
                <w:rFonts w:ascii="Cambria" w:eastAsia="Arial" w:hAnsi="Cambria"/>
              </w:rPr>
            </w:pPr>
            <w:r w:rsidRPr="00F25E8A">
              <w:rPr>
                <w:rFonts w:ascii="Cambria" w:eastAsia="Arial" w:hAnsi="Cambria"/>
              </w:rPr>
              <w:t>S5</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3A3B17">
              <w:rPr>
                <w:rFonts w:ascii="Cambria" w:eastAsia="Arial" w:hAnsi="Cambria"/>
                <w:iCs/>
              </w:rPr>
              <w:t>and/</w:t>
            </w:r>
            <w:r w:rsidRPr="004F1560">
              <w:rPr>
                <w:rFonts w:ascii="Cambria" w:eastAsia="Arial" w:hAnsi="Cambria"/>
                <w:iCs/>
              </w:rPr>
              <w:t>or</w:t>
            </w:r>
            <w:r>
              <w:rPr>
                <w:rFonts w:ascii="Cambria" w:eastAsia="Arial" w:hAnsi="Cambria"/>
                <w:iCs/>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sidRPr="00F25E8A">
              <w:rPr>
                <w:rFonts w:ascii="Cambria" w:eastAsia="Arial" w:hAnsi="Cambria"/>
              </w:rPr>
              <w:t>Mar</w:t>
            </w:r>
            <w:r>
              <w:rPr>
                <w:rFonts w:ascii="Cambria" w:eastAsia="Arial" w:hAnsi="Cambria"/>
              </w:rPr>
              <w:t>–</w:t>
            </w:r>
            <w:r w:rsidRPr="00F25E8A">
              <w:rPr>
                <w:rFonts w:ascii="Cambria" w:eastAsia="Arial" w:hAnsi="Cambria"/>
              </w:rPr>
              <w:t>May r-SST</w:t>
            </w:r>
          </w:p>
        </w:tc>
        <w:tc>
          <w:tcPr>
            <w:tcW w:w="6170" w:type="dxa"/>
            <w:shd w:val="clear" w:color="auto" w:fill="auto"/>
          </w:tcPr>
          <w:p w14:paraId="095D2118"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rPr>
              <w:t xml:space="preserve">Extreme </w:t>
            </w:r>
            <w:r>
              <w:rPr>
                <w:rFonts w:ascii="Cambria" w:eastAsia="Arial" w:hAnsi="Cambria"/>
              </w:rPr>
              <w:t xml:space="preserve">pre-monsoon </w:t>
            </w:r>
            <w:r w:rsidRPr="00F25E8A">
              <w:rPr>
                <w:rFonts w:ascii="Cambria" w:eastAsia="Arial" w:hAnsi="Cambria"/>
              </w:rPr>
              <w:t>heating events drive mature fish from</w:t>
            </w:r>
            <w:r>
              <w:rPr>
                <w:rFonts w:ascii="Cambria" w:eastAsia="Arial" w:hAnsi="Cambria"/>
              </w:rPr>
              <w:t xml:space="preserve"> </w:t>
            </w:r>
            <w:r w:rsidRPr="00F25E8A">
              <w:rPr>
                <w:rFonts w:ascii="Cambria" w:eastAsia="Arial" w:hAnsi="Cambria"/>
              </w:rPr>
              <w:t>spawning areas, resulting in poor recruitment and fewer 0</w:t>
            </w:r>
            <w:r>
              <w:rPr>
                <w:rFonts w:ascii="Cambria" w:eastAsia="Arial" w:hAnsi="Cambria"/>
              </w:rPr>
              <w:t>-year</w:t>
            </w:r>
            <w:r w:rsidRPr="00F25E8A">
              <w:rPr>
                <w:rFonts w:ascii="Cambria" w:eastAsia="Arial" w:hAnsi="Cambria"/>
              </w:rPr>
              <w:t xml:space="preserve"> fish in </w:t>
            </w:r>
            <w:r w:rsidRPr="00F25E8A">
              <w:rPr>
                <w:rFonts w:ascii="Cambria" w:eastAsia="Arial" w:hAnsi="Cambria"/>
                <w:i/>
              </w:rPr>
              <w:t>N</w:t>
            </w:r>
            <w:r w:rsidRPr="00F25E8A">
              <w:rPr>
                <w:rFonts w:ascii="Cambria" w:eastAsia="Arial" w:hAnsi="Cambria"/>
                <w:i/>
                <w:vertAlign w:val="subscript"/>
              </w:rPr>
              <w:t>t</w:t>
            </w:r>
            <w:r w:rsidRPr="00F25E8A">
              <w:rPr>
                <w:rFonts w:ascii="Cambria" w:eastAsia="Arial" w:hAnsi="Cambria"/>
              </w:rPr>
              <w:t>.</w:t>
            </w:r>
          </w:p>
        </w:tc>
      </w:tr>
      <w:tr w:rsidR="00B91833" w:rsidRPr="00F25E8A" w14:paraId="74C6E081" w14:textId="77777777" w:rsidTr="00D638A7">
        <w:trPr>
          <w:cantSplit/>
          <w:trHeight w:val="20"/>
        </w:trPr>
        <w:tc>
          <w:tcPr>
            <w:tcW w:w="3110" w:type="dxa"/>
            <w:shd w:val="clear" w:color="auto" w:fill="auto"/>
          </w:tcPr>
          <w:p w14:paraId="17EBBC02" w14:textId="77777777" w:rsidR="00B91833" w:rsidRPr="00F25E8A" w:rsidRDefault="00B91833" w:rsidP="00D638A7">
            <w:pPr>
              <w:spacing w:line="276" w:lineRule="auto"/>
              <w:ind w:left="593" w:hanging="450"/>
              <w:rPr>
                <w:rFonts w:ascii="Cambria" w:eastAsia="Arial" w:hAnsi="Cambria"/>
                <w:i/>
              </w:rPr>
            </w:pPr>
            <w:r w:rsidRPr="00F25E8A">
              <w:rPr>
                <w:rFonts w:ascii="Cambria" w:eastAsia="Arial" w:hAnsi="Cambria"/>
              </w:rPr>
              <w:lastRenderedPageBreak/>
              <w:t>L1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Pr>
                <w:rFonts w:ascii="Cambria" w:eastAsia="Arial" w:hAnsi="Cambria"/>
                <w:i/>
              </w:rPr>
              <w:t xml:space="preserve"> </w:t>
            </w:r>
            <w:r w:rsidRPr="00A62B26">
              <w:rPr>
                <w:rFonts w:ascii="Cambria" w:eastAsia="Arial" w:hAnsi="Cambria"/>
                <w:iCs/>
              </w:rPr>
              <w:t>and/or</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Oct</w:t>
            </w:r>
            <w:r>
              <w:rPr>
                <w:rFonts w:ascii="Cambria" w:eastAsia="Arial" w:hAnsi="Cambria"/>
              </w:rPr>
              <w:t>–</w:t>
            </w:r>
            <w:r w:rsidRPr="00F25E8A">
              <w:rPr>
                <w:rFonts w:ascii="Cambria" w:eastAsia="Arial" w:hAnsi="Cambria"/>
              </w:rPr>
              <w:t>Dec ns-SST</w:t>
            </w:r>
          </w:p>
        </w:tc>
        <w:tc>
          <w:tcPr>
            <w:tcW w:w="6170" w:type="dxa"/>
            <w:shd w:val="clear" w:color="auto" w:fill="auto"/>
          </w:tcPr>
          <w:p w14:paraId="49985A24" w14:textId="77777777" w:rsidR="00B91833" w:rsidRPr="00F25E8A" w:rsidRDefault="00B91833" w:rsidP="00D638A7">
            <w:pPr>
              <w:spacing w:line="276" w:lineRule="auto"/>
              <w:ind w:left="100"/>
              <w:rPr>
                <w:rFonts w:ascii="Cambria" w:eastAsia="Arial" w:hAnsi="Cambria"/>
              </w:rPr>
            </w:pPr>
            <w:r>
              <w:rPr>
                <w:rFonts w:ascii="Cambria" w:eastAsia="Arial" w:hAnsi="Cambria"/>
              </w:rPr>
              <w:t>L</w:t>
            </w:r>
            <w:r w:rsidRPr="00F25E8A">
              <w:rPr>
                <w:rFonts w:ascii="Cambria" w:eastAsia="Arial" w:hAnsi="Cambria"/>
              </w:rPr>
              <w:t xml:space="preserve">arval and juvenile growth and survival </w:t>
            </w:r>
            <w:r>
              <w:rPr>
                <w:rFonts w:ascii="Cambria" w:eastAsia="Arial" w:hAnsi="Cambria"/>
              </w:rPr>
              <w:t>are</w:t>
            </w:r>
            <w:r w:rsidRPr="00F25E8A">
              <w:rPr>
                <w:rFonts w:ascii="Cambria" w:eastAsia="Arial" w:hAnsi="Cambria"/>
              </w:rPr>
              <w:t xml:space="preserve"> aﬀected by temperature</w:t>
            </w:r>
            <w:r>
              <w:rPr>
                <w:rFonts w:ascii="Cambria" w:eastAsia="Arial" w:hAnsi="Cambria"/>
              </w:rPr>
              <w:t xml:space="preserve"> and October-November are peak somatic growth months. </w:t>
            </w:r>
            <w:proofErr w:type="gramStart"/>
            <w:r>
              <w:rPr>
                <w:rFonts w:ascii="Cambria" w:eastAsia="Arial" w:hAnsi="Cambria"/>
              </w:rPr>
              <w:t>Thus</w:t>
            </w:r>
            <w:proofErr w:type="gramEnd"/>
            <w:r>
              <w:rPr>
                <w:rFonts w:ascii="Cambria" w:eastAsia="Arial" w:hAnsi="Cambria"/>
              </w:rPr>
              <w:t xml:space="preserve"> post-monsoon</w:t>
            </w:r>
            <w:r w:rsidRPr="00F25E8A">
              <w:rPr>
                <w:rFonts w:ascii="Cambria" w:eastAsia="Arial" w:hAnsi="Cambria"/>
              </w:rPr>
              <w:t xml:space="preserve"> </w:t>
            </w:r>
            <w:r>
              <w:rPr>
                <w:rFonts w:ascii="Cambria" w:eastAsia="Arial" w:hAnsi="Cambria"/>
              </w:rPr>
              <w:t xml:space="preserve">nearshore </w:t>
            </w:r>
            <w:r w:rsidRPr="00F25E8A">
              <w:rPr>
                <w:rFonts w:ascii="Cambria" w:eastAsia="Arial" w:hAnsi="Cambria"/>
              </w:rPr>
              <w:t xml:space="preserve">SST </w:t>
            </w:r>
            <w:r>
              <w:rPr>
                <w:rFonts w:ascii="Cambria" w:eastAsia="Arial" w:hAnsi="Cambria"/>
              </w:rPr>
              <w:t>can affect current and future abundance.</w:t>
            </w:r>
          </w:p>
        </w:tc>
      </w:tr>
      <w:tr w:rsidR="00B91833" w:rsidRPr="00F25E8A" w14:paraId="4DB2CBA8" w14:textId="77777777" w:rsidTr="00D638A7">
        <w:trPr>
          <w:cantSplit/>
          <w:trHeight w:val="20"/>
        </w:trPr>
        <w:tc>
          <w:tcPr>
            <w:tcW w:w="3110" w:type="dxa"/>
            <w:shd w:val="clear" w:color="auto" w:fill="auto"/>
          </w:tcPr>
          <w:p w14:paraId="0C9FB55E" w14:textId="77777777" w:rsidR="00B91833" w:rsidRPr="00F25E8A" w:rsidRDefault="00B91833" w:rsidP="00D638A7">
            <w:pPr>
              <w:spacing w:line="276" w:lineRule="auto"/>
              <w:ind w:left="593" w:hanging="450"/>
              <w:rPr>
                <w:rFonts w:ascii="Cambria" w:eastAsia="Arial" w:hAnsi="Cambria"/>
              </w:rPr>
            </w:pPr>
            <w:r w:rsidRPr="00F25E8A">
              <w:rPr>
                <w:rFonts w:ascii="Cambria" w:eastAsia="Arial" w:hAnsi="Cambria"/>
              </w:rPr>
              <w:t>L2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and/or</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Jun</w:t>
            </w:r>
            <w:r>
              <w:rPr>
                <w:rFonts w:ascii="Cambria" w:eastAsia="Arial" w:hAnsi="Cambria"/>
              </w:rPr>
              <w:t>–</w:t>
            </w:r>
            <w:r w:rsidRPr="00F25E8A">
              <w:rPr>
                <w:rFonts w:ascii="Cambria" w:eastAsia="Arial" w:hAnsi="Cambria"/>
              </w:rPr>
              <w:t xml:space="preserve">Sep </w:t>
            </w:r>
            <w:r>
              <w:rPr>
                <w:rFonts w:ascii="Cambria" w:eastAsia="Arial" w:hAnsi="Cambria"/>
              </w:rPr>
              <w:t>UPW</w:t>
            </w:r>
          </w:p>
        </w:tc>
        <w:tc>
          <w:tcPr>
            <w:tcW w:w="6170" w:type="dxa"/>
            <w:shd w:val="clear" w:color="auto" w:fill="auto"/>
          </w:tcPr>
          <w:p w14:paraId="65FD9E67" w14:textId="77777777" w:rsidR="00B91833" w:rsidRPr="00F25E8A" w:rsidRDefault="00B91833" w:rsidP="00D638A7">
            <w:pPr>
              <w:spacing w:line="276" w:lineRule="auto"/>
              <w:ind w:left="100"/>
              <w:rPr>
                <w:rFonts w:ascii="Cambria" w:eastAsia="Arial" w:hAnsi="Cambria"/>
              </w:rPr>
            </w:pPr>
            <w:r>
              <w:rPr>
                <w:rFonts w:ascii="Cambria" w:eastAsia="Arial" w:hAnsi="Cambria"/>
              </w:rPr>
              <w:t>Upwelling drives</w:t>
            </w:r>
            <w:r w:rsidRPr="00F25E8A">
              <w:rPr>
                <w:rFonts w:ascii="Cambria" w:eastAsia="Arial" w:hAnsi="Cambria"/>
              </w:rPr>
              <w:t xml:space="preserve"> phytoplankton productivity,</w:t>
            </w:r>
            <w:r>
              <w:rPr>
                <w:rFonts w:ascii="Cambria" w:eastAsia="Arial" w:hAnsi="Cambria"/>
              </w:rPr>
              <w:t xml:space="preserve"> which in turn leads to</w:t>
            </w:r>
            <w:r w:rsidRPr="00F25E8A">
              <w:rPr>
                <w:rFonts w:ascii="Cambria" w:eastAsia="Arial" w:hAnsi="Cambria"/>
              </w:rPr>
              <w:t xml:space="preserve"> better larval and juvenile growth, and higher future landings, </w:t>
            </w:r>
            <w:r>
              <w:rPr>
                <w:rFonts w:ascii="Cambria" w:eastAsia="Arial" w:hAnsi="Cambria"/>
              </w:rPr>
              <w:t xml:space="preserve">but </w:t>
            </w:r>
            <w:r w:rsidRPr="00F25E8A">
              <w:rPr>
                <w:rFonts w:ascii="Cambria" w:eastAsia="Arial" w:hAnsi="Cambria"/>
              </w:rPr>
              <w:t xml:space="preserve">extreme </w:t>
            </w:r>
            <w:r>
              <w:rPr>
                <w:rFonts w:ascii="Cambria" w:eastAsia="Arial" w:hAnsi="Cambria"/>
              </w:rPr>
              <w:t>upwelling leads to</w:t>
            </w:r>
            <w:r w:rsidRPr="00F25E8A">
              <w:rPr>
                <w:rFonts w:ascii="Cambria" w:eastAsia="Arial" w:hAnsi="Cambria"/>
              </w:rPr>
              <w:t xml:space="preserve"> hypoxic conditions </w:t>
            </w:r>
            <w:r>
              <w:rPr>
                <w:rFonts w:ascii="Cambria" w:eastAsia="Arial" w:hAnsi="Cambria"/>
              </w:rPr>
              <w:t xml:space="preserve">and </w:t>
            </w:r>
            <w:r w:rsidRPr="00F25E8A">
              <w:rPr>
                <w:rFonts w:ascii="Cambria" w:eastAsia="Arial" w:hAnsi="Cambria"/>
              </w:rPr>
              <w:t>phytoplankton biomass</w:t>
            </w:r>
            <w:r>
              <w:rPr>
                <w:rFonts w:ascii="Cambria" w:eastAsia="Arial" w:hAnsi="Cambria"/>
              </w:rPr>
              <w:t xml:space="preserve"> advection</w:t>
            </w:r>
            <w:r w:rsidRPr="00F25E8A">
              <w:rPr>
                <w:rFonts w:ascii="Cambria" w:eastAsia="Arial" w:hAnsi="Cambria"/>
              </w:rPr>
              <w:t>.</w:t>
            </w:r>
          </w:p>
        </w:tc>
      </w:tr>
      <w:tr w:rsidR="00B91833" w:rsidRPr="00F25E8A" w14:paraId="60F6F4BC" w14:textId="77777777" w:rsidTr="00D638A7">
        <w:trPr>
          <w:cantSplit/>
          <w:trHeight w:val="20"/>
        </w:trPr>
        <w:tc>
          <w:tcPr>
            <w:tcW w:w="3110" w:type="dxa"/>
            <w:shd w:val="clear" w:color="auto" w:fill="auto"/>
          </w:tcPr>
          <w:p w14:paraId="5F3BB7A2" w14:textId="77777777" w:rsidR="00B91833" w:rsidRPr="00F25E8A" w:rsidRDefault="00B91833" w:rsidP="00D638A7">
            <w:pPr>
              <w:spacing w:line="276" w:lineRule="auto"/>
              <w:ind w:left="592" w:hanging="450"/>
              <w:rPr>
                <w:rFonts w:ascii="Cambria" w:eastAsia="Arial" w:hAnsi="Cambria"/>
              </w:rPr>
            </w:pPr>
            <w:r w:rsidRPr="00F25E8A">
              <w:rPr>
                <w:rFonts w:ascii="Cambria" w:eastAsia="Arial" w:hAnsi="Cambria"/>
              </w:rPr>
              <w:t>L3</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D95FB8">
              <w:rPr>
                <w:rFonts w:ascii="Cambria" w:eastAsia="Arial Unicode MS" w:hAnsi="Cambria"/>
              </w:rPr>
              <w:t>∼</w:t>
            </w:r>
            <w:r w:rsidRPr="00762A24">
              <w:rPr>
                <w:rFonts w:ascii="Cambria" w:eastAsia="Arial" w:hAnsi="Cambria"/>
              </w:rPr>
              <w:t xml:space="preserve"> Jul-Sep and Oct-Dec </w:t>
            </w:r>
            <w:r w:rsidRPr="00D95FB8">
              <w:rPr>
                <w:rFonts w:ascii="Cambria" w:eastAsia="Arial" w:hAnsi="Cambria"/>
              </w:rPr>
              <w:t>CHL</w:t>
            </w:r>
          </w:p>
        </w:tc>
        <w:tc>
          <w:tcPr>
            <w:tcW w:w="6170" w:type="dxa"/>
            <w:shd w:val="clear" w:color="auto" w:fill="auto"/>
          </w:tcPr>
          <w:p w14:paraId="1100A642" w14:textId="77777777" w:rsidR="00B91833" w:rsidRPr="00F25E8A" w:rsidRDefault="00B91833" w:rsidP="00D638A7">
            <w:pPr>
              <w:spacing w:line="276" w:lineRule="auto"/>
              <w:ind w:left="100"/>
              <w:rPr>
                <w:rFonts w:ascii="Cambria" w:eastAsia="Arial" w:hAnsi="Cambria"/>
              </w:rPr>
            </w:pPr>
            <w:r>
              <w:rPr>
                <w:rFonts w:ascii="Cambria" w:eastAsia="Arial" w:hAnsi="Cambria"/>
              </w:rPr>
              <w:t>The s</w:t>
            </w:r>
            <w:r w:rsidRPr="00F25E8A">
              <w:rPr>
                <w:rFonts w:ascii="Cambria" w:eastAsia="Arial" w:hAnsi="Cambria"/>
              </w:rPr>
              <w:t xml:space="preserve">urface </w:t>
            </w:r>
            <w:r>
              <w:rPr>
                <w:rFonts w:ascii="Cambria" w:eastAsia="Arial" w:hAnsi="Cambria"/>
              </w:rPr>
              <w:t>chlorophyll concentration</w:t>
            </w:r>
            <w:r w:rsidRPr="00F25E8A">
              <w:rPr>
                <w:rFonts w:ascii="Cambria" w:eastAsia="Arial" w:hAnsi="Cambria"/>
              </w:rPr>
              <w:t xml:space="preserve"> is a proxy for phytoplankton abundance</w:t>
            </w:r>
            <w:r>
              <w:rPr>
                <w:rFonts w:ascii="Cambria" w:eastAsia="Arial" w:hAnsi="Cambria"/>
              </w:rPr>
              <w:t xml:space="preserve"> which </w:t>
            </w:r>
            <w:r w:rsidRPr="00F25E8A">
              <w:rPr>
                <w:rFonts w:ascii="Cambria" w:eastAsia="Arial" w:hAnsi="Cambria"/>
              </w:rPr>
              <w:t>support</w:t>
            </w:r>
            <w:r>
              <w:rPr>
                <w:rFonts w:ascii="Cambria" w:eastAsia="Arial" w:hAnsi="Cambria"/>
              </w:rPr>
              <w:t>s</w:t>
            </w:r>
            <w:r w:rsidRPr="00F25E8A">
              <w:rPr>
                <w:rFonts w:ascii="Cambria" w:eastAsia="Arial" w:hAnsi="Cambria"/>
              </w:rPr>
              <w:t xml:space="preserve"> greater fish abundance and catch</w:t>
            </w:r>
            <w:r>
              <w:rPr>
                <w:rFonts w:ascii="Cambria" w:eastAsia="Arial" w:hAnsi="Cambria"/>
              </w:rPr>
              <w:t>es</w:t>
            </w:r>
            <w:r w:rsidRPr="00F25E8A">
              <w:rPr>
                <w:rFonts w:ascii="Cambria" w:eastAsia="Arial" w:hAnsi="Cambria"/>
              </w:rPr>
              <w:t xml:space="preserve"> in the current and future years.</w:t>
            </w:r>
            <w:r>
              <w:rPr>
                <w:rFonts w:ascii="Cambria" w:eastAsia="Arial" w:hAnsi="Cambria"/>
              </w:rPr>
              <w:t xml:space="preserve"> Peak chlorophyll abundance is in July-</w:t>
            </w:r>
            <w:proofErr w:type="gramStart"/>
            <w:r>
              <w:rPr>
                <w:rFonts w:ascii="Cambria" w:eastAsia="Arial" w:hAnsi="Cambria"/>
              </w:rPr>
              <w:t>September</w:t>
            </w:r>
            <w:proofErr w:type="gramEnd"/>
            <w:r>
              <w:rPr>
                <w:rFonts w:ascii="Cambria" w:eastAsia="Arial" w:hAnsi="Cambria"/>
              </w:rPr>
              <w:t xml:space="preserve"> but October-December are critical months for juvenile growth and survival.</w:t>
            </w:r>
          </w:p>
        </w:tc>
      </w:tr>
      <w:tr w:rsidR="00B91833" w:rsidRPr="00F25E8A" w14:paraId="4DAE404E" w14:textId="77777777" w:rsidTr="00D638A7">
        <w:trPr>
          <w:cantSplit/>
          <w:trHeight w:val="20"/>
        </w:trPr>
        <w:tc>
          <w:tcPr>
            <w:tcW w:w="3110" w:type="dxa"/>
            <w:shd w:val="clear" w:color="auto" w:fill="auto"/>
          </w:tcPr>
          <w:p w14:paraId="7D17CA6D" w14:textId="77777777" w:rsidR="00B91833" w:rsidRPr="00F25E8A" w:rsidRDefault="00B91833" w:rsidP="00D638A7">
            <w:pPr>
              <w:spacing w:line="276" w:lineRule="auto"/>
              <w:ind w:left="592" w:hanging="450"/>
              <w:rPr>
                <w:rFonts w:ascii="Cambria" w:eastAsia="Arial" w:hAnsi="Cambria"/>
              </w:rPr>
            </w:pPr>
            <w:r w:rsidRPr="00F25E8A">
              <w:rPr>
                <w:rFonts w:ascii="Cambria" w:eastAsia="Arial" w:hAnsi="Cambria"/>
              </w:rPr>
              <w:t>A1</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w:t>
            </w:r>
            <w:r>
              <w:rPr>
                <w:rFonts w:ascii="Cambria" w:eastAsia="Arial" w:hAnsi="Cambria"/>
                <w:iCs/>
              </w:rPr>
              <w:t>nd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2.5-y</w:t>
            </w:r>
            <w:r>
              <w:rPr>
                <w:rFonts w:ascii="Cambria" w:eastAsia="Arial" w:hAnsi="Cambria"/>
              </w:rPr>
              <w:t>ear</w:t>
            </w:r>
            <w:r w:rsidRPr="00F25E8A">
              <w:rPr>
                <w:rFonts w:ascii="Cambria" w:eastAsia="Arial" w:hAnsi="Cambria"/>
              </w:rPr>
              <w:t xml:space="preserve"> </w:t>
            </w:r>
            <w:r>
              <w:rPr>
                <w:rFonts w:ascii="Cambria" w:eastAsia="Arial" w:hAnsi="Cambria"/>
              </w:rPr>
              <w:t>average r</w:t>
            </w:r>
            <w:r w:rsidRPr="00F25E8A">
              <w:rPr>
                <w:rFonts w:ascii="Cambria" w:eastAsia="Arial" w:hAnsi="Cambria"/>
              </w:rPr>
              <w:t>-SST</w:t>
            </w:r>
            <w:r>
              <w:rPr>
                <w:rFonts w:ascii="Cambria" w:eastAsia="Arial" w:hAnsi="Cambria"/>
              </w:rPr>
              <w:t xml:space="preserve"> and 2.5-year average DMI</w:t>
            </w:r>
          </w:p>
        </w:tc>
        <w:tc>
          <w:tcPr>
            <w:tcW w:w="6170" w:type="dxa"/>
            <w:shd w:val="clear" w:color="auto" w:fill="auto"/>
          </w:tcPr>
          <w:p w14:paraId="14BDBAA6" w14:textId="77777777" w:rsidR="00B91833" w:rsidRPr="00F25E8A" w:rsidRDefault="00B91833" w:rsidP="00D638A7">
            <w:pPr>
              <w:spacing w:line="276" w:lineRule="auto"/>
              <w:ind w:left="100"/>
              <w:rPr>
                <w:rFonts w:ascii="Cambria" w:eastAsia="Arial" w:hAnsi="Cambria"/>
              </w:rPr>
            </w:pPr>
            <w:r w:rsidRPr="00F25E8A">
              <w:rPr>
                <w:rFonts w:ascii="Cambria" w:eastAsia="Arial" w:hAnsi="Cambria"/>
                <w:w w:val="99"/>
              </w:rPr>
              <w:t>Spawning, early survival, and recruitment depend on</w:t>
            </w:r>
            <w:r w:rsidRPr="00F25E8A">
              <w:rPr>
                <w:rFonts w:ascii="Cambria" w:eastAsia="Arial" w:hAnsi="Cambria"/>
              </w:rPr>
              <w:t xml:space="preserve"> </w:t>
            </w:r>
            <w:r>
              <w:rPr>
                <w:rFonts w:ascii="Cambria" w:eastAsia="Arial" w:hAnsi="Cambria"/>
              </w:rPr>
              <w:t>many</w:t>
            </w:r>
            <w:r w:rsidRPr="00F25E8A">
              <w:rPr>
                <w:rFonts w:ascii="Cambria" w:eastAsia="Arial" w:hAnsi="Cambria"/>
              </w:rPr>
              <w:t xml:space="preserve"> cascading factors summarized by the </w:t>
            </w:r>
            <w:r>
              <w:rPr>
                <w:rFonts w:ascii="Cambria" w:eastAsia="Arial" w:hAnsi="Cambria"/>
              </w:rPr>
              <w:t xml:space="preserve">average regional </w:t>
            </w:r>
            <w:r w:rsidRPr="00F25E8A">
              <w:rPr>
                <w:rFonts w:ascii="Cambria" w:eastAsia="Arial" w:hAnsi="Cambria"/>
              </w:rPr>
              <w:t>SST</w:t>
            </w:r>
            <w:r>
              <w:rPr>
                <w:rFonts w:ascii="Cambria" w:eastAsia="Arial" w:hAnsi="Cambria"/>
              </w:rPr>
              <w:t xml:space="preserve"> over the lifespan of an oil sardine. DMI is correlated with regional SST in the SE Asia Sea and is another proxy for the average SST.</w:t>
            </w:r>
          </w:p>
        </w:tc>
      </w:tr>
      <w:tr w:rsidR="00B91833" w:rsidRPr="00F25E8A" w14:paraId="7B772048" w14:textId="77777777" w:rsidTr="00D638A7">
        <w:trPr>
          <w:cantSplit/>
          <w:trHeight w:val="20"/>
        </w:trPr>
        <w:tc>
          <w:tcPr>
            <w:tcW w:w="3110" w:type="dxa"/>
            <w:shd w:val="clear" w:color="auto" w:fill="auto"/>
          </w:tcPr>
          <w:p w14:paraId="30E5CD8C" w14:textId="77777777" w:rsidR="00B91833" w:rsidRPr="00BB4775" w:rsidRDefault="00B91833" w:rsidP="00D638A7">
            <w:pPr>
              <w:spacing w:line="276" w:lineRule="auto"/>
              <w:ind w:left="120"/>
              <w:rPr>
                <w:rFonts w:ascii="Cambria" w:eastAsia="Arial" w:hAnsi="Cambria"/>
                <w:iCs/>
              </w:rPr>
            </w:pPr>
            <w:r w:rsidRPr="00F25E8A">
              <w:rPr>
                <w:rFonts w:ascii="Cambria" w:eastAsia="Arial" w:hAnsi="Cambria"/>
              </w:rPr>
              <w:t>A2</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sidRPr="00F25E8A">
              <w:rPr>
                <w:rFonts w:ascii="Cambria" w:eastAsia="Arial" w:hAnsi="Cambria"/>
                <w:i/>
              </w:rPr>
              <w:t xml:space="preserve"> </w:t>
            </w:r>
            <w:r w:rsidRPr="00A62B26">
              <w:rPr>
                <w:rFonts w:ascii="Cambria" w:eastAsia="Arial" w:hAnsi="Cambria"/>
                <w:iCs/>
              </w:rPr>
              <w:t>an</w:t>
            </w:r>
            <w:r>
              <w:rPr>
                <w:rFonts w:ascii="Cambria" w:eastAsia="Arial" w:hAnsi="Cambria"/>
                <w:iCs/>
              </w:rPr>
              <w:t>d</w:t>
            </w:r>
            <w:r w:rsidRPr="00F25E8A">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Unicode MS" w:hAnsi="Cambria"/>
              </w:rPr>
              <w:t xml:space="preserve"> ∼</w:t>
            </w:r>
            <w:r w:rsidRPr="00F25E8A">
              <w:rPr>
                <w:rFonts w:ascii="Cambria" w:eastAsia="Arial" w:hAnsi="Cambria"/>
                <w:i/>
              </w:rPr>
              <w:t xml:space="preserve"> </w:t>
            </w:r>
            <w:r w:rsidRPr="00F25E8A">
              <w:rPr>
                <w:rFonts w:ascii="Cambria" w:eastAsia="Arial" w:hAnsi="Cambria"/>
              </w:rPr>
              <w:t>ONI</w:t>
            </w:r>
          </w:p>
        </w:tc>
        <w:tc>
          <w:tcPr>
            <w:tcW w:w="6170" w:type="dxa"/>
            <w:shd w:val="clear" w:color="auto" w:fill="auto"/>
          </w:tcPr>
          <w:p w14:paraId="7B0B4C32" w14:textId="77777777" w:rsidR="00B91833" w:rsidRPr="00F25E8A" w:rsidRDefault="00B91833" w:rsidP="00D638A7">
            <w:pPr>
              <w:spacing w:line="276" w:lineRule="auto"/>
              <w:ind w:left="100"/>
              <w:rPr>
                <w:rFonts w:ascii="Cambria" w:eastAsia="Arial" w:hAnsi="Cambria"/>
                <w:w w:val="99"/>
              </w:rPr>
            </w:pPr>
            <w:r>
              <w:rPr>
                <w:rFonts w:ascii="Cambria" w:eastAsia="Arial" w:hAnsi="Cambria"/>
              </w:rPr>
              <w:t xml:space="preserve">The </w:t>
            </w:r>
            <w:r w:rsidRPr="00F25E8A">
              <w:rPr>
                <w:rFonts w:ascii="Cambria" w:eastAsia="Arial" w:hAnsi="Cambria"/>
              </w:rPr>
              <w:t>El Niño</w:t>
            </w:r>
            <w:r>
              <w:rPr>
                <w:rFonts w:ascii="Cambria" w:eastAsia="Arial" w:hAnsi="Cambria"/>
              </w:rPr>
              <w:t>–</w:t>
            </w:r>
            <w:r w:rsidRPr="00F25E8A">
              <w:rPr>
                <w:rFonts w:ascii="Cambria" w:eastAsia="Arial" w:hAnsi="Cambria"/>
              </w:rPr>
              <w:t>Southern Oscillation</w:t>
            </w:r>
            <w:r>
              <w:rPr>
                <w:rFonts w:ascii="Cambria" w:eastAsia="Arial" w:hAnsi="Cambria"/>
              </w:rPr>
              <w:t xml:space="preserve"> has </w:t>
            </w:r>
            <w:r w:rsidRPr="00F25E8A">
              <w:rPr>
                <w:rFonts w:ascii="Cambria" w:eastAsia="Arial" w:hAnsi="Cambria"/>
              </w:rPr>
              <w:t xml:space="preserve">impacts </w:t>
            </w:r>
            <w:r>
              <w:rPr>
                <w:rFonts w:ascii="Cambria" w:eastAsia="Arial" w:hAnsi="Cambria"/>
              </w:rPr>
              <w:t xml:space="preserve">on </w:t>
            </w:r>
            <w:r w:rsidRPr="00F25E8A">
              <w:rPr>
                <w:rFonts w:ascii="Cambria" w:eastAsia="Arial" w:hAnsi="Cambria"/>
                <w:w w:val="99"/>
              </w:rPr>
              <w:t>precipitation, SST, frontal zones,</w:t>
            </w:r>
            <w:r w:rsidRPr="00F25E8A">
              <w:rPr>
                <w:rFonts w:ascii="Cambria" w:eastAsia="Arial" w:hAnsi="Cambria"/>
              </w:rPr>
              <w:t xml:space="preserve"> wind</w:t>
            </w:r>
            <w:r>
              <w:rPr>
                <w:rFonts w:ascii="Cambria" w:eastAsia="Arial" w:hAnsi="Cambria"/>
              </w:rPr>
              <w:t xml:space="preserve"> and upwelling patterns which</w:t>
            </w:r>
            <w:r w:rsidRPr="00F25E8A">
              <w:rPr>
                <w:rFonts w:ascii="Cambria" w:eastAsia="Arial" w:hAnsi="Cambria"/>
              </w:rPr>
              <w:t xml:space="preserve"> impact spawning and early survival</w:t>
            </w:r>
            <w:r>
              <w:rPr>
                <w:rFonts w:ascii="Cambria" w:eastAsia="Arial" w:hAnsi="Cambria"/>
              </w:rPr>
              <w:t xml:space="preserve"> and current and future abundance.</w:t>
            </w:r>
          </w:p>
        </w:tc>
      </w:tr>
      <w:tr w:rsidR="00B91833" w:rsidRPr="00F25E8A" w14:paraId="50B0A31B" w14:textId="77777777" w:rsidTr="00D638A7">
        <w:trPr>
          <w:cantSplit/>
          <w:trHeight w:val="20"/>
        </w:trPr>
        <w:tc>
          <w:tcPr>
            <w:tcW w:w="3110" w:type="dxa"/>
            <w:tcBorders>
              <w:bottom w:val="single" w:sz="8" w:space="0" w:color="auto"/>
            </w:tcBorders>
            <w:shd w:val="clear" w:color="auto" w:fill="auto"/>
          </w:tcPr>
          <w:p w14:paraId="241E6FC1" w14:textId="77777777" w:rsidR="00B91833" w:rsidRPr="00F25E8A" w:rsidRDefault="00B91833" w:rsidP="00D638A7">
            <w:pPr>
              <w:keepNext/>
              <w:keepLines/>
              <w:spacing w:line="276" w:lineRule="auto"/>
              <w:ind w:left="120"/>
              <w:rPr>
                <w:rFonts w:ascii="Cambria" w:eastAsia="Arial" w:hAnsi="Cambria"/>
              </w:rPr>
            </w:pPr>
            <w:r w:rsidRPr="00F25E8A">
              <w:rPr>
                <w:rFonts w:ascii="Cambria" w:eastAsia="Arial" w:hAnsi="Cambria"/>
              </w:rPr>
              <w:t>A3</w:t>
            </w:r>
            <w:r>
              <w:rPr>
                <w:rFonts w:ascii="Cambria" w:eastAsia="Arial" w:hAnsi="Cambria"/>
              </w:rPr>
              <w:t xml:space="preserve">: </w:t>
            </w:r>
            <w:r w:rsidRPr="00F25E8A">
              <w:rPr>
                <w:rFonts w:ascii="Cambria" w:eastAsia="Arial" w:hAnsi="Cambria"/>
                <w:i/>
              </w:rPr>
              <w:t>S</w:t>
            </w:r>
            <w:r w:rsidRPr="00F25E8A">
              <w:rPr>
                <w:rFonts w:ascii="Cambria" w:eastAsia="Arial" w:hAnsi="Cambria"/>
                <w:i/>
                <w:vertAlign w:val="subscript"/>
              </w:rPr>
              <w:t>t</w:t>
            </w:r>
            <w:r>
              <w:rPr>
                <w:rFonts w:ascii="Cambria" w:eastAsia="Arial" w:hAnsi="Cambria"/>
                <w:i/>
              </w:rPr>
              <w:t xml:space="preserve"> </w:t>
            </w:r>
            <w:r w:rsidRPr="00E517A4">
              <w:rPr>
                <w:rFonts w:ascii="Cambria" w:eastAsia="Arial" w:hAnsi="Cambria"/>
              </w:rPr>
              <w:t>and</w:t>
            </w:r>
            <w:r>
              <w:rPr>
                <w:rFonts w:ascii="Cambria" w:eastAsia="Arial" w:hAnsi="Cambria"/>
                <w:i/>
              </w:rPr>
              <w:t xml:space="preserve"> </w:t>
            </w:r>
            <w:proofErr w:type="spellStart"/>
            <w:r w:rsidRPr="00F25E8A">
              <w:rPr>
                <w:rFonts w:ascii="Cambria" w:eastAsia="Arial" w:hAnsi="Cambria"/>
                <w:i/>
              </w:rPr>
              <w:t>N</w:t>
            </w:r>
            <w:r w:rsidRPr="00F25E8A">
              <w:rPr>
                <w:rFonts w:ascii="Cambria" w:eastAsia="Arial" w:hAnsi="Cambria"/>
                <w:i/>
                <w:vertAlign w:val="subscript"/>
              </w:rPr>
              <w:t>t</w:t>
            </w:r>
            <w:proofErr w:type="spellEnd"/>
            <w:r w:rsidRPr="00F25E8A">
              <w:rPr>
                <w:rFonts w:ascii="Cambria" w:eastAsia="Arial" w:hAnsi="Cambria"/>
                <w:i/>
              </w:rPr>
              <w:t xml:space="preserve"> </w:t>
            </w:r>
            <w:r w:rsidRPr="00F25E8A">
              <w:rPr>
                <w:rFonts w:ascii="Cambria" w:eastAsia="Arial Unicode MS" w:hAnsi="Cambria"/>
              </w:rPr>
              <w:t>∼</w:t>
            </w:r>
            <w:r w:rsidRPr="00F25E8A">
              <w:rPr>
                <w:rFonts w:ascii="Cambria" w:eastAsia="Arial" w:hAnsi="Cambria"/>
                <w:i/>
              </w:rPr>
              <w:t xml:space="preserve"> </w:t>
            </w:r>
            <w:r>
              <w:rPr>
                <w:rFonts w:ascii="Cambria" w:eastAsia="Arial" w:hAnsi="Cambria"/>
              </w:rPr>
              <w:t xml:space="preserve">Sep-Nov </w:t>
            </w:r>
            <w:r w:rsidRPr="00F25E8A">
              <w:rPr>
                <w:rFonts w:ascii="Cambria" w:eastAsia="Arial" w:hAnsi="Cambria"/>
              </w:rPr>
              <w:t>DMI</w:t>
            </w:r>
          </w:p>
        </w:tc>
        <w:tc>
          <w:tcPr>
            <w:tcW w:w="6170" w:type="dxa"/>
            <w:tcBorders>
              <w:bottom w:val="single" w:sz="8" w:space="0" w:color="auto"/>
            </w:tcBorders>
            <w:shd w:val="clear" w:color="auto" w:fill="auto"/>
          </w:tcPr>
          <w:p w14:paraId="3EB213DC" w14:textId="77777777" w:rsidR="00B91833" w:rsidRPr="00F25E8A" w:rsidRDefault="00B91833" w:rsidP="00D638A7">
            <w:pPr>
              <w:keepNext/>
              <w:keepLines/>
              <w:spacing w:line="276" w:lineRule="auto"/>
              <w:ind w:left="100"/>
              <w:rPr>
                <w:rFonts w:ascii="Cambria" w:eastAsia="Arial" w:hAnsi="Cambria"/>
                <w:w w:val="99"/>
              </w:rPr>
            </w:pPr>
            <w:r w:rsidRPr="00F25E8A">
              <w:rPr>
                <w:rFonts w:ascii="Cambria" w:eastAsia="Arial" w:hAnsi="Cambria"/>
              </w:rPr>
              <w:t>Negative DMI values in Sep</w:t>
            </w:r>
            <w:r>
              <w:rPr>
                <w:rFonts w:ascii="Cambria" w:eastAsia="Arial" w:hAnsi="Cambria"/>
              </w:rPr>
              <w:t>tember–</w:t>
            </w:r>
            <w:r w:rsidRPr="00F25E8A">
              <w:rPr>
                <w:rFonts w:ascii="Cambria" w:eastAsia="Arial" w:hAnsi="Cambria"/>
              </w:rPr>
              <w:t>Nov</w:t>
            </w:r>
            <w:r>
              <w:rPr>
                <w:rFonts w:ascii="Cambria" w:eastAsia="Arial" w:hAnsi="Cambria"/>
              </w:rPr>
              <w:t>ember</w:t>
            </w:r>
            <w:r w:rsidRPr="00F25E8A">
              <w:rPr>
                <w:rFonts w:ascii="Cambria" w:eastAsia="Arial" w:hAnsi="Cambria"/>
              </w:rPr>
              <w:t xml:space="preserve"> are associated with anoxic events </w:t>
            </w:r>
            <w:r>
              <w:rPr>
                <w:rFonts w:ascii="Cambria" w:eastAsia="Arial" w:hAnsi="Cambria"/>
              </w:rPr>
              <w:t>along</w:t>
            </w:r>
            <w:r w:rsidRPr="00F25E8A">
              <w:rPr>
                <w:rFonts w:ascii="Cambria" w:eastAsia="Arial" w:hAnsi="Cambria"/>
              </w:rPr>
              <w:t xml:space="preserve"> the Kerala coast</w:t>
            </w:r>
            <w:r>
              <w:rPr>
                <w:rFonts w:ascii="Cambria" w:eastAsia="Arial" w:hAnsi="Cambria"/>
              </w:rPr>
              <w:t xml:space="preserve"> which could move fish offshore (and inaccessible to the fishery) or cause lower juvenile growth and survival.</w:t>
            </w:r>
          </w:p>
        </w:tc>
      </w:tr>
      <w:tr w:rsidR="00A62638" w:rsidRPr="00F25E8A" w14:paraId="12363390" w14:textId="77777777" w:rsidTr="00D638A7">
        <w:trPr>
          <w:cantSplit/>
          <w:trHeight w:val="20"/>
        </w:trPr>
        <w:tc>
          <w:tcPr>
            <w:tcW w:w="9280" w:type="dxa"/>
            <w:gridSpan w:val="2"/>
            <w:tcBorders>
              <w:top w:val="single" w:sz="8" w:space="0" w:color="auto"/>
              <w:bottom w:val="nil"/>
            </w:tcBorders>
            <w:shd w:val="clear" w:color="auto" w:fill="auto"/>
          </w:tcPr>
          <w:p w14:paraId="3901B5F2" w14:textId="77777777" w:rsidR="00A62638" w:rsidRDefault="00A62638" w:rsidP="00A62638">
            <w:pPr>
              <w:spacing w:line="276" w:lineRule="auto"/>
              <w:ind w:right="40"/>
              <w:jc w:val="both"/>
              <w:rPr>
                <w:rFonts w:ascii="Cambria" w:eastAsia="Arial" w:hAnsi="Cambria"/>
                <w:i/>
                <w:iCs/>
              </w:rPr>
            </w:pPr>
          </w:p>
          <w:p w14:paraId="42E4E02D" w14:textId="40E8AB55" w:rsidR="00A62638" w:rsidRDefault="00A62638" w:rsidP="00A62638">
            <w:pPr>
              <w:spacing w:line="276" w:lineRule="auto"/>
              <w:ind w:right="40"/>
              <w:jc w:val="both"/>
              <w:rPr>
                <w:rFonts w:ascii="Cambria" w:hAnsi="Cambria"/>
              </w:rPr>
            </w:pPr>
            <w:r>
              <w:rPr>
                <w:rFonts w:ascii="Cambria" w:eastAsia="Arial" w:hAnsi="Cambria"/>
                <w:i/>
                <w:iCs/>
              </w:rPr>
              <w:t>Notes.</w:t>
            </w:r>
            <w:r>
              <w:rPr>
                <w:rFonts w:ascii="Cambria" w:eastAsia="Arial" w:hAnsi="Cambria"/>
              </w:rPr>
              <w:t xml:space="preserve"> Model codes: DD, density dependence–related; S, spawning-months catch–related; L, larval and juvenile growth and survival–related</w:t>
            </w:r>
            <w:r w:rsidRPr="004F1560">
              <w:rPr>
                <w:rFonts w:ascii="Cambria" w:eastAsia="Arial" w:hAnsi="Cambria"/>
              </w:rPr>
              <w:t>; A, affecting all ages</w:t>
            </w:r>
            <w:r>
              <w:rPr>
                <w:rFonts w:ascii="Cambria" w:eastAsia="Arial" w:hAnsi="Cambria"/>
              </w:rPr>
              <w:t>. Environmental covariates: UPW, upwelling; r-SST, regional (0-160km) sea surface temperature; ns-SST, nearshore (0-80km) sea surface temperature; CHL, chloro</w:t>
            </w:r>
            <w:r w:rsidRPr="004F1560">
              <w:rPr>
                <w:rFonts w:ascii="Cambria" w:eastAsia="Arial" w:hAnsi="Cambria"/>
              </w:rPr>
              <w:t>phyll</w:t>
            </w:r>
            <w:r>
              <w:rPr>
                <w:rFonts w:ascii="Cambria" w:eastAsia="Arial" w:hAnsi="Cambria"/>
              </w:rPr>
              <w:t xml:space="preserve"> surface concentration; </w:t>
            </w:r>
            <w:r w:rsidRPr="004F1560">
              <w:rPr>
                <w:rFonts w:ascii="Cambria" w:eastAsia="Arial" w:hAnsi="Cambria"/>
              </w:rPr>
              <w:t xml:space="preserve">ONI, </w:t>
            </w:r>
            <w:r w:rsidRPr="003A3B17">
              <w:rPr>
                <w:rFonts w:ascii="Cambria" w:hAnsi="Cambria"/>
              </w:rPr>
              <w:t>Oceanic Niño Index;</w:t>
            </w:r>
            <w:r w:rsidRPr="004F1560">
              <w:rPr>
                <w:rFonts w:ascii="Cambria" w:eastAsia="Arial" w:hAnsi="Cambria"/>
              </w:rPr>
              <w:t xml:space="preserve"> DMI, </w:t>
            </w:r>
            <w:r w:rsidRPr="003A3B17">
              <w:rPr>
                <w:rFonts w:ascii="Cambria" w:hAnsi="Cambria"/>
              </w:rPr>
              <w:t>Dipole Mode Index.</w:t>
            </w:r>
          </w:p>
          <w:p w14:paraId="0F8F943A" w14:textId="77777777" w:rsidR="00A62638" w:rsidRPr="00F25E8A" w:rsidRDefault="00A62638" w:rsidP="00A62638">
            <w:pPr>
              <w:keepNext/>
              <w:keepLines/>
              <w:spacing w:line="276" w:lineRule="auto"/>
              <w:ind w:left="100"/>
              <w:rPr>
                <w:rFonts w:ascii="Cambria" w:eastAsia="Arial" w:hAnsi="Cambria"/>
              </w:rPr>
            </w:pPr>
          </w:p>
        </w:tc>
      </w:tr>
    </w:tbl>
    <w:p w14:paraId="236E27E4" w14:textId="77777777" w:rsidR="00B91833" w:rsidRPr="00F25E8A" w:rsidRDefault="00B91833" w:rsidP="00D638A7">
      <w:pPr>
        <w:spacing w:line="276" w:lineRule="auto"/>
        <w:rPr>
          <w:rFonts w:ascii="Cambria" w:eastAsia="Arial" w:hAnsi="Cambria"/>
        </w:rPr>
        <w:sectPr w:rsidR="00B91833" w:rsidRPr="00F25E8A" w:rsidSect="00F25E8A">
          <w:pgSz w:w="12240" w:h="15840"/>
          <w:pgMar w:top="1440" w:right="1440" w:bottom="1440" w:left="1440" w:header="0" w:footer="0" w:gutter="0"/>
          <w:cols w:space="0" w:equalWidth="0">
            <w:col w:w="9360"/>
          </w:cols>
          <w:docGrid w:linePitch="360"/>
        </w:sectPr>
      </w:pPr>
    </w:p>
    <w:p w14:paraId="74410D88" w14:textId="69C8D3CF" w:rsidR="0000127E" w:rsidRPr="00007028" w:rsidRDefault="00007028" w:rsidP="00D638A7">
      <w:pPr>
        <w:pStyle w:val="TableCaption"/>
        <w:spacing w:line="276" w:lineRule="auto"/>
        <w:rPr>
          <w:i w:val="0"/>
        </w:rPr>
      </w:pPr>
      <w:bookmarkStart w:id="100" w:name="page2"/>
      <w:bookmarkEnd w:id="100"/>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4"/>
        <w:gridCol w:w="808"/>
        <w:gridCol w:w="630"/>
        <w:gridCol w:w="900"/>
        <w:gridCol w:w="1080"/>
        <w:gridCol w:w="1080"/>
        <w:gridCol w:w="1094"/>
      </w:tblGrid>
      <w:tr w:rsidR="002A57DD" w14:paraId="6FA52004" w14:textId="77777777" w:rsidTr="00D638A7">
        <w:tc>
          <w:tcPr>
            <w:tcW w:w="2080" w:type="pct"/>
            <w:tcBorders>
              <w:bottom w:val="single" w:sz="18" w:space="0" w:color="auto"/>
            </w:tcBorders>
            <w:vAlign w:val="bottom"/>
          </w:tcPr>
          <w:p w14:paraId="7EB121E0" w14:textId="77777777" w:rsidR="0000127E" w:rsidRDefault="0000127E" w:rsidP="00B06C49">
            <w:pPr>
              <w:pStyle w:val="Compact"/>
            </w:pPr>
            <w:r>
              <w:t>Model</w:t>
            </w:r>
          </w:p>
        </w:tc>
        <w:tc>
          <w:tcPr>
            <w:tcW w:w="422" w:type="pct"/>
            <w:tcBorders>
              <w:bottom w:val="single" w:sz="18"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18"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18" w:space="0" w:color="auto"/>
            </w:tcBorders>
            <w:vAlign w:val="bottom"/>
          </w:tcPr>
          <w:p w14:paraId="2AEDE443" w14:textId="77777777" w:rsidR="0000127E" w:rsidRDefault="0000127E" w:rsidP="00B06C49">
            <w:pPr>
              <w:pStyle w:val="Compact"/>
              <w:jc w:val="center"/>
            </w:pPr>
            <w:r>
              <w:t>RMSE</w:t>
            </w:r>
          </w:p>
        </w:tc>
        <w:tc>
          <w:tcPr>
            <w:tcW w:w="564" w:type="pct"/>
            <w:tcBorders>
              <w:bottom w:val="single" w:sz="18"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18"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1" w:type="pct"/>
            <w:tcBorders>
              <w:bottom w:val="single" w:sz="18"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D638A7">
        <w:tc>
          <w:tcPr>
            <w:tcW w:w="2080" w:type="pct"/>
            <w:tcBorders>
              <w:top w:val="single" w:sz="18" w:space="0" w:color="auto"/>
            </w:tcBorders>
          </w:tcPr>
          <w:p w14:paraId="2CCA35FC" w14:textId="08B98EB9" w:rsidR="0000127E" w:rsidRDefault="0000127E" w:rsidP="00007028">
            <w:pPr>
              <w:pStyle w:val="Compact"/>
            </w:pPr>
            <w:bookmarkStart w:id="101" w:name="_GoBack" w:colFirst="0" w:colLast="7"/>
            <w:r>
              <w:rPr>
                <w:b/>
              </w:rPr>
              <w:t>July-Sept catch</w:t>
            </w:r>
            <w:r w:rsidR="00D638A7">
              <w:rPr>
                <w:b/>
              </w:rPr>
              <w:t xml:space="preserve"> 1983-2015</w:t>
            </w:r>
          </w:p>
        </w:tc>
        <w:tc>
          <w:tcPr>
            <w:tcW w:w="422" w:type="pct"/>
            <w:tcBorders>
              <w:top w:val="single" w:sz="18" w:space="0" w:color="auto"/>
            </w:tcBorders>
          </w:tcPr>
          <w:p w14:paraId="6485DA30" w14:textId="77777777" w:rsidR="0000127E" w:rsidRDefault="0000127E" w:rsidP="00007028">
            <w:pPr>
              <w:pStyle w:val="Compact"/>
              <w:jc w:val="center"/>
            </w:pPr>
            <w:r>
              <w:t> </w:t>
            </w:r>
          </w:p>
        </w:tc>
        <w:tc>
          <w:tcPr>
            <w:tcW w:w="329" w:type="pct"/>
            <w:tcBorders>
              <w:top w:val="single" w:sz="18" w:space="0" w:color="auto"/>
            </w:tcBorders>
          </w:tcPr>
          <w:p w14:paraId="7E1054E0" w14:textId="77777777" w:rsidR="0000127E" w:rsidRDefault="0000127E" w:rsidP="00007028">
            <w:pPr>
              <w:pStyle w:val="Compact"/>
              <w:jc w:val="center"/>
            </w:pPr>
            <w:r>
              <w:t> </w:t>
            </w:r>
          </w:p>
        </w:tc>
        <w:tc>
          <w:tcPr>
            <w:tcW w:w="470" w:type="pct"/>
            <w:tcBorders>
              <w:top w:val="single" w:sz="18" w:space="0" w:color="auto"/>
            </w:tcBorders>
          </w:tcPr>
          <w:p w14:paraId="539515BA" w14:textId="77777777" w:rsidR="0000127E" w:rsidRDefault="0000127E" w:rsidP="00007028">
            <w:pPr>
              <w:pStyle w:val="Compact"/>
              <w:jc w:val="center"/>
            </w:pPr>
            <w:r>
              <w:t> </w:t>
            </w:r>
          </w:p>
        </w:tc>
        <w:tc>
          <w:tcPr>
            <w:tcW w:w="564" w:type="pct"/>
            <w:tcBorders>
              <w:top w:val="single" w:sz="18" w:space="0" w:color="auto"/>
            </w:tcBorders>
          </w:tcPr>
          <w:p w14:paraId="196F6042" w14:textId="77777777" w:rsidR="0000127E" w:rsidRDefault="0000127E" w:rsidP="00007028">
            <w:pPr>
              <w:pStyle w:val="Compact"/>
              <w:jc w:val="center"/>
            </w:pPr>
            <w:r>
              <w:t> </w:t>
            </w:r>
          </w:p>
        </w:tc>
        <w:tc>
          <w:tcPr>
            <w:tcW w:w="564" w:type="pct"/>
            <w:tcBorders>
              <w:top w:val="single" w:sz="18" w:space="0" w:color="auto"/>
            </w:tcBorders>
          </w:tcPr>
          <w:p w14:paraId="60CC75BA" w14:textId="77777777" w:rsidR="0000127E" w:rsidRDefault="0000127E" w:rsidP="00007028">
            <w:pPr>
              <w:pStyle w:val="Compact"/>
              <w:jc w:val="center"/>
            </w:pPr>
            <w:r>
              <w:t> </w:t>
            </w:r>
          </w:p>
        </w:tc>
        <w:tc>
          <w:tcPr>
            <w:tcW w:w="571" w:type="pct"/>
            <w:tcBorders>
              <w:top w:val="single" w:sz="18" w:space="0" w:color="auto"/>
            </w:tcBorders>
          </w:tcPr>
          <w:p w14:paraId="1ECD51CA" w14:textId="77777777" w:rsidR="0000127E" w:rsidRDefault="0000127E" w:rsidP="00007028">
            <w:pPr>
              <w:pStyle w:val="Compact"/>
              <w:jc w:val="center"/>
            </w:pPr>
            <w:r>
              <w:t> </w:t>
            </w:r>
          </w:p>
        </w:tc>
      </w:tr>
      <w:bookmarkEnd w:id="101"/>
      <w:tr w:rsidR="002A57DD" w14:paraId="79266645" w14:textId="77777777" w:rsidTr="00D638A7">
        <w:tc>
          <w:tcPr>
            <w:tcW w:w="2080"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1" w:type="pct"/>
          </w:tcPr>
          <w:p w14:paraId="2D1E2962" w14:textId="77777777" w:rsidR="0000127E" w:rsidRDefault="0000127E" w:rsidP="00007028">
            <w:pPr>
              <w:pStyle w:val="Compact"/>
              <w:jc w:val="center"/>
            </w:pPr>
            <w:r>
              <w:t>0.56</w:t>
            </w:r>
          </w:p>
        </w:tc>
      </w:tr>
      <w:tr w:rsidR="002A57DD" w14:paraId="3C3579AF" w14:textId="77777777" w:rsidTr="00D638A7">
        <w:tc>
          <w:tcPr>
            <w:tcW w:w="2080"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1" w:type="pct"/>
          </w:tcPr>
          <w:p w14:paraId="4A65BDF7" w14:textId="77777777" w:rsidR="0000127E" w:rsidRDefault="0000127E" w:rsidP="00007028">
            <w:pPr>
              <w:pStyle w:val="Compact"/>
              <w:jc w:val="center"/>
            </w:pPr>
            <w:r>
              <w:t>0.69</w:t>
            </w:r>
          </w:p>
        </w:tc>
      </w:tr>
      <w:tr w:rsidR="002A57DD" w14:paraId="0D973105" w14:textId="77777777" w:rsidTr="00D638A7">
        <w:tc>
          <w:tcPr>
            <w:tcW w:w="2831"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1" w:type="pct"/>
          </w:tcPr>
          <w:p w14:paraId="0B53169D" w14:textId="77777777" w:rsidR="0000127E" w:rsidRDefault="0000127E" w:rsidP="00007028">
            <w:pPr>
              <w:pStyle w:val="Compact"/>
              <w:jc w:val="center"/>
            </w:pPr>
            <w:r>
              <w:t> </w:t>
            </w:r>
          </w:p>
        </w:tc>
      </w:tr>
      <w:tr w:rsidR="002A57DD" w14:paraId="72B78E81" w14:textId="77777777" w:rsidTr="00D638A7">
        <w:tc>
          <w:tcPr>
            <w:tcW w:w="2080" w:type="pct"/>
          </w:tcPr>
          <w:p w14:paraId="0E9C954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1"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D638A7">
        <w:tc>
          <w:tcPr>
            <w:tcW w:w="2080" w:type="pct"/>
          </w:tcPr>
          <w:p w14:paraId="06E2F077"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1" w:type="pct"/>
          </w:tcPr>
          <w:p w14:paraId="4B164378" w14:textId="77777777" w:rsidR="0000127E" w:rsidRDefault="0000127E" w:rsidP="00007028">
            <w:pPr>
              <w:pStyle w:val="Compact"/>
              <w:jc w:val="center"/>
            </w:pPr>
            <w:r>
              <w:t>0.73</w:t>
            </w:r>
          </w:p>
        </w:tc>
      </w:tr>
      <w:tr w:rsidR="002A57DD" w14:paraId="413D2032" w14:textId="77777777" w:rsidTr="00D638A7">
        <w:tc>
          <w:tcPr>
            <w:tcW w:w="2080" w:type="pct"/>
          </w:tcPr>
          <w:p w14:paraId="6CB7AF46" w14:textId="4B10B599"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2A57DD">
              <w:t xml:space="preserve"> </w:t>
            </w:r>
            <w:r w:rsidR="0000127E">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1"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D638A7">
        <w:tc>
          <w:tcPr>
            <w:tcW w:w="2080" w:type="pct"/>
          </w:tcPr>
          <w:p w14:paraId="6108FAB3"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1"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6D461424" w14:textId="77777777" w:rsidTr="00D638A7">
        <w:tc>
          <w:tcPr>
            <w:tcW w:w="2080"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1" w:type="pct"/>
          </w:tcPr>
          <w:p w14:paraId="05CEE579" w14:textId="77777777" w:rsidR="0000127E" w:rsidRDefault="0000127E" w:rsidP="00007028">
            <w:pPr>
              <w:pStyle w:val="Compact"/>
              <w:jc w:val="center"/>
            </w:pPr>
            <w:r>
              <w:t> </w:t>
            </w:r>
          </w:p>
        </w:tc>
      </w:tr>
      <w:tr w:rsidR="0000127E" w14:paraId="4F967D64" w14:textId="77777777" w:rsidTr="00D638A7">
        <w:tc>
          <w:tcPr>
            <w:tcW w:w="3301" w:type="pct"/>
            <w:gridSpan w:val="4"/>
          </w:tcPr>
          <w:p w14:paraId="1BB696BD" w14:textId="36DAC479" w:rsidR="0000127E" w:rsidRDefault="0000127E" w:rsidP="00007028">
            <w:pPr>
              <w:pStyle w:val="Compact"/>
            </w:pPr>
            <w:r>
              <w:rPr>
                <w:b/>
              </w:rPr>
              <w:t>October-March catch - simpler model</w:t>
            </w:r>
            <w:r w:rsidR="00D638A7">
              <w:rPr>
                <w:b/>
              </w:rPr>
              <w:t xml:space="preserve"> 1983-2014</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1" w:type="pct"/>
          </w:tcPr>
          <w:p w14:paraId="5BC5D558" w14:textId="77777777" w:rsidR="0000127E" w:rsidRDefault="0000127E" w:rsidP="00007028">
            <w:pPr>
              <w:pStyle w:val="Compact"/>
              <w:jc w:val="center"/>
            </w:pPr>
            <w:r>
              <w:t> </w:t>
            </w:r>
          </w:p>
        </w:tc>
      </w:tr>
      <w:tr w:rsidR="002A57DD" w14:paraId="32B83678" w14:textId="77777777" w:rsidTr="00D638A7">
        <w:tc>
          <w:tcPr>
            <w:tcW w:w="2080"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1" w:type="pct"/>
          </w:tcPr>
          <w:p w14:paraId="11EC5652" w14:textId="77777777" w:rsidR="0000127E" w:rsidRDefault="0000127E" w:rsidP="00007028">
            <w:pPr>
              <w:pStyle w:val="Compact"/>
              <w:jc w:val="center"/>
            </w:pPr>
            <w:r>
              <w:t>0.26</w:t>
            </w:r>
          </w:p>
        </w:tc>
      </w:tr>
      <w:tr w:rsidR="002A57DD" w14:paraId="76E6B138" w14:textId="77777777" w:rsidTr="00D638A7">
        <w:tc>
          <w:tcPr>
            <w:tcW w:w="2080"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1" w:type="pct"/>
          </w:tcPr>
          <w:p w14:paraId="0DB514AC" w14:textId="77777777" w:rsidR="0000127E" w:rsidRDefault="0000127E" w:rsidP="00007028">
            <w:pPr>
              <w:pStyle w:val="Compact"/>
              <w:jc w:val="center"/>
            </w:pPr>
            <w:r>
              <w:t>0.32</w:t>
            </w:r>
          </w:p>
        </w:tc>
      </w:tr>
      <w:tr w:rsidR="0000127E" w14:paraId="0C453282" w14:textId="77777777" w:rsidTr="00D638A7">
        <w:tc>
          <w:tcPr>
            <w:tcW w:w="3301"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1" w:type="pct"/>
          </w:tcPr>
          <w:p w14:paraId="5813D7A8" w14:textId="77777777" w:rsidR="0000127E" w:rsidRDefault="0000127E" w:rsidP="00007028">
            <w:pPr>
              <w:pStyle w:val="Compact"/>
              <w:jc w:val="center"/>
            </w:pPr>
            <w:r>
              <w:t> </w:t>
            </w:r>
          </w:p>
        </w:tc>
      </w:tr>
      <w:tr w:rsidR="002A57DD" w14:paraId="53A5CEB5" w14:textId="77777777" w:rsidTr="00D638A7">
        <w:tc>
          <w:tcPr>
            <w:tcW w:w="2080" w:type="pct"/>
          </w:tcPr>
          <w:p w14:paraId="41B30225" w14:textId="0C051D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007028">
              <w:t xml:space="preserve"> - </w:t>
            </w:r>
            <w:r w:rsidR="0000127E">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1"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D638A7">
        <w:tc>
          <w:tcPr>
            <w:tcW w:w="2080" w:type="pct"/>
          </w:tcPr>
          <w:p w14:paraId="1AF7DD15"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1" w:type="pct"/>
          </w:tcPr>
          <w:p w14:paraId="2B4100E4" w14:textId="77777777" w:rsidR="0000127E" w:rsidRDefault="0000127E" w:rsidP="00007028">
            <w:pPr>
              <w:pStyle w:val="Compact"/>
              <w:jc w:val="center"/>
            </w:pPr>
            <w:r>
              <w:t>0.35</w:t>
            </w:r>
          </w:p>
        </w:tc>
      </w:tr>
      <w:tr w:rsidR="002A57DD" w14:paraId="55BC6CDE" w14:textId="77777777" w:rsidTr="00D638A7">
        <w:tc>
          <w:tcPr>
            <w:tcW w:w="2080" w:type="pct"/>
          </w:tcPr>
          <w:p w14:paraId="660A6640" w14:textId="60443B4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w:t>
            </w:r>
            <w:r w:rsidR="00203726">
              <w:t xml:space="preserve">Sep-Nov </w:t>
            </w:r>
            <w:r w:rsidR="0000127E">
              <w:t xml:space="preserve">DMI </w:t>
            </w:r>
            <w:r w:rsidR="00203726">
              <w:t>prior year</w:t>
            </w:r>
            <w:r w:rsidR="0000127E">
              <w:t xml:space="preserve"> (A</w:t>
            </w:r>
            <w:r w:rsidR="002A57DD">
              <w:t>1</w:t>
            </w:r>
            <w:r w:rsidR="0000127E">
              <w:t>)</w:t>
            </w:r>
          </w:p>
        </w:tc>
        <w:tc>
          <w:tcPr>
            <w:tcW w:w="422" w:type="pct"/>
          </w:tcPr>
          <w:p w14:paraId="3801A3A8" w14:textId="116C548F" w:rsidR="0000127E" w:rsidRDefault="00203726" w:rsidP="00007028">
            <w:pPr>
              <w:pStyle w:val="Compact"/>
              <w:jc w:val="center"/>
            </w:pPr>
            <w:r>
              <w:t>26</w:t>
            </w:r>
            <w:r w:rsidR="0000127E">
              <w:t>.</w:t>
            </w:r>
            <w:r>
              <w:t>0</w:t>
            </w:r>
          </w:p>
        </w:tc>
        <w:tc>
          <w:tcPr>
            <w:tcW w:w="329" w:type="pct"/>
          </w:tcPr>
          <w:p w14:paraId="31F027EB" w14:textId="60EDEBFA" w:rsidR="0000127E" w:rsidRDefault="00203726" w:rsidP="00007028">
            <w:pPr>
              <w:pStyle w:val="Compact"/>
              <w:jc w:val="center"/>
            </w:pPr>
            <w:r>
              <w:t>44</w:t>
            </w:r>
          </w:p>
        </w:tc>
        <w:tc>
          <w:tcPr>
            <w:tcW w:w="470" w:type="pct"/>
          </w:tcPr>
          <w:p w14:paraId="65382B93" w14:textId="063754EA" w:rsidR="0000127E" w:rsidRDefault="0000127E" w:rsidP="00007028">
            <w:pPr>
              <w:pStyle w:val="Compact"/>
              <w:jc w:val="center"/>
            </w:pPr>
            <w:r>
              <w:t>0.</w:t>
            </w:r>
            <w:r w:rsidR="00203726">
              <w:t>79</w:t>
            </w:r>
          </w:p>
        </w:tc>
        <w:tc>
          <w:tcPr>
            <w:tcW w:w="564" w:type="pct"/>
          </w:tcPr>
          <w:p w14:paraId="36EC9200" w14:textId="502D79B7" w:rsidR="0000127E" w:rsidRDefault="00203726" w:rsidP="00007028">
            <w:pPr>
              <w:pStyle w:val="Compact"/>
              <w:jc w:val="center"/>
            </w:pPr>
            <w:r>
              <w:t>94.4</w:t>
            </w:r>
          </w:p>
        </w:tc>
        <w:tc>
          <w:tcPr>
            <w:tcW w:w="564" w:type="pct"/>
          </w:tcPr>
          <w:p w14:paraId="2CA9DD8C" w14:textId="5095E2CF" w:rsidR="0000127E" w:rsidRDefault="00203726" w:rsidP="00007028">
            <w:pPr>
              <w:pStyle w:val="Compact"/>
              <w:jc w:val="center"/>
            </w:pPr>
            <w:r>
              <w:t>0.95</w:t>
            </w:r>
          </w:p>
        </w:tc>
        <w:tc>
          <w:tcPr>
            <w:tcW w:w="571" w:type="pct"/>
          </w:tcPr>
          <w:p w14:paraId="0BA50BA5" w14:textId="3FE7784C" w:rsidR="0000127E" w:rsidRDefault="0000127E" w:rsidP="00007028">
            <w:pPr>
              <w:pStyle w:val="Compact"/>
              <w:jc w:val="center"/>
            </w:pPr>
            <w:r>
              <w:t>0.</w:t>
            </w:r>
            <w:r w:rsidR="00203726">
              <w:t>34</w:t>
            </w:r>
          </w:p>
        </w:tc>
      </w:tr>
      <w:tr w:rsidR="002A57DD" w14:paraId="0D659E82" w14:textId="77777777" w:rsidTr="00D638A7">
        <w:tc>
          <w:tcPr>
            <w:tcW w:w="2080"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1" w:type="pct"/>
          </w:tcPr>
          <w:p w14:paraId="22B824B9" w14:textId="77777777" w:rsidR="0000127E" w:rsidRDefault="0000127E" w:rsidP="00007028">
            <w:pPr>
              <w:pStyle w:val="Compact"/>
              <w:jc w:val="center"/>
            </w:pPr>
            <w:r>
              <w:t> </w:t>
            </w:r>
          </w:p>
        </w:tc>
      </w:tr>
      <w:tr w:rsidR="00D638A7" w14:paraId="4DB89E05" w14:textId="77777777" w:rsidTr="00D638A7">
        <w:tc>
          <w:tcPr>
            <w:tcW w:w="5000" w:type="pct"/>
            <w:gridSpan w:val="7"/>
          </w:tcPr>
          <w:p w14:paraId="56D89428" w14:textId="4CC891E8" w:rsidR="00D638A7" w:rsidRDefault="00D638A7" w:rsidP="00D638A7">
            <w:pPr>
              <w:pStyle w:val="Compact"/>
            </w:pPr>
            <w:r>
              <w:rPr>
                <w:b/>
              </w:rPr>
              <w:t>October-March catch - more complex model 1983-2014</w:t>
            </w:r>
            <w:r>
              <w:t>  </w:t>
            </w:r>
          </w:p>
        </w:tc>
      </w:tr>
      <w:tr w:rsidR="002A57DD" w14:paraId="52DDBCFB" w14:textId="77777777" w:rsidTr="00D638A7">
        <w:tc>
          <w:tcPr>
            <w:tcW w:w="2080" w:type="pct"/>
          </w:tcPr>
          <w:p w14:paraId="7953A985" w14:textId="52227C21" w:rsidR="0000127E" w:rsidRDefault="0000127E" w:rsidP="00007028">
            <w:pPr>
              <w:pStyle w:val="Compact"/>
            </w:pPr>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1" w:type="pct"/>
          </w:tcPr>
          <w:p w14:paraId="6D00CDA2" w14:textId="77777777" w:rsidR="0000127E" w:rsidRDefault="0000127E" w:rsidP="00007028">
            <w:pPr>
              <w:pStyle w:val="Compact"/>
              <w:jc w:val="center"/>
            </w:pPr>
            <w:r>
              <w:t>0.35</w:t>
            </w:r>
          </w:p>
        </w:tc>
      </w:tr>
      <w:tr w:rsidR="0000127E" w14:paraId="4BAEA91B" w14:textId="77777777" w:rsidTr="00D638A7">
        <w:tc>
          <w:tcPr>
            <w:tcW w:w="3301"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1" w:type="pct"/>
          </w:tcPr>
          <w:p w14:paraId="4A0C0F2A" w14:textId="77777777" w:rsidR="0000127E" w:rsidRDefault="0000127E" w:rsidP="00007028">
            <w:pPr>
              <w:pStyle w:val="Compact"/>
              <w:jc w:val="center"/>
            </w:pPr>
            <w:r>
              <w:t> </w:t>
            </w:r>
          </w:p>
        </w:tc>
      </w:tr>
      <w:tr w:rsidR="002A57DD" w14:paraId="7CC30F69" w14:textId="77777777" w:rsidTr="00D638A7">
        <w:tc>
          <w:tcPr>
            <w:tcW w:w="2080" w:type="pct"/>
          </w:tcPr>
          <w:p w14:paraId="48B31101" w14:textId="50D3618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w:t>
            </w:r>
            <w:r w:rsidR="002A57DD">
              <w:t xml:space="preserve"> </w:t>
            </w:r>
            <w:r w:rsidR="0000127E">
              <w:t xml:space="preserve">Jun-Jul </w:t>
            </w:r>
            <w:proofErr w:type="spellStart"/>
            <w:r w:rsidR="0000127E">
              <w:t>Precip</w:t>
            </w:r>
            <w:proofErr w:type="spellEnd"/>
            <w:r w:rsidR="0000127E">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1"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D638A7">
        <w:tc>
          <w:tcPr>
            <w:tcW w:w="2080" w:type="pct"/>
          </w:tcPr>
          <w:p w14:paraId="62332FF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w:t>
            </w:r>
            <w:proofErr w:type="spellStart"/>
            <w:r w:rsidR="0000127E">
              <w:t>ge</w:t>
            </w:r>
            <w:proofErr w:type="spellEnd"/>
            <w:r w:rsidR="0000127E">
              <w:t xml:space="preserv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1"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D638A7">
        <w:tc>
          <w:tcPr>
            <w:tcW w:w="2080" w:type="pct"/>
            <w:tcBorders>
              <w:bottom w:val="single" w:sz="8" w:space="0" w:color="auto"/>
            </w:tcBorders>
          </w:tcPr>
          <w:p w14:paraId="2B1C3E85" w14:textId="6BDE8A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w:t>
            </w:r>
            <w:r w:rsidR="00203726">
              <w:t xml:space="preserve">Sep-Nov </w:t>
            </w:r>
            <w:r w:rsidR="0000127E">
              <w:t xml:space="preserve">DMI </w:t>
            </w:r>
            <w:r w:rsidR="00203726">
              <w:t>prior year</w:t>
            </w:r>
            <w:r w:rsidR="0000127E">
              <w:t xml:space="preserve"> (</w:t>
            </w:r>
            <w:r w:rsidR="002A57DD">
              <w:t>A1</w:t>
            </w:r>
            <w:r w:rsidR="0000127E">
              <w:t>)</w:t>
            </w:r>
          </w:p>
        </w:tc>
        <w:tc>
          <w:tcPr>
            <w:tcW w:w="422" w:type="pct"/>
            <w:tcBorders>
              <w:bottom w:val="single" w:sz="8" w:space="0" w:color="auto"/>
            </w:tcBorders>
          </w:tcPr>
          <w:p w14:paraId="75974875" w14:textId="3DE5966C" w:rsidR="0000127E" w:rsidRDefault="0000127E" w:rsidP="00007028">
            <w:pPr>
              <w:pStyle w:val="Compact"/>
              <w:jc w:val="center"/>
            </w:pPr>
            <w:r>
              <w:t>2</w:t>
            </w:r>
            <w:r w:rsidR="00203726">
              <w:t>3.8</w:t>
            </w:r>
          </w:p>
        </w:tc>
        <w:tc>
          <w:tcPr>
            <w:tcW w:w="329" w:type="pct"/>
            <w:tcBorders>
              <w:bottom w:val="single" w:sz="8" w:space="0" w:color="auto"/>
            </w:tcBorders>
          </w:tcPr>
          <w:p w14:paraId="47C3B008" w14:textId="26FC0153" w:rsidR="0000127E" w:rsidRDefault="00203726" w:rsidP="00007028">
            <w:pPr>
              <w:pStyle w:val="Compact"/>
              <w:jc w:val="center"/>
            </w:pPr>
            <w:r>
              <w:t>69</w:t>
            </w:r>
          </w:p>
        </w:tc>
        <w:tc>
          <w:tcPr>
            <w:tcW w:w="470" w:type="pct"/>
            <w:tcBorders>
              <w:bottom w:val="single" w:sz="8" w:space="0" w:color="auto"/>
            </w:tcBorders>
          </w:tcPr>
          <w:p w14:paraId="394502BE" w14:textId="36BD1FCF" w:rsidR="0000127E" w:rsidRDefault="0000127E" w:rsidP="00007028">
            <w:pPr>
              <w:pStyle w:val="Compact"/>
              <w:jc w:val="center"/>
            </w:pPr>
            <w:r>
              <w:t>0.</w:t>
            </w:r>
            <w:r w:rsidR="00203726">
              <w:t>57</w:t>
            </w:r>
          </w:p>
        </w:tc>
        <w:tc>
          <w:tcPr>
            <w:tcW w:w="564" w:type="pct"/>
            <w:tcBorders>
              <w:bottom w:val="single" w:sz="8" w:space="0" w:color="auto"/>
            </w:tcBorders>
          </w:tcPr>
          <w:p w14:paraId="2786F2B7" w14:textId="000D9FB6" w:rsidR="0000127E" w:rsidRDefault="00203726" w:rsidP="00007028">
            <w:pPr>
              <w:pStyle w:val="Compact"/>
              <w:jc w:val="center"/>
            </w:pPr>
            <w:r>
              <w:t>81.3</w:t>
            </w:r>
            <m:oMath>
              <m:r>
                <w:rPr>
                  <w:rFonts w:ascii="Cambria Math" w:hAnsi="Cambria Math"/>
                </w:rPr>
                <m:t>†</m:t>
              </m:r>
            </m:oMath>
          </w:p>
        </w:tc>
        <w:tc>
          <w:tcPr>
            <w:tcW w:w="564" w:type="pct"/>
            <w:tcBorders>
              <w:bottom w:val="single" w:sz="8" w:space="0" w:color="auto"/>
            </w:tcBorders>
          </w:tcPr>
          <w:p w14:paraId="7F1A1917" w14:textId="25B4BB9F" w:rsidR="0000127E" w:rsidRDefault="0000127E" w:rsidP="00007028">
            <w:pPr>
              <w:pStyle w:val="Compact"/>
              <w:jc w:val="center"/>
            </w:pPr>
            <w:r>
              <w:t>0.</w:t>
            </w:r>
            <w:r w:rsidR="00203726">
              <w:t>88</w:t>
            </w:r>
            <m:oMath>
              <m:r>
                <w:rPr>
                  <w:rFonts w:ascii="Cambria Math" w:hAnsi="Cambria Math"/>
                </w:rPr>
                <m:t>‡‡</m:t>
              </m:r>
            </m:oMath>
          </w:p>
        </w:tc>
        <w:tc>
          <w:tcPr>
            <w:tcW w:w="571" w:type="pct"/>
            <w:tcBorders>
              <w:bottom w:val="single" w:sz="8" w:space="0" w:color="auto"/>
            </w:tcBorders>
          </w:tcPr>
          <w:p w14:paraId="2741738E" w14:textId="0D88E585" w:rsidR="0000127E" w:rsidRDefault="0000127E" w:rsidP="00007028">
            <w:pPr>
              <w:pStyle w:val="Compact"/>
              <w:jc w:val="center"/>
            </w:pPr>
            <w:r>
              <w:t>0.</w:t>
            </w:r>
            <w:r w:rsidR="00203726">
              <w:t>35</w:t>
            </w:r>
          </w:p>
        </w:tc>
      </w:tr>
      <w:tr w:rsidR="002A57DD" w14:paraId="79276D78" w14:textId="77777777" w:rsidTr="00D638A7">
        <w:tc>
          <w:tcPr>
            <w:tcW w:w="2080" w:type="pct"/>
            <w:tcBorders>
              <w:top w:val="single" w:sz="8" w:space="0" w:color="auto"/>
            </w:tcBorders>
          </w:tcPr>
          <w:p w14:paraId="749D1E57" w14:textId="77777777" w:rsidR="0000127E" w:rsidRDefault="0000127E" w:rsidP="00B06C49">
            <w:pPr>
              <w:pStyle w:val="Compact"/>
            </w:pPr>
            <w:r>
              <w:t> </w:t>
            </w:r>
          </w:p>
        </w:tc>
        <w:tc>
          <w:tcPr>
            <w:tcW w:w="422" w:type="pct"/>
            <w:tcBorders>
              <w:top w:val="single" w:sz="8" w:space="0" w:color="auto"/>
            </w:tcBorders>
          </w:tcPr>
          <w:p w14:paraId="4AA1F341" w14:textId="77777777" w:rsidR="0000127E" w:rsidRDefault="0000127E" w:rsidP="00B06C49">
            <w:pPr>
              <w:pStyle w:val="Compact"/>
              <w:jc w:val="center"/>
            </w:pPr>
            <w:r>
              <w:t> </w:t>
            </w:r>
          </w:p>
        </w:tc>
        <w:tc>
          <w:tcPr>
            <w:tcW w:w="329" w:type="pct"/>
            <w:tcBorders>
              <w:top w:val="single" w:sz="8" w:space="0" w:color="auto"/>
            </w:tcBorders>
          </w:tcPr>
          <w:p w14:paraId="41FDE3FF" w14:textId="77777777" w:rsidR="0000127E" w:rsidRDefault="0000127E" w:rsidP="00B06C49">
            <w:pPr>
              <w:pStyle w:val="Compact"/>
              <w:jc w:val="center"/>
            </w:pPr>
            <w:r>
              <w:t> </w:t>
            </w:r>
          </w:p>
        </w:tc>
        <w:tc>
          <w:tcPr>
            <w:tcW w:w="470" w:type="pct"/>
            <w:tcBorders>
              <w:top w:val="single" w:sz="8" w:space="0" w:color="auto"/>
            </w:tcBorders>
          </w:tcPr>
          <w:p w14:paraId="4420903E" w14:textId="77777777" w:rsidR="0000127E" w:rsidRDefault="0000127E" w:rsidP="00B06C49">
            <w:pPr>
              <w:pStyle w:val="Compact"/>
              <w:jc w:val="center"/>
            </w:pPr>
            <w:r>
              <w:t> </w:t>
            </w:r>
          </w:p>
        </w:tc>
        <w:tc>
          <w:tcPr>
            <w:tcW w:w="564" w:type="pct"/>
            <w:tcBorders>
              <w:top w:val="single" w:sz="8" w:space="0" w:color="auto"/>
            </w:tcBorders>
          </w:tcPr>
          <w:p w14:paraId="304A75DD" w14:textId="77777777" w:rsidR="0000127E" w:rsidRDefault="0000127E" w:rsidP="00B06C49">
            <w:pPr>
              <w:pStyle w:val="Compact"/>
              <w:jc w:val="center"/>
            </w:pPr>
            <w:r>
              <w:t> </w:t>
            </w:r>
          </w:p>
        </w:tc>
        <w:tc>
          <w:tcPr>
            <w:tcW w:w="564" w:type="pct"/>
            <w:tcBorders>
              <w:top w:val="single" w:sz="8" w:space="0" w:color="auto"/>
            </w:tcBorders>
          </w:tcPr>
          <w:p w14:paraId="339862DF" w14:textId="77777777" w:rsidR="0000127E" w:rsidRDefault="0000127E" w:rsidP="00B06C49">
            <w:pPr>
              <w:pStyle w:val="Compact"/>
              <w:jc w:val="center"/>
            </w:pPr>
            <w:r>
              <w:t> </w:t>
            </w:r>
          </w:p>
        </w:tc>
        <w:tc>
          <w:tcPr>
            <w:tcW w:w="571" w:type="pct"/>
            <w:tcBorders>
              <w:top w:val="single" w:sz="8" w:space="0" w:color="auto"/>
            </w:tcBorders>
          </w:tcPr>
          <w:p w14:paraId="7815D8B4" w14:textId="77777777" w:rsidR="0000127E" w:rsidRDefault="0000127E" w:rsidP="00B06C49">
            <w:pPr>
              <w:pStyle w:val="Compact"/>
              <w:jc w:val="center"/>
            </w:pPr>
            <w:r>
              <w:t> </w:t>
            </w:r>
          </w:p>
        </w:tc>
      </w:tr>
    </w:tbl>
    <w:p w14:paraId="2C9C5792" w14:textId="749819B9" w:rsidR="00007028" w:rsidRPr="00007028" w:rsidRDefault="0000127E" w:rsidP="00D638A7">
      <w:pPr>
        <w:pStyle w:val="ImageCaption"/>
        <w:spacing w:after="0" w:line="276" w:lineRule="auto"/>
        <w:rPr>
          <w:i w:val="0"/>
          <w:iCs/>
        </w:rPr>
      </w:pPr>
      <w:r w:rsidRPr="00D638A7">
        <w:t>Notes</w:t>
      </w:r>
      <w:r w:rsidRPr="00007028">
        <w:rPr>
          <w:i w:val="0"/>
        </w:rPr>
        <w:t xml:space="preserve">: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w:t>
      </w:r>
      <w:r w:rsidRPr="00007028">
        <w:rPr>
          <w:i w:val="0"/>
        </w:rPr>
        <w:lastRenderedPageBreak/>
        <w:t xml:space="preserve">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w:rPr>
            <w:rFonts w:ascii="Cambria Math" w:hAnsi="Cambria Math"/>
          </w:rPr>
          <m:t>t</m:t>
        </m:r>
      </m:oMath>
      <w:r w:rsidRPr="00007028">
        <w:rPr>
          <w:i w:val="0"/>
        </w:rPr>
        <w:t xml:space="preserve"> indicates current season (Jul-Jun). For covariates that are multiyear, </w:t>
      </w:r>
      <m:oMath>
        <m: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40DDD" w14:textId="77777777" w:rsidR="00301380" w:rsidRDefault="00301380">
      <w:r>
        <w:separator/>
      </w:r>
    </w:p>
  </w:endnote>
  <w:endnote w:type="continuationSeparator" w:id="0">
    <w:p w14:paraId="0B289434" w14:textId="77777777" w:rsidR="00301380" w:rsidRDefault="00301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77A7F" w14:textId="77777777" w:rsidR="00301380" w:rsidRDefault="00301380">
      <w:r>
        <w:separator/>
      </w:r>
    </w:p>
  </w:footnote>
  <w:footnote w:type="continuationSeparator" w:id="0">
    <w:p w14:paraId="68C6D086" w14:textId="77777777" w:rsidR="00301380" w:rsidRDefault="00301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F6E28C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20416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E2683E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C4EE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9E7D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8060C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5609B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382B6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D326B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A821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4"/>
  </w:num>
  <w:num w:numId="5">
    <w:abstractNumId w:val="11"/>
  </w:num>
  <w:num w:numId="6">
    <w:abstractNumId w:val="12"/>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566EB"/>
    <w:rsid w:val="00067EBB"/>
    <w:rsid w:val="00073272"/>
    <w:rsid w:val="000753F6"/>
    <w:rsid w:val="00075810"/>
    <w:rsid w:val="00076378"/>
    <w:rsid w:val="00076B9A"/>
    <w:rsid w:val="00084D4E"/>
    <w:rsid w:val="000857EA"/>
    <w:rsid w:val="000A200A"/>
    <w:rsid w:val="000B375B"/>
    <w:rsid w:val="000B4D98"/>
    <w:rsid w:val="000C303A"/>
    <w:rsid w:val="000C700D"/>
    <w:rsid w:val="000D07BB"/>
    <w:rsid w:val="000D140C"/>
    <w:rsid w:val="000D20E8"/>
    <w:rsid w:val="000D35E2"/>
    <w:rsid w:val="000E0650"/>
    <w:rsid w:val="000F5A5C"/>
    <w:rsid w:val="000F63A6"/>
    <w:rsid w:val="00103242"/>
    <w:rsid w:val="00103B15"/>
    <w:rsid w:val="00112C7F"/>
    <w:rsid w:val="00114602"/>
    <w:rsid w:val="001220B1"/>
    <w:rsid w:val="001229F8"/>
    <w:rsid w:val="00122F24"/>
    <w:rsid w:val="0013107F"/>
    <w:rsid w:val="00143B30"/>
    <w:rsid w:val="00154AF2"/>
    <w:rsid w:val="00156B93"/>
    <w:rsid w:val="0016789A"/>
    <w:rsid w:val="00173E30"/>
    <w:rsid w:val="00176CA9"/>
    <w:rsid w:val="00182B56"/>
    <w:rsid w:val="0018399F"/>
    <w:rsid w:val="00185159"/>
    <w:rsid w:val="001A401E"/>
    <w:rsid w:val="001A7D4A"/>
    <w:rsid w:val="001B0CDA"/>
    <w:rsid w:val="001B1B67"/>
    <w:rsid w:val="001B33CD"/>
    <w:rsid w:val="001C0CF0"/>
    <w:rsid w:val="001D10FC"/>
    <w:rsid w:val="001D6F09"/>
    <w:rsid w:val="001E73B8"/>
    <w:rsid w:val="00203726"/>
    <w:rsid w:val="002075F4"/>
    <w:rsid w:val="00226FBB"/>
    <w:rsid w:val="00242A7E"/>
    <w:rsid w:val="002650D9"/>
    <w:rsid w:val="00265368"/>
    <w:rsid w:val="0026567A"/>
    <w:rsid w:val="00287190"/>
    <w:rsid w:val="00293521"/>
    <w:rsid w:val="002A147A"/>
    <w:rsid w:val="002A57DD"/>
    <w:rsid w:val="002B699A"/>
    <w:rsid w:val="002C110F"/>
    <w:rsid w:val="002C2C4A"/>
    <w:rsid w:val="002C77A6"/>
    <w:rsid w:val="002E1BBA"/>
    <w:rsid w:val="002F6A98"/>
    <w:rsid w:val="00300F17"/>
    <w:rsid w:val="00301380"/>
    <w:rsid w:val="003150AE"/>
    <w:rsid w:val="00315F99"/>
    <w:rsid w:val="00331658"/>
    <w:rsid w:val="003331C2"/>
    <w:rsid w:val="0034244D"/>
    <w:rsid w:val="0034471F"/>
    <w:rsid w:val="00346EB5"/>
    <w:rsid w:val="00354701"/>
    <w:rsid w:val="00362866"/>
    <w:rsid w:val="00367F28"/>
    <w:rsid w:val="00385DA0"/>
    <w:rsid w:val="00387E66"/>
    <w:rsid w:val="003938B0"/>
    <w:rsid w:val="003A6D12"/>
    <w:rsid w:val="003B0350"/>
    <w:rsid w:val="003B2A60"/>
    <w:rsid w:val="003B57EF"/>
    <w:rsid w:val="003C0052"/>
    <w:rsid w:val="003E2A48"/>
    <w:rsid w:val="003E42D4"/>
    <w:rsid w:val="003F27BF"/>
    <w:rsid w:val="003F3134"/>
    <w:rsid w:val="003F52AE"/>
    <w:rsid w:val="00403C3A"/>
    <w:rsid w:val="00413B3A"/>
    <w:rsid w:val="004274D6"/>
    <w:rsid w:val="004337C3"/>
    <w:rsid w:val="00434DD3"/>
    <w:rsid w:val="00435768"/>
    <w:rsid w:val="00436C08"/>
    <w:rsid w:val="0044025C"/>
    <w:rsid w:val="004442FC"/>
    <w:rsid w:val="00446D3B"/>
    <w:rsid w:val="00455F5A"/>
    <w:rsid w:val="004571DF"/>
    <w:rsid w:val="00481010"/>
    <w:rsid w:val="004950C7"/>
    <w:rsid w:val="004A05C8"/>
    <w:rsid w:val="004B5216"/>
    <w:rsid w:val="004C4001"/>
    <w:rsid w:val="004C468F"/>
    <w:rsid w:val="004C4E60"/>
    <w:rsid w:val="004C55C2"/>
    <w:rsid w:val="004C6AF4"/>
    <w:rsid w:val="004C6F56"/>
    <w:rsid w:val="004D1286"/>
    <w:rsid w:val="004D1AC1"/>
    <w:rsid w:val="004D7BEC"/>
    <w:rsid w:val="004E29B3"/>
    <w:rsid w:val="004E67C5"/>
    <w:rsid w:val="004F1ED9"/>
    <w:rsid w:val="00503980"/>
    <w:rsid w:val="00514282"/>
    <w:rsid w:val="005358BF"/>
    <w:rsid w:val="00553D93"/>
    <w:rsid w:val="00561BC2"/>
    <w:rsid w:val="0056224A"/>
    <w:rsid w:val="00565DC1"/>
    <w:rsid w:val="005839BA"/>
    <w:rsid w:val="00584594"/>
    <w:rsid w:val="00590D07"/>
    <w:rsid w:val="0059478B"/>
    <w:rsid w:val="0059750C"/>
    <w:rsid w:val="005A1DAE"/>
    <w:rsid w:val="005A53C7"/>
    <w:rsid w:val="005B3EFF"/>
    <w:rsid w:val="005B529D"/>
    <w:rsid w:val="005D076B"/>
    <w:rsid w:val="005E7190"/>
    <w:rsid w:val="006014DA"/>
    <w:rsid w:val="00613F6B"/>
    <w:rsid w:val="00614FFF"/>
    <w:rsid w:val="00627EA9"/>
    <w:rsid w:val="00635877"/>
    <w:rsid w:val="00636F50"/>
    <w:rsid w:val="00641D83"/>
    <w:rsid w:val="00641DEC"/>
    <w:rsid w:val="0065024E"/>
    <w:rsid w:val="00653B25"/>
    <w:rsid w:val="006750A6"/>
    <w:rsid w:val="006812BD"/>
    <w:rsid w:val="00682326"/>
    <w:rsid w:val="00685AF2"/>
    <w:rsid w:val="0069538F"/>
    <w:rsid w:val="006A0271"/>
    <w:rsid w:val="006A5DF7"/>
    <w:rsid w:val="006A698C"/>
    <w:rsid w:val="006A6A34"/>
    <w:rsid w:val="006B7946"/>
    <w:rsid w:val="006C6D92"/>
    <w:rsid w:val="006D0100"/>
    <w:rsid w:val="006D14EA"/>
    <w:rsid w:val="006D43E2"/>
    <w:rsid w:val="006D7FDC"/>
    <w:rsid w:val="006E1C29"/>
    <w:rsid w:val="006E568E"/>
    <w:rsid w:val="006E72EF"/>
    <w:rsid w:val="006F50C6"/>
    <w:rsid w:val="00722A32"/>
    <w:rsid w:val="007233EB"/>
    <w:rsid w:val="007470CC"/>
    <w:rsid w:val="00750EE9"/>
    <w:rsid w:val="00761F04"/>
    <w:rsid w:val="00764EDB"/>
    <w:rsid w:val="00784D58"/>
    <w:rsid w:val="007871F2"/>
    <w:rsid w:val="00795B00"/>
    <w:rsid w:val="007A6CBA"/>
    <w:rsid w:val="007D4152"/>
    <w:rsid w:val="008030A4"/>
    <w:rsid w:val="0080508A"/>
    <w:rsid w:val="008062F9"/>
    <w:rsid w:val="00806920"/>
    <w:rsid w:val="00810FBF"/>
    <w:rsid w:val="0082679E"/>
    <w:rsid w:val="0084066F"/>
    <w:rsid w:val="0084446F"/>
    <w:rsid w:val="008464F2"/>
    <w:rsid w:val="0085033B"/>
    <w:rsid w:val="00853B97"/>
    <w:rsid w:val="0086401F"/>
    <w:rsid w:val="00883863"/>
    <w:rsid w:val="008A5EED"/>
    <w:rsid w:val="008B0E14"/>
    <w:rsid w:val="008B4247"/>
    <w:rsid w:val="008C2DB3"/>
    <w:rsid w:val="008D39A8"/>
    <w:rsid w:val="008D4794"/>
    <w:rsid w:val="008D6863"/>
    <w:rsid w:val="008D7892"/>
    <w:rsid w:val="008D7994"/>
    <w:rsid w:val="008F002B"/>
    <w:rsid w:val="00901E08"/>
    <w:rsid w:val="00932082"/>
    <w:rsid w:val="009355E1"/>
    <w:rsid w:val="009408CC"/>
    <w:rsid w:val="009522F2"/>
    <w:rsid w:val="00952A52"/>
    <w:rsid w:val="0097275E"/>
    <w:rsid w:val="00973623"/>
    <w:rsid w:val="009A41CD"/>
    <w:rsid w:val="009A5FFD"/>
    <w:rsid w:val="009B1F17"/>
    <w:rsid w:val="009F4D6D"/>
    <w:rsid w:val="00A0169D"/>
    <w:rsid w:val="00A0382F"/>
    <w:rsid w:val="00A1319F"/>
    <w:rsid w:val="00A31D6F"/>
    <w:rsid w:val="00A32AFB"/>
    <w:rsid w:val="00A407D2"/>
    <w:rsid w:val="00A40966"/>
    <w:rsid w:val="00A45786"/>
    <w:rsid w:val="00A52EF3"/>
    <w:rsid w:val="00A62638"/>
    <w:rsid w:val="00A71D5A"/>
    <w:rsid w:val="00A7331B"/>
    <w:rsid w:val="00A7493E"/>
    <w:rsid w:val="00A74E0B"/>
    <w:rsid w:val="00A94D47"/>
    <w:rsid w:val="00AA268D"/>
    <w:rsid w:val="00AA3B73"/>
    <w:rsid w:val="00AA72C0"/>
    <w:rsid w:val="00AB4E5A"/>
    <w:rsid w:val="00AB4FA7"/>
    <w:rsid w:val="00AB5281"/>
    <w:rsid w:val="00AB7D1B"/>
    <w:rsid w:val="00AD464C"/>
    <w:rsid w:val="00AD4AD3"/>
    <w:rsid w:val="00AD4FFD"/>
    <w:rsid w:val="00AE2694"/>
    <w:rsid w:val="00AE27DA"/>
    <w:rsid w:val="00AE3E41"/>
    <w:rsid w:val="00AE4D4A"/>
    <w:rsid w:val="00AE6E40"/>
    <w:rsid w:val="00AF6F27"/>
    <w:rsid w:val="00B06C49"/>
    <w:rsid w:val="00B12AE0"/>
    <w:rsid w:val="00B16E16"/>
    <w:rsid w:val="00B26628"/>
    <w:rsid w:val="00B27291"/>
    <w:rsid w:val="00B34F90"/>
    <w:rsid w:val="00B42A8E"/>
    <w:rsid w:val="00B77E64"/>
    <w:rsid w:val="00B801AB"/>
    <w:rsid w:val="00B81391"/>
    <w:rsid w:val="00B86B75"/>
    <w:rsid w:val="00B91833"/>
    <w:rsid w:val="00BA0C44"/>
    <w:rsid w:val="00BB18F1"/>
    <w:rsid w:val="00BB7FA0"/>
    <w:rsid w:val="00BC48D5"/>
    <w:rsid w:val="00BC7E28"/>
    <w:rsid w:val="00BF3ED4"/>
    <w:rsid w:val="00C1000A"/>
    <w:rsid w:val="00C13321"/>
    <w:rsid w:val="00C16CDA"/>
    <w:rsid w:val="00C36279"/>
    <w:rsid w:val="00C47C13"/>
    <w:rsid w:val="00C61FCB"/>
    <w:rsid w:val="00C63CB5"/>
    <w:rsid w:val="00C71171"/>
    <w:rsid w:val="00C71234"/>
    <w:rsid w:val="00C7703E"/>
    <w:rsid w:val="00C81382"/>
    <w:rsid w:val="00CA03BC"/>
    <w:rsid w:val="00CB5B53"/>
    <w:rsid w:val="00CC53B1"/>
    <w:rsid w:val="00CD49BA"/>
    <w:rsid w:val="00CE11E9"/>
    <w:rsid w:val="00CE477A"/>
    <w:rsid w:val="00CE4BB8"/>
    <w:rsid w:val="00CE750A"/>
    <w:rsid w:val="00CF5649"/>
    <w:rsid w:val="00D00273"/>
    <w:rsid w:val="00D05D6F"/>
    <w:rsid w:val="00D151EB"/>
    <w:rsid w:val="00D16A3C"/>
    <w:rsid w:val="00D218D2"/>
    <w:rsid w:val="00D2216D"/>
    <w:rsid w:val="00D2774A"/>
    <w:rsid w:val="00D400C1"/>
    <w:rsid w:val="00D40827"/>
    <w:rsid w:val="00D5487E"/>
    <w:rsid w:val="00D5505A"/>
    <w:rsid w:val="00D562EB"/>
    <w:rsid w:val="00D60EBB"/>
    <w:rsid w:val="00D62708"/>
    <w:rsid w:val="00D638A7"/>
    <w:rsid w:val="00D943D1"/>
    <w:rsid w:val="00D95A81"/>
    <w:rsid w:val="00DB578C"/>
    <w:rsid w:val="00DB7A68"/>
    <w:rsid w:val="00DC0216"/>
    <w:rsid w:val="00DC0451"/>
    <w:rsid w:val="00DE3E1D"/>
    <w:rsid w:val="00DE782C"/>
    <w:rsid w:val="00DF17F9"/>
    <w:rsid w:val="00DF319E"/>
    <w:rsid w:val="00E07913"/>
    <w:rsid w:val="00E102DA"/>
    <w:rsid w:val="00E1056B"/>
    <w:rsid w:val="00E11AEF"/>
    <w:rsid w:val="00E14999"/>
    <w:rsid w:val="00E16409"/>
    <w:rsid w:val="00E315A3"/>
    <w:rsid w:val="00E41E98"/>
    <w:rsid w:val="00E44ED1"/>
    <w:rsid w:val="00E5496B"/>
    <w:rsid w:val="00E5701D"/>
    <w:rsid w:val="00E760FA"/>
    <w:rsid w:val="00E82C69"/>
    <w:rsid w:val="00E8348A"/>
    <w:rsid w:val="00E87F94"/>
    <w:rsid w:val="00EA552C"/>
    <w:rsid w:val="00EB56CB"/>
    <w:rsid w:val="00EC22EC"/>
    <w:rsid w:val="00ED2401"/>
    <w:rsid w:val="00EE5A26"/>
    <w:rsid w:val="00F029BA"/>
    <w:rsid w:val="00F05183"/>
    <w:rsid w:val="00F0595A"/>
    <w:rsid w:val="00F05E3D"/>
    <w:rsid w:val="00F06475"/>
    <w:rsid w:val="00F11068"/>
    <w:rsid w:val="00F23BC5"/>
    <w:rsid w:val="00F27F87"/>
    <w:rsid w:val="00F3211D"/>
    <w:rsid w:val="00F46072"/>
    <w:rsid w:val="00F46FF8"/>
    <w:rsid w:val="00F61BB6"/>
    <w:rsid w:val="00F820ED"/>
    <w:rsid w:val="00F85218"/>
    <w:rsid w:val="00F860C5"/>
    <w:rsid w:val="00F86DBC"/>
    <w:rsid w:val="00F9352D"/>
    <w:rsid w:val="00F9375B"/>
    <w:rsid w:val="00F950DA"/>
    <w:rsid w:val="00F96F58"/>
    <w:rsid w:val="00F979F4"/>
    <w:rsid w:val="00FB20C5"/>
    <w:rsid w:val="00FB2A94"/>
    <w:rsid w:val="00FB7067"/>
    <w:rsid w:val="00FB7D18"/>
    <w:rsid w:val="00FD4AE7"/>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075F4"/>
    <w:rPr>
      <w:color w:val="605E5C"/>
      <w:shd w:val="clear" w:color="auto" w:fill="E1DFDD"/>
    </w:rPr>
  </w:style>
  <w:style w:type="character" w:styleId="FollowedHyperlink">
    <w:name w:val="FollowedHyperlink"/>
    <w:basedOn w:val="DefaultParagraphFont"/>
    <w:rsid w:val="002075F4"/>
    <w:rPr>
      <w:color w:val="800080" w:themeColor="followedHyperlink"/>
      <w:u w:val="single"/>
    </w:rPr>
  </w:style>
  <w:style w:type="character" w:styleId="LineNumber">
    <w:name w:val="line number"/>
    <w:basedOn w:val="DefaultParagraphFont"/>
    <w:semiHidden/>
    <w:unhideWhenUsed/>
    <w:rsid w:val="0085033B"/>
  </w:style>
  <w:style w:type="character" w:customStyle="1" w:styleId="BodyTextChar">
    <w:name w:val="Body Text Char"/>
    <w:basedOn w:val="DefaultParagraphFont"/>
    <w:link w:val="BodyText"/>
    <w:rsid w:val="00A6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449">
      <w:bodyDiv w:val="1"/>
      <w:marLeft w:val="0"/>
      <w:marRight w:val="0"/>
      <w:marTop w:val="0"/>
      <w:marBottom w:val="0"/>
      <w:divBdr>
        <w:top w:val="none" w:sz="0" w:space="0" w:color="auto"/>
        <w:left w:val="none" w:sz="0" w:space="0" w:color="auto"/>
        <w:bottom w:val="none" w:sz="0" w:space="0" w:color="auto"/>
        <w:right w:val="none" w:sz="0" w:space="0" w:color="auto"/>
      </w:divBdr>
    </w:div>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4508">
      <w:bodyDiv w:val="1"/>
      <w:marLeft w:val="0"/>
      <w:marRight w:val="0"/>
      <w:marTop w:val="0"/>
      <w:marBottom w:val="0"/>
      <w:divBdr>
        <w:top w:val="none" w:sz="0" w:space="0" w:color="auto"/>
        <w:left w:val="none" w:sz="0" w:space="0" w:color="auto"/>
        <w:bottom w:val="none" w:sz="0" w:space="0" w:color="auto"/>
        <w:right w:val="none" w:sz="0" w:space="0" w:color="auto"/>
      </w:divBdr>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139/f87-321" TargetMode="External"/><Relationship Id="rId18" Type="http://schemas.openxmlformats.org/officeDocument/2006/relationships/hyperlink" Target="https://doi.org/https://doi.org/10.2112/JCOASTRES-D-10-00070.1" TargetMode="External"/><Relationship Id="rId26" Type="http://schemas.openxmlformats.org/officeDocument/2006/relationships/hyperlink" Target="https://doi.org/https://doi.org/10.3389/fmars.2018.00443" TargetMode="External"/><Relationship Id="rId39" Type="http://schemas.openxmlformats.org/officeDocument/2006/relationships/hyperlink" Target="https://doi.org/https://doi.org/10.5897/JOMS" TargetMode="External"/><Relationship Id="rId21" Type="http://schemas.openxmlformats.org/officeDocument/2006/relationships/hyperlink" Target="https://doi.org/https://doi.org/10.1016/j.fishres.2018.12.016" TargetMode="External"/><Relationship Id="rId34" Type="http://schemas.openxmlformats.org/officeDocument/2006/relationships/hyperlink" Target="https://doi.org/https://doi.org/10.1139/F10-101" TargetMode="External"/><Relationship Id="rId42" Type="http://schemas.openxmlformats.org/officeDocument/2006/relationships/hyperlink" Target="https://doi.org/https://doi.org/10.1175/JCLI-D-14-00471.1" TargetMode="External"/><Relationship Id="rId47" Type="http://schemas.openxmlformats.org/officeDocument/2006/relationships/hyperlink" Target="https://doi.org/https://doi.org/10.1139/f07-052" TargetMode="External"/><Relationship Id="rId50" Type="http://schemas.openxmlformats.org/officeDocument/2006/relationships/hyperlink" Target="https://doi.org/https://doi.org/10.1111/j.1467-9868.2010.00749.x" TargetMode="External"/><Relationship Id="rId7" Type="http://schemas.openxmlformats.org/officeDocument/2006/relationships/hyperlink" Target="https://doi.org/https://doi.org/10.1046/j.1365-2419.1997.00035.x" TargetMode="External"/><Relationship Id="rId2" Type="http://schemas.openxmlformats.org/officeDocument/2006/relationships/styles" Target="styles.xml"/><Relationship Id="rId16" Type="http://schemas.openxmlformats.org/officeDocument/2006/relationships/hyperlink" Target="https://doi.org/https://www.doi.org/10.5772/58877" TargetMode="External"/><Relationship Id="rId29" Type="http://schemas.openxmlformats.org/officeDocument/2006/relationships/hyperlink" Target="https://doi.org/https://doi.org/10.1073/pnas.1305733110" TargetMode="External"/><Relationship Id="rId11" Type="http://schemas.openxmlformats.org/officeDocument/2006/relationships/hyperlink" Target="https://doi.org/https://doi.org/10.1029/2011JC007454" TargetMode="External"/><Relationship Id="rId24" Type="http://schemas.openxmlformats.org/officeDocument/2006/relationships/hyperlink" Target="https://doi.org/https://doi.org/10.1139/f95-057" TargetMode="External"/><Relationship Id="rId32" Type="http://schemas.openxmlformats.org/officeDocument/2006/relationships/hyperlink" Target="https://doi.org/https://doi.org/10.1016/S0967-0645(00)00142-9" TargetMode="External"/><Relationship Id="rId37" Type="http://schemas.openxmlformats.org/officeDocument/2006/relationships/hyperlink" Target="https://doi.org/https://doi.org/10.6024/jmbai.2016.58.1.1899-07" TargetMode="External"/><Relationship Id="rId40" Type="http://schemas.openxmlformats.org/officeDocument/2006/relationships/hyperlink" Target="https://doi.org/https://doi.org/10.7755/FB" TargetMode="External"/><Relationship Id="rId45" Type="http://schemas.openxmlformats.org/officeDocument/2006/relationships/hyperlink" Target="https://doi.org/https://doi.org/10.2989/025776199784125962"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https://doi.org/10.2112/06-0779.1%20" TargetMode="External"/><Relationship Id="rId19" Type="http://schemas.openxmlformats.org/officeDocument/2006/relationships/hyperlink" Target="https://doi.org/https://doi.org/10.1002/2015JG003163" TargetMode="External"/><Relationship Id="rId31" Type="http://schemas.openxmlformats.org/officeDocument/2006/relationships/hyperlink" Target="https://doi.org/https://doi.org/10.1139/f90-268" TargetMode="External"/><Relationship Id="rId44" Type="http://schemas.openxmlformats.org/officeDocument/2006/relationships/hyperlink" Target="https://doi.org/https://doi.org/10.7755/MFR" TargetMode="External"/><Relationship Id="rId52" Type="http://schemas.openxmlformats.org/officeDocument/2006/relationships/hyperlink" Target="https://doi.org/https://doi.org/10.1111/j.1365-2419.2009.00518.x" TargetMode="External"/><Relationship Id="rId4" Type="http://schemas.openxmlformats.org/officeDocument/2006/relationships/webSettings" Target="webSettings.xml"/><Relationship Id="rId9" Type="http://schemas.openxmlformats.org/officeDocument/2006/relationships/hyperlink" Target="https://doi.org/https://doi.org/10.2989/025776101784528854" TargetMode="External"/><Relationship Id="rId14" Type="http://schemas.openxmlformats.org/officeDocument/2006/relationships/hyperlink" Target="https://doi.org/https://doi.org/10.1006/jmsc.2000.0712" TargetMode="External"/><Relationship Id="rId22" Type="http://schemas.openxmlformats.org/officeDocument/2006/relationships/hyperlink" Target="https://doi.org/https://doi.org/10.1577/M04-096.1" TargetMode="External"/><Relationship Id="rId27" Type="http://schemas.openxmlformats.org/officeDocument/2006/relationships/hyperlink" Target="https://doi.org/http://dx.doi.org/10.4236/nr.2016.74018" TargetMode="External"/><Relationship Id="rId30" Type="http://schemas.openxmlformats.org/officeDocument/2006/relationships/hyperlink" Target="https://doi.org/https://doi.org/10.1006/jmsc.2000.0570" TargetMode="External"/><Relationship Id="rId35" Type="http://schemas.openxmlformats.org/officeDocument/2006/relationships/hyperlink" Target="https://doi.org/https://doi.org/10.3354/meps12806" TargetMode="External"/><Relationship Id="rId43" Type="http://schemas.openxmlformats.org/officeDocument/2006/relationships/hyperlink" Target="https://doi.org/https://doi.org/10.1073/pnas.0711777105" TargetMode="External"/><Relationship Id="rId48" Type="http://schemas.openxmlformats.org/officeDocument/2006/relationships/hyperlink" Target="https://doi.org/https://doi.org/10.1002/eap.1458" TargetMode="External"/><Relationship Id="rId8" Type="http://schemas.openxmlformats.org/officeDocument/2006/relationships/hyperlink" Target="https://doi.org/https://doi.org/10.1016/j.pocean.2011.11.015" TargetMode="External"/><Relationship Id="rId51" Type="http://schemas.openxmlformats.org/officeDocument/2006/relationships/hyperlink" Target="https://doi.org/https://doi.org/10.1080/01621459.2016.1180986" TargetMode="External"/><Relationship Id="rId3" Type="http://schemas.openxmlformats.org/officeDocument/2006/relationships/settings" Target="settings.xml"/><Relationship Id="rId12" Type="http://schemas.openxmlformats.org/officeDocument/2006/relationships/hyperlink" Target="https://doi.org/https://doi.org/10.1146/annurev-marine-122414-033819" TargetMode="External"/><Relationship Id="rId17" Type="http://schemas.openxmlformats.org/officeDocument/2006/relationships/hyperlink" Target="https://doi.org/https://doi.org/10.1016/j.fishres.2005.12.003" TargetMode="External"/><Relationship Id="rId25" Type="http://schemas.openxmlformats.org/officeDocument/2006/relationships/hyperlink" Target="https://doi.org/https://doi.org/10.1007/s12601-010-0003-6" TargetMode="External"/><Relationship Id="rId33" Type="http://schemas.openxmlformats.org/officeDocument/2006/relationships/hyperlink" Target="https://doi.org/https://doi.org/10.1029/2004GL019652" TargetMode="External"/><Relationship Id="rId38" Type="http://schemas.openxmlformats.org/officeDocument/2006/relationships/hyperlink" Target="https://doi.org/https://dx.doi.org/10.7755/MFR.76.3.3" TargetMode="External"/><Relationship Id="rId46" Type="http://schemas.openxmlformats.org/officeDocument/2006/relationships/hyperlink" Target="https://doi.org/https://doi.org/10.1016/0165-7836(95)00389-4" TargetMode="External"/><Relationship Id="rId20" Type="http://schemas.openxmlformats.org/officeDocument/2006/relationships/hyperlink" Target="https://doi.org/https://doi.org/10.1016/j.jmarsys.2008.04.002" TargetMode="External"/><Relationship Id="rId41" Type="http://schemas.openxmlformats.org/officeDocument/2006/relationships/hyperlink" Target="https://doi.org/https://doi.org/10.21276/ije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21077/ijf.2018.65.1.69105-08" TargetMode="External"/><Relationship Id="rId23" Type="http://schemas.openxmlformats.org/officeDocument/2006/relationships/hyperlink" Target="https://doi.org/https://doi.org/10.32614/RJ-2012-002" TargetMode="External"/><Relationship Id="rId28" Type="http://schemas.openxmlformats.org/officeDocument/2006/relationships/hyperlink" Target="https://doi.org/https://doi.org/10.1139/cjfas-2012-0211" TargetMode="External"/><Relationship Id="rId36" Type="http://schemas.openxmlformats.org/officeDocument/2006/relationships/hyperlink" Target="https://doi.org/https://doi.org/10.1016/S0278-4343(98)00104-6" TargetMode="External"/><Relationship Id="rId49" Type="http://schemas.openxmlformats.org/officeDocument/2006/relationships/hyperlink" Target="https://doi.org/https://doi.org/10.5194/bg-14-154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49</Pages>
  <Words>12742</Words>
  <Characters>72634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85206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89</cp:revision>
  <cp:lastPrinted>2020-04-17T23:45:00Z</cp:lastPrinted>
  <dcterms:created xsi:type="dcterms:W3CDTF">2020-04-06T17:52:00Z</dcterms:created>
  <dcterms:modified xsi:type="dcterms:W3CDTF">2020-04-21T01:45:00Z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