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44"/>
        </w:rPr>
        <w:t>NorthstarFI — Vision</w:t>
      </w:r>
    </w:p>
    <w:p>
      <w:pPr>
        <w:spacing w:after="120"/>
      </w:pPr>
      <w:r>
        <w:rPr>
          <w:i/>
          <w:color w:val="606060"/>
          <w:sz w:val="19"/>
        </w:rPr>
        <w:t>Dallas AI Summer Camp  ·  Team 5  ·  v1 (2026-06-20)</w:t>
      </w:r>
    </w:p>
    <w:p>
      <w:pPr>
        <w:spacing w:before="200" w:after="60"/>
      </w:pPr>
      <w:r>
        <w:rPr>
          <w:b/>
          <w:color w:val="1F3A5F"/>
          <w:sz w:val="26"/>
        </w:rPr>
        <w:t>The intent</w:t>
      </w:r>
    </w:p>
    <w:p>
      <w:pPr>
        <w:spacing w:after="80"/>
      </w:pPr>
      <w:r>
        <w:t>Most people chasing FIRE (Financial Independence, Retire Early) don’t fail for lack of a calculator — they fail because no one ever challenges the assumptions their plan quietly rests on. They punch in “4% withdrawal, 7% returns, retire at 50,” get a confident number back, and walk away believing a forecast that was never stress-tested.</w:t>
      </w:r>
    </w:p>
    <w:p>
      <w:pPr>
        <w:spacing w:after="80"/>
      </w:pPr>
      <w:r>
        <w:rPr>
          <w:b/>
        </w:rPr>
        <w:t>NorthstarFI is a thinking partner that stress-tests your FIRE plan.</w:t>
      </w:r>
      <w:r>
        <w:t xml:space="preserve"> It surfaces the assumptions you didn’t realize were assumptions, shows you how fragile or robust your plan is when they’re perturbed, and helps you rebuild a more defensible belief — grounded in real research, every claim cited. It is a curious, well-read friend who has done the homework, </w:t>
      </w:r>
      <w:r>
        <w:rPr>
          <w:b/>
        </w:rPr>
        <w:t>not</w:t>
      </w:r>
      <w:r>
        <w:t xml:space="preserve"> a fiduciary financial advisor.</w:t>
      </w:r>
    </w:p>
    <w:p>
      <w:pPr>
        <w:spacing w:before="200" w:after="60"/>
      </w:pPr>
      <w:r>
        <w:rPr>
          <w:b/>
          <w:color w:val="1F3A5F"/>
          <w:sz w:val="26"/>
        </w:rPr>
        <w:t>Objectives</w:t>
      </w:r>
    </w:p>
    <w:p>
      <w:pPr>
        <w:pStyle w:val="ListNumber"/>
        <w:spacing w:after="40"/>
      </w:pPr>
      <w:r>
        <w:rPr>
          <w:b/>
        </w:rPr>
        <w:t xml:space="preserve">Reveal hidden assumptions. </w:t>
      </w:r>
      <w:r>
        <w:rPr>
          <w:b w:val="0"/>
        </w:rPr>
        <w:t>Identify the beliefs in a user’s plan most likely to be wrong — especially structural ones hiding inside familiar rules (e.g. the constant-spending assumption baked into the 4% rule).</w:t>
      </w:r>
    </w:p>
    <w:p>
      <w:pPr>
        <w:pStyle w:val="ListNumber"/>
        <w:spacing w:after="40"/>
      </w:pPr>
      <w:r>
        <w:rPr>
          <w:b/>
        </w:rPr>
        <w:t xml:space="preserve">Stress-test, transparently. </w:t>
      </w:r>
      <w:r>
        <w:rPr>
          <w:b w:val="0"/>
        </w:rPr>
        <w:t>Compute how the plan holds up when key assumptions are perturbed, using deterministic math the user can trust and trace.</w:t>
      </w:r>
    </w:p>
    <w:p>
      <w:pPr>
        <w:pStyle w:val="ListNumber"/>
        <w:spacing w:after="40"/>
      </w:pPr>
      <w:r>
        <w:rPr>
          <w:b/>
        </w:rPr>
        <w:t xml:space="preserve">Reflect and correct, never prescribe. </w:t>
      </w:r>
      <w:r>
        <w:rPr>
          <w:b w:val="0"/>
        </w:rPr>
        <w:t>Mirror the user’s belief back, explain what the evidence says, and guide them toward a sounder framing — without telling them what to do with their money.</w:t>
      </w:r>
    </w:p>
    <w:p>
      <w:pPr>
        <w:pStyle w:val="ListNumber"/>
        <w:spacing w:after="40"/>
      </w:pPr>
      <w:r>
        <w:rPr>
          <w:b/>
        </w:rPr>
        <w:t xml:space="preserve">Ground every claim. </w:t>
      </w:r>
      <w:r>
        <w:rPr>
          <w:b w:val="0"/>
        </w:rPr>
        <w:t>Draw only from an approved, cited research corpus; show the source. If there is none, say so.</w:t>
      </w:r>
    </w:p>
    <w:p>
      <w:pPr>
        <w:pStyle w:val="ListNumber"/>
        <w:spacing w:after="40"/>
      </w:pPr>
      <w:r>
        <w:rPr>
          <w:b/>
        </w:rPr>
        <w:t xml:space="preserve">Ship a working prototype </w:t>
      </w:r>
      <w:r>
        <w:rPr>
          <w:b w:val="0"/>
        </w:rPr>
        <w:t>by the July 25 showcase.</w:t>
      </w:r>
    </w:p>
    <w:p>
      <w:pPr>
        <w:spacing w:before="200" w:after="60"/>
      </w:pPr>
      <w:r>
        <w:rPr>
          <w:b/>
          <w:color w:val="1F3A5F"/>
          <w:sz w:val="26"/>
        </w:rPr>
        <w:t>Approach</w:t>
      </w:r>
    </w:p>
    <w:p>
      <w:pPr>
        <w:pStyle w:val="ListBullet"/>
        <w:spacing w:after="40"/>
      </w:pPr>
      <w:r>
        <w:rPr>
          <w:b/>
        </w:rPr>
        <w:t xml:space="preserve">AI explains; Python calculates. </w:t>
      </w:r>
      <w:r>
        <w:rPr>
          <w:b w:val="0"/>
        </w:rPr>
        <w:t>All financial math runs in deterministic Python. The language model only interprets results and converses — it never invents numbers.</w:t>
      </w:r>
    </w:p>
    <w:p>
      <w:pPr>
        <w:pStyle w:val="ListBullet"/>
        <w:spacing w:after="40"/>
      </w:pPr>
      <w:r>
        <w:rPr>
          <w:b/>
        </w:rPr>
        <w:t xml:space="preserve">Bounded research, not the open web. </w:t>
      </w:r>
      <w:r>
        <w:rPr>
          <w:b w:val="0"/>
        </w:rPr>
        <w:t>A curated corpus of credible sources (Trinity Study, Bengen, Pfau, Bogleheads, IRS limits, return tables) backs every factual statement.</w:t>
      </w:r>
    </w:p>
    <w:p>
      <w:pPr>
        <w:pStyle w:val="ListBullet"/>
        <w:spacing w:after="40"/>
      </w:pPr>
      <w:r>
        <w:rPr>
          <w:b/>
        </w:rPr>
        <w:t xml:space="preserve">A reflect-and-correct conversation. </w:t>
      </w:r>
      <w:r>
        <w:rPr>
          <w:b w:val="0"/>
        </w:rPr>
        <w:t>Each exchange echoes the user’s belief, reveals the hidden assumption inside it (one finding, one citation), and returns a question so the user reaches the insight themselves — one challenge at a time.</w:t>
      </w:r>
    </w:p>
    <w:p>
      <w:pPr>
        <w:pStyle w:val="ListBullet"/>
        <w:spacing w:after="40"/>
      </w:pPr>
      <w:r>
        <w:rPr>
          <w:b/>
        </w:rPr>
        <w:t xml:space="preserve">Guardrails in code, copy, and tests. </w:t>
      </w:r>
      <w:r>
        <w:rPr>
          <w:b w:val="0"/>
        </w:rPr>
        <w:t>The “not advice” boundary is enforced three ways: the model cannot compute or prescribe, the output format rejects dollar figures and action verbs, and an adversarial test set checks that “correct” never drifts into “you should.”</w:t>
      </w:r>
    </w:p>
    <w:p>
      <w:pPr>
        <w:pStyle w:val="ListBullet"/>
        <w:spacing w:after="40"/>
      </w:pPr>
      <w:r>
        <w:rPr>
          <w:b/>
        </w:rPr>
        <w:t xml:space="preserve">Lean, boring stack. </w:t>
      </w:r>
      <w:r>
        <w:rPr>
          <w:b w:val="0"/>
        </w:rPr>
        <w:t>Python, Streamlit, SQLite, a small local vector store, and a low-cost LLM (e.g. GPT-4o-mini). Built test-first, deterministic parts first.</w:t>
      </w:r>
    </w:p>
    <w:p>
      <w:pPr>
        <w:spacing w:before="200" w:after="60"/>
      </w:pPr>
      <w:r>
        <w:rPr>
          <w:b/>
          <w:color w:val="1F3A5F"/>
          <w:sz w:val="26"/>
        </w:rPr>
        <w:t>Why this matters (justification)</w:t>
      </w:r>
    </w:p>
    <w:p>
      <w:pPr>
        <w:pStyle w:val="ListBullet"/>
        <w:spacing w:after="40"/>
      </w:pPr>
      <w:r>
        <w:rPr>
          <w:b/>
        </w:rPr>
        <w:t xml:space="preserve">The market is crowded with calculators and empty of partners. </w:t>
      </w:r>
      <w:r>
        <w:rPr>
          <w:b w:val="0"/>
        </w:rPr>
        <w:t>cFIREsim, ProjectionLab, Boldin, and “ask ChatGPT” all compute. None pressure-test what the user already believes. The open gap is comprehension and confidence, not arithmetic.</w:t>
      </w:r>
    </w:p>
    <w:p>
      <w:pPr>
        <w:pStyle w:val="ListBullet"/>
        <w:spacing w:after="40"/>
      </w:pPr>
      <w:r>
        <w:rPr>
          <w:b/>
        </w:rPr>
        <w:t xml:space="preserve">Transparency builds trust where money meets anxiety. </w:t>
      </w:r>
      <w:r>
        <w:rPr>
          <w:b w:val="0"/>
        </w:rPr>
        <w:t>Separating trustworthy math from explanation, and citing every claim, makes the tool credible without pretending to be an advisor.</w:t>
      </w:r>
    </w:p>
    <w:p>
      <w:pPr>
        <w:pStyle w:val="ListBullet"/>
        <w:spacing w:after="40"/>
      </w:pPr>
      <w:r>
        <w:rPr>
          <w:b/>
        </w:rPr>
        <w:t xml:space="preserve">The constraint is the strategy. </w:t>
      </w:r>
      <w:r>
        <w:rPr>
          <w:b w:val="0"/>
        </w:rPr>
        <w:t>“Not a fiduciary” keeps us out of regulatory scope and pushes us toward the more valuable role — helping users think, not deciding for them.</w:t>
      </w:r>
    </w:p>
    <w:p>
      <w:pPr>
        <w:pStyle w:val="ListBullet"/>
        <w:spacing w:after="40"/>
      </w:pPr>
      <w:r>
        <w:rPr>
          <w:b/>
        </w:rPr>
        <w:t xml:space="preserve">It fits the timeline and budget. </w:t>
      </w:r>
      <w:r>
        <w:rPr>
          <w:b w:val="0"/>
        </w:rPr>
        <w:t>A focused thinking-partner prototype is achievable by a student team in six weeks; full advisory features are not — and aren’t the point.</w:t>
      </w:r>
    </w:p>
    <w:p>
      <w:pPr>
        <w:spacing w:before="200" w:after="60"/>
      </w:pPr>
      <w:r>
        <w:rPr>
          <w:b/>
          <w:color w:val="1F3A5F"/>
          <w:sz w:val="26"/>
        </w:rPr>
        <w:t>Scope boundary (for the prototype)</w:t>
      </w:r>
    </w:p>
    <w:p>
      <w:pPr>
        <w:spacing w:after="80"/>
      </w:pPr>
      <w:r>
        <w:rPr>
          <w:b/>
        </w:rPr>
        <w:t xml:space="preserve">In: </w:t>
      </w:r>
      <w:r>
        <w:t xml:space="preserve">a single FIRE-curious user enters a plan and gets personalized, cited, assumption-level pushback in conversation.  </w:t>
      </w:r>
      <w:r>
        <w:rPr>
          <w:b/>
        </w:rPr>
        <w:t xml:space="preserve">Out: </w:t>
      </w:r>
      <w:r>
        <w:t>bank/brokerage integration, account login, multi-user/household planning, live web research, mobile app, and any personalized investment recommendation.</w:t>
      </w:r>
    </w:p>
    <w:p>
      <w:pPr>
        <w:spacing w:before="200" w:after="60"/>
      </w:pPr>
      <w:r>
        <w:rPr>
          <w:b/>
          <w:color w:val="1F3A5F"/>
          <w:sz w:val="26"/>
        </w:rPr>
        <w:t>Key assumptions</w:t>
      </w:r>
    </w:p>
    <w:p>
      <w:pPr>
        <w:pStyle w:val="ListBullet"/>
        <w:spacing w:after="40"/>
      </w:pPr>
      <w:r>
        <w:t>Users have rough numbers (savings, target, age) and a few untested beliefs — but not exact, audited portfolio data. The experience must work with approximate, incomplete input.</w:t>
      </w:r>
    </w:p>
    <w:p>
      <w:pPr>
        <w:pStyle w:val="ListBullet"/>
        <w:spacing w:after="40"/>
      </w:pPr>
      <w:r>
        <w:t>A curated corpus can answer the majority of common FIRE questions; gaps are handled honestly with “I don’t have a source for that.”</w:t>
      </w:r>
    </w:p>
    <w:p>
      <w:pPr>
        <w:pStyle w:val="ListBullet"/>
        <w:spacing w:after="40"/>
      </w:pPr>
      <w:r>
        <w:t>A low-cost LLM, constrained to explanation over a structured pipeline, is reliable enough — the guardrails, not the model size, ensure safety.</w:t>
      </w:r>
    </w:p>
    <w:p>
      <w:pPr>
        <w:pStyle w:val="ListBullet"/>
        <w:spacing w:after="40"/>
      </w:pPr>
      <w:r>
        <w:t>Educational, clearly-disclaimed positioning is sufficient for a non-commercial summer prototype; no real-account integration means no live-money or compliance risk.</w:t>
      </w:r>
    </w:p>
    <w:p>
      <w:pPr>
        <w:pStyle w:val="ListBullet"/>
        <w:spacing w:after="40"/>
      </w:pPr>
      <w:r>
        <w:t>Reference data (returns, IRS limits) is point-in-time, labeled “as of” its date, and not guaranteed current.</w:t>
      </w:r>
    </w:p>
    <w:p>
      <w:pPr>
        <w:spacing w:after="40"/>
      </w:pPr>
    </w:p>
    <w:p>
      <w:pPr>
        <w:jc w:val="center"/>
      </w:pPr>
      <w:r>
        <w:rPr>
          <w:b/>
          <w:i/>
          <w:color w:val="1F3A5F"/>
          <w:sz w:val="22"/>
        </w:rPr>
        <w:t>NorthstarFI shows you what you’re betting on — so the decision stays yours.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