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60"/>
        <w:jc w:val="center"/>
      </w:pPr>
      <w:r>
        <w:rPr>
          <w:rFonts w:ascii="Times New Roman" w:cs="Times New Roman" w:eastAsia="Times New Roman" w:hAnsi="Times New Roman"/>
          <w:b/>
          <w:bCs/>
          <w:sz w:val="28"/>
          <w:szCs w:val="28"/>
        </w:rPr>
        <w:t xml:space="preserve">EchoMind: Secure Full-Duplex Retrieval-Augmented Voice and Document Intelligence for Enterprise Knowledge Work</w:t>
      </w:r>
    </w:p>
    <w:p>
      <w:pPr>
        <w:spacing w:after="100"/>
        <w:jc w:val="center"/>
      </w:pPr>
      <w:r>
        <w:rPr>
          <w:rFonts w:ascii="Times New Roman" w:cs="Times New Roman" w:eastAsia="Times New Roman" w:hAnsi="Times New Roman"/>
          <w:sz w:val="20"/>
          <w:szCs w:val="20"/>
        </w:rPr>
        <w:t xml:space="preserve">Alexander Peter</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Preetham Ganesh</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and Richard Watson</w:t>
      </w:r>
      <w:r>
        <w:rPr>
          <w:rFonts w:ascii="Times New Roman" w:cs="Times New Roman" w:eastAsia="Times New Roman" w:hAnsi="Times New Roman"/>
          <w:sz w:val="20"/>
          <w:szCs w:val="20"/>
          <w:vertAlign w:val="superscript"/>
        </w:rPr>
        <w:t xml:space="preserve">1</w:t>
      </w:r>
    </w:p>
    <w:p>
      <w:pPr>
        <w:spacing w:after="6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AJACE Inc., </w:t>
      </w:r>
      <w:r>
        <w:rPr>
          <w:rFonts w:ascii="Times New Roman" w:cs="Times New Roman" w:eastAsia="Times New Roman" w:hAnsi="Times New Roman"/>
          <w:sz w:val="18"/>
          <w:szCs w:val="18"/>
          <w:highlight w:val="yellow"/>
          <w:highlightCs w:val="yellow"/>
        </w:rPr>
        <w:t xml:space="preserve">[STREET ADDRESS], [CITY], [STATE ZIP]</w:t>
      </w:r>
      <w:r>
        <w:rPr>
          <w:rFonts w:ascii="Times New Roman" w:cs="Times New Roman" w:eastAsia="Times New Roman" w:hAnsi="Times New Roman"/>
          <w:sz w:val="18"/>
          <w:szCs w:val="18"/>
        </w:rPr>
        <w:t xml:space="preserve">, United States</w:t>
      </w:r>
    </w:p>
    <w:p>
      <w:pPr>
        <w:spacing w:after="240"/>
        <w:jc w:val="center"/>
      </w:pPr>
      <w:r>
        <w:rPr>
          <w:rFonts w:ascii="Times New Roman" w:cs="Times New Roman" w:eastAsia="Times New Roman" w:hAnsi="Times New Roman"/>
          <w:sz w:val="18"/>
          <w:szCs w:val="18"/>
        </w:rPr>
        <w:t xml:space="preserve">Corresponding author: </w:t>
      </w:r>
      <w:r>
        <w:rPr>
          <w:rFonts w:ascii="Times New Roman" w:cs="Times New Roman" w:eastAsia="Times New Roman" w:hAnsi="Times New Roman"/>
          <w:sz w:val="18"/>
          <w:szCs w:val="18"/>
          <w:highlight w:val="yellow"/>
          <w:highlightCs w:val="yellow"/>
        </w:rPr>
        <w:t xml:space="preserve">[INSTITUTIONAL EMAIL]</w:t>
      </w:r>
    </w:p>
    <w:p>
      <w:pPr>
        <w:spacing w:after="120" w:line="240"/>
        <w:jc w:val="both"/>
      </w:pPr>
      <w:r>
        <w:rPr>
          <w:rFonts w:ascii="Times New Roman" w:cs="Times New Roman" w:eastAsia="Times New Roman" w:hAnsi="Times New Roman"/>
          <w:b/>
          <w:bCs/>
          <w:i w:val="false"/>
          <w:iCs w:val="false"/>
          <w:sz w:val="18"/>
          <w:szCs w:val="18"/>
        </w:rPr>
        <w:t xml:space="preserve">Abstract. </w:t>
      </w:r>
      <w:r>
        <w:rPr>
          <w:rFonts w:ascii="Times New Roman" w:cs="Times New Roman" w:eastAsia="Times New Roman" w:hAnsi="Times New Roman"/>
          <w:b w:val="false"/>
          <w:bCs w:val="false"/>
          <w:i w:val="false"/>
          <w:iCs w:val="false"/>
          <w:sz w:val="18"/>
          <w:szCs w:val="18"/>
        </w:rPr>
        <w:t xml:space="preserve">Enterprise knowledge work draws on information split between live speech — meetings, field dictations, customer calls — and durable documents such as policies, manuals, and contracts. Conventional assistants treat these separately, require cloud processing, or impose turn-based interaction. This paper presents EchoMind, a reference architecture for a secure assistant that unifies real-time transcription, retrieval-augmented question answering, semantic search, and full-duplex conversation inside an on-premises, private-cloud, or air-gapped boundary. We make three architectural contributions: a dual-loop execution model that separates a bounded-latency interaction loop from an asynchronous governed retrieval loop, with stated invariants; an instruction-precedence lattice that operationalizes the principle that retrieved content is evidence rather than authority, with permission filtering ordered strictly before candidate generation; and a unified transcript–document substrate in which spoken and written sources share one index and inherit provenance and sensitivity labels. We further contribute an evaluation framework spanning outcome correctness, grounding fidelity, interaction quality, process efficiency, compliance adherence, and adversarial robustness, together with an elicitation-and-sensitivity procedure that derives composite weights from stakeholder judgments rather than asserting them, and a latency decomposition and measurement protocol that makes the architecture reproducibly instrumentable. This paper is explicitly a reference design and evaluation methodology; the empirical claims it enables are stated as open and are the subject of ongoing work.</w:t>
      </w:r>
    </w:p>
    <w:p>
      <w:pPr>
        <w:spacing w:after="240" w:line="240"/>
        <w:jc w:val="both"/>
      </w:pPr>
      <w:r>
        <w:rPr>
          <w:rFonts w:ascii="Times New Roman" w:cs="Times New Roman" w:eastAsia="Times New Roman" w:hAnsi="Times New Roman"/>
          <w:b/>
          <w:bCs/>
          <w:i w:val="false"/>
          <w:iCs w:val="false"/>
          <w:sz w:val="18"/>
          <w:szCs w:val="18"/>
        </w:rPr>
        <w:t xml:space="preserve">Keywords: </w:t>
      </w:r>
      <w:r>
        <w:rPr>
          <w:rFonts w:ascii="Times New Roman" w:cs="Times New Roman" w:eastAsia="Times New Roman" w:hAnsi="Times New Roman"/>
          <w:b w:val="false"/>
          <w:bCs w:val="false"/>
          <w:i w:val="false"/>
          <w:iCs w:val="false"/>
          <w:sz w:val="18"/>
          <w:szCs w:val="18"/>
        </w:rPr>
        <w:t xml:space="preserve">Retrieval-augmented generation · Full-duplex speech · Enterprise AI · On-premises deployment · Prompt-injection defense · AI evaluation</w:t>
      </w:r>
    </w:p>
    <w:p>
      <w:pPr>
        <w:pStyle w:val="Heading1"/>
        <w:spacing w:after="140" w:before="300"/>
      </w:pPr>
      <w:r>
        <w:rPr>
          <w:rFonts w:ascii="Times New Roman" w:cs="Times New Roman" w:eastAsia="Times New Roman" w:hAnsi="Times New Roman"/>
          <w:b/>
          <w:bCs/>
          <w:color w:val="000000"/>
          <w:sz w:val="24"/>
          <w:szCs w:val="24"/>
        </w:rPr>
        <w:t xml:space="preserve">1  Introduction</w:t>
      </w:r>
    </w:p>
    <w:p>
      <w:pPr>
        <w:spacing w:after="120" w:line="240"/>
        <w:jc w:val="both"/>
      </w:pPr>
      <w:r>
        <w:rPr>
          <w:rFonts w:ascii="Times New Roman" w:cs="Times New Roman" w:eastAsia="Times New Roman" w:hAnsi="Times New Roman"/>
          <w:b w:val="false"/>
          <w:bCs w:val="false"/>
          <w:i w:val="false"/>
          <w:iCs w:val="false"/>
          <w:sz w:val="20"/>
          <w:szCs w:val="20"/>
        </w:rPr>
        <w:t xml:space="preserve">Organizations now generate knowledge through speech as much as through text. Meetings, site inspections, customer calls, and expert dictations produce time-sensitive content, while policies, regulations, manuals, and contracts encode durable institutional memory. An assistant that serves this mixed environment must transcribe speech, index documents, retrieve relevant context, and answer questions — without sending sensitive material outside a controlled boundary [1].</w:t>
      </w:r>
    </w:p>
    <w:p>
      <w:pPr>
        <w:spacing w:after="120" w:line="240"/>
        <w:jc w:val="both"/>
      </w:pPr>
      <w:r>
        <w:rPr>
          <w:rFonts w:ascii="Times New Roman" w:cs="Times New Roman" w:eastAsia="Times New Roman" w:hAnsi="Times New Roman"/>
          <w:b w:val="false"/>
          <w:bCs w:val="false"/>
          <w:i w:val="false"/>
          <w:iCs w:val="false"/>
          <w:sz w:val="20"/>
          <w:szCs w:val="20"/>
        </w:rPr>
        <w:t xml:space="preserve">The design problem is not simply to connect automatic speech recognition, a vector database, and a language model. Enterprise users need a system that preserves privacy, supports offline operation, respects access controls, cites its sources, and stays responsive when a user interrupts or changes direction. In regulated domains, an answer that is factually correct but discloses protected information, ignores retention policy, or obeys an instruction embedded in an uploaded file is not acceptable. These are architectural rather than model-level requirements, and they interact: permission enforcement constrains retrieval, retrieval cost constrains interactivity, and interactivity constrains how much verification can occur before the assistant speaks. Much of the design work in this paper consists of resolving those tensions explicitly rather than leaving them to prompt engineering.</w:t>
      </w:r>
    </w:p>
    <w:p>
      <w:pPr>
        <w:pStyle w:val="Heading2"/>
        <w:spacing w:after="110" w:before="220"/>
      </w:pPr>
      <w:r>
        <w:rPr>
          <w:rFonts w:ascii="Times New Roman" w:cs="Times New Roman" w:eastAsia="Times New Roman" w:hAnsi="Times New Roman"/>
          <w:b/>
          <w:bCs/>
          <w:color w:val="000000"/>
          <w:sz w:val="21"/>
          <w:szCs w:val="21"/>
        </w:rPr>
        <w:t xml:space="preserve">1.1  Scope and epistemic status of claims</w:t>
      </w:r>
    </w:p>
    <w:p>
      <w:pPr>
        <w:spacing w:after="120" w:line="240"/>
        <w:jc w:val="both"/>
      </w:pPr>
      <w:r>
        <w:rPr>
          <w:rFonts w:ascii="Times New Roman" w:cs="Times New Roman" w:eastAsia="Times New Roman" w:hAnsi="Times New Roman"/>
          <w:b w:val="false"/>
          <w:bCs w:val="false"/>
          <w:i w:val="false"/>
          <w:iCs w:val="false"/>
          <w:sz w:val="20"/>
          <w:szCs w:val="20"/>
        </w:rPr>
        <w:t xml:space="preserve">This is a reference architecture and evaluation methodology paper. It contributes a design and a measurement apparatus; it does not report a completed benchmark study. To make the status of each claim explicit, we distinguish three categories. Design claims describe how components should be arranged and why; they are argued from the requirements and threat model of Sect. 3. Derived claims, such as the latency decomposition of Sect. 7.2 and the ordering property of Sect. 6.1, follow analytically from the architecture. Empirical claims — end-to-end latency under load, grounding fidelity on real enterprise corpora, and attack success rates under red-teaming — are not established here; Sect. 7 specifies the protocol by which they are to be obtained, and Sect. 10 records them as open.</w:t>
      </w:r>
    </w:p>
    <w:p>
      <w:pPr>
        <w:spacing w:after="120" w:line="240"/>
        <w:jc w:val="both"/>
      </w:pPr>
      <w:r>
        <w:rPr>
          <w:rFonts w:ascii="Times New Roman" w:cs="Times New Roman" w:eastAsia="Times New Roman" w:hAnsi="Times New Roman"/>
          <w:b w:val="false"/>
          <w:bCs w:val="false"/>
          <w:i w:val="false"/>
          <w:iCs w:val="false"/>
          <w:sz w:val="20"/>
          <w:szCs w:val="20"/>
        </w:rPr>
        <w:t xml:space="preserve">Two sources used in this paper are not publicly available: the EchoMind technical notes [1] and the EnterpriseBench framework description [15]. We mark both in the reference list, cite them only where they describe a specific product configuration or a taxonomy we adopt, and have deliberately arranged the paper so that the architectural claims of Sects. 4–6 and the evaluation methodology of Sect. 8 stand without them. Every component-level technical claim is supported by a publicly citable source, and the evaluation framework is specified in sufficient detail that a third party can implement it without access to either document.</w:t>
      </w:r>
    </w:p>
    <w:p>
      <w:pPr>
        <w:pStyle w:val="Heading2"/>
        <w:spacing w:after="110" w:before="220"/>
      </w:pPr>
      <w:r>
        <w:rPr>
          <w:rFonts w:ascii="Times New Roman" w:cs="Times New Roman" w:eastAsia="Times New Roman" w:hAnsi="Times New Roman"/>
          <w:b/>
          <w:bCs/>
          <w:color w:val="000000"/>
          <w:sz w:val="21"/>
          <w:szCs w:val="21"/>
        </w:rPr>
        <w:t xml:space="preserve">1.2  Contributions and novelty delta</w:t>
      </w:r>
    </w:p>
    <w:p>
      <w:pPr>
        <w:spacing w:after="120" w:line="240"/>
        <w:jc w:val="both"/>
      </w:pPr>
      <w:r>
        <w:rPr>
          <w:rFonts w:ascii="Times New Roman" w:cs="Times New Roman" w:eastAsia="Times New Roman" w:hAnsi="Times New Roman"/>
          <w:b/>
          <w:bCs/>
          <w:i w:val="false"/>
          <w:iCs w:val="false"/>
          <w:sz w:val="20"/>
          <w:szCs w:val="20"/>
        </w:rPr>
        <w:t xml:space="preserve">C1. Dual-loop execution model. </w:t>
      </w:r>
      <w:r>
        <w:rPr>
          <w:rFonts w:ascii="Times New Roman" w:cs="Times New Roman" w:eastAsia="Times New Roman" w:hAnsi="Times New Roman"/>
          <w:b w:val="false"/>
          <w:bCs w:val="false"/>
          <w:i w:val="false"/>
          <w:iCs w:val="false"/>
          <w:sz w:val="20"/>
          <w:szCs w:val="20"/>
        </w:rPr>
        <w:t xml:space="preserve">We separate a bounded-latency interaction loop, which owns the audio channel and must respond within a fixed budget, from an asynchronous governed loop, which performs retrieval, multi-document synthesis, and tool invocation. We state four invariants that make this separation safe — most importantly that the interaction loop may acknowledge but may not assert content that retrieval has not yet returned — and specify how completed results are re-entered into an ongoing conversation (Sect. 4.4).</w:t>
      </w:r>
    </w:p>
    <w:p>
      <w:pPr>
        <w:spacing w:after="120" w:line="240"/>
        <w:jc w:val="both"/>
      </w:pPr>
      <w:r>
        <w:rPr>
          <w:rFonts w:ascii="Times New Roman" w:cs="Times New Roman" w:eastAsia="Times New Roman" w:hAnsi="Times New Roman"/>
          <w:b/>
          <w:bCs/>
          <w:i w:val="false"/>
          <w:iCs w:val="false"/>
          <w:sz w:val="20"/>
          <w:szCs w:val="20"/>
        </w:rPr>
        <w:t xml:space="preserve">C2. Instruction-precedence lattice for governed retrieval. </w:t>
      </w:r>
      <w:r>
        <w:rPr>
          <w:rFonts w:ascii="Times New Roman" w:cs="Times New Roman" w:eastAsia="Times New Roman" w:hAnsi="Times New Roman"/>
          <w:b w:val="false"/>
          <w:bCs w:val="false"/>
          <w:i w:val="false"/>
          <w:iCs w:val="false"/>
          <w:sz w:val="20"/>
          <w:szCs w:val="20"/>
        </w:rPr>
        <w:t xml:space="preserve">We give an explicit precedence ordering over instruction sources (system policy, tenant policy, authenticated user, retrieved content, tool output) together with an ordering property requiring permission filtering to complete before candidate generation. Together these operationalize the principle that retrieved content is evidence rather than authority, and they make prompt-injection containment a checkable structural property rather than a prompt-writing convention (Sect. 6).</w:t>
      </w:r>
    </w:p>
    <w:p>
      <w:pPr>
        <w:spacing w:after="120" w:line="240"/>
        <w:jc w:val="both"/>
      </w:pPr>
      <w:r>
        <w:rPr>
          <w:rFonts w:ascii="Times New Roman" w:cs="Times New Roman" w:eastAsia="Times New Roman" w:hAnsi="Times New Roman"/>
          <w:b/>
          <w:bCs/>
          <w:i w:val="false"/>
          <w:iCs w:val="false"/>
          <w:sz w:val="20"/>
          <w:szCs w:val="20"/>
        </w:rPr>
        <w:t xml:space="preserve">C3. Unified transcript–document substrate with label inheritance. </w:t>
      </w:r>
      <w:r>
        <w:rPr>
          <w:rFonts w:ascii="Times New Roman" w:cs="Times New Roman" w:eastAsia="Times New Roman" w:hAnsi="Times New Roman"/>
          <w:b w:val="false"/>
          <w:bCs w:val="false"/>
          <w:i w:val="false"/>
          <w:iCs w:val="false"/>
          <w:sz w:val="20"/>
          <w:szCs w:val="20"/>
        </w:rPr>
        <w:t xml:space="preserve">Transcripts and documents share a single retrieval index, and every chunk — spoken or written — carries access-control, provenance, retention, and transcription-confidence metadata, with transcripts inheriting sensitivity labels from the meeting context that produced them (Sects. 4.1 and 6.1).</w:t>
      </w:r>
    </w:p>
    <w:p>
      <w:pPr>
        <w:spacing w:after="120" w:line="240"/>
        <w:jc w:val="both"/>
      </w:pPr>
      <w:r>
        <w:rPr>
          <w:rFonts w:ascii="Times New Roman" w:cs="Times New Roman" w:eastAsia="Times New Roman" w:hAnsi="Times New Roman"/>
          <w:b/>
          <w:bCs/>
          <w:i w:val="false"/>
          <w:iCs w:val="false"/>
          <w:sz w:val="20"/>
          <w:szCs w:val="20"/>
        </w:rPr>
        <w:t xml:space="preserve">C4. Evaluation framework with a derived rather than asserted weighting. </w:t>
      </w:r>
      <w:r>
        <w:rPr>
          <w:rFonts w:ascii="Times New Roman" w:cs="Times New Roman" w:eastAsia="Times New Roman" w:hAnsi="Times New Roman"/>
          <w:b w:val="false"/>
          <w:bCs w:val="false"/>
          <w:i w:val="false"/>
          <w:iCs w:val="false"/>
          <w:sz w:val="20"/>
          <w:szCs w:val="20"/>
        </w:rPr>
        <w:t xml:space="preserve">We define six evaluation dimensions and a task suite, and — instead of asserting composite weights — specify a pairwise elicitation procedure with a consistency check, a sensitivity analysis that reports the perturbation magnitude at which system rankings reverse, and a requirement to publish per-dimension scores unaggregated (Sect. 8.3).</w:t>
      </w:r>
    </w:p>
    <w:p>
      <w:pPr>
        <w:spacing w:after="120" w:line="240"/>
        <w:jc w:val="both"/>
      </w:pPr>
      <w:r>
        <w:rPr>
          <w:rFonts w:ascii="Times New Roman" w:cs="Times New Roman" w:eastAsia="Times New Roman" w:hAnsi="Times New Roman"/>
          <w:b w:val="false"/>
          <w:bCs w:val="false"/>
          <w:i w:val="false"/>
          <w:iCs w:val="false"/>
          <w:sz w:val="20"/>
          <w:szCs w:val="20"/>
        </w:rPr>
        <w:t xml:space="preserve">We state the delta plainly, because the integrative nature of this work is easy to overstate. Whisper-class speech recognition [14], vector similarity search over PostgreSQL [13], open-weight answer models [7], full-duplex speech modeling [2, 16], and retrieval-augmented generation itself [8, 5] are existing components, and we claim no improvement to any of them. The contribution is the arrangement: which invariants hold across the components, in what order governance is applied relative to retrieval, how a low-latency conversational surface can be composed with slow governed reasoning without either weakening the other, and how such a system should be measured. Sect. 2.5 makes the delta concrete by comparing EchoMind against the closest lines of prior work on six axes.</w:t>
      </w:r>
    </w:p>
    <w:p>
      <w:pPr>
        <w:pStyle w:val="Heading1"/>
        <w:spacing w:after="140" w:before="300"/>
      </w:pPr>
      <w:r>
        <w:rPr>
          <w:rFonts w:ascii="Times New Roman" w:cs="Times New Roman" w:eastAsia="Times New Roman" w:hAnsi="Times New Roman"/>
          <w:b/>
          <w:bCs/>
          <w:color w:val="000000"/>
          <w:sz w:val="24"/>
          <w:szCs w:val="24"/>
        </w:rPr>
        <w:t xml:space="preserve">2  Related Work and Positioning</w:t>
      </w:r>
    </w:p>
    <w:p>
      <w:pPr>
        <w:pStyle w:val="Heading2"/>
        <w:spacing w:after="110" w:before="220"/>
      </w:pPr>
      <w:r>
        <w:rPr>
          <w:rFonts w:ascii="Times New Roman" w:cs="Times New Roman" w:eastAsia="Times New Roman" w:hAnsi="Times New Roman"/>
          <w:b/>
          <w:bCs/>
          <w:color w:val="000000"/>
          <w:sz w:val="21"/>
          <w:szCs w:val="21"/>
        </w:rPr>
        <w:t xml:space="preserve">2.1  Retrieval-augmented enterprise assistants</w:t>
      </w:r>
    </w:p>
    <w:p>
      <w:pPr>
        <w:spacing w:after="120" w:line="240"/>
        <w:jc w:val="both"/>
      </w:pPr>
      <w:r>
        <w:rPr>
          <w:rFonts w:ascii="Times New Roman" w:cs="Times New Roman" w:eastAsia="Times New Roman" w:hAnsi="Times New Roman"/>
          <w:b w:val="false"/>
          <w:bCs w:val="false"/>
          <w:i w:val="false"/>
          <w:iCs w:val="false"/>
          <w:sz w:val="20"/>
          <w:szCs w:val="20"/>
        </w:rPr>
        <w:t xml:space="preserve">Retrieval-augmented generation connects a generative model to an external knowledge source so that answers are grounded in retrieved passages rather than in parametric memory alone [8]; the design space has since broadened considerably across indexing, retrieval, and generation strategies [5]. EchoMind applies this pattern to enterprise content by ingesting documents, transcripts, and connected data sources, generating embeddings, and storing text and vectors in a local PostgreSQL-compatible store with vector indexing [13].</w:t>
      </w:r>
    </w:p>
    <w:p>
      <w:pPr>
        <w:spacing w:after="120" w:line="240"/>
        <w:jc w:val="both"/>
      </w:pPr>
      <w:r>
        <w:rPr>
          <w:rFonts w:ascii="Times New Roman" w:cs="Times New Roman" w:eastAsia="Times New Roman" w:hAnsi="Times New Roman"/>
          <w:b w:val="false"/>
          <w:bCs w:val="false"/>
          <w:i w:val="false"/>
          <w:iCs w:val="false"/>
          <w:sz w:val="20"/>
          <w:szCs w:val="20"/>
        </w:rPr>
        <w:t xml:space="preserve">For enterprise use, retrieval augmentation is necessary but not sufficient. The retrieval layer must enforce document permissions, preserve provenance, provide citations, and retain auditable traces of the passages and tools used to produce an answer. EchoMind therefore treats retrieval as a governed workflow rather than a lookup, an argument developed in Sect. 6.</w:t>
      </w:r>
    </w:p>
    <w:p>
      <w:pPr>
        <w:pStyle w:val="Heading2"/>
        <w:spacing w:after="110" w:before="220"/>
      </w:pPr>
      <w:r>
        <w:rPr>
          <w:rFonts w:ascii="Times New Roman" w:cs="Times New Roman" w:eastAsia="Times New Roman" w:hAnsi="Times New Roman"/>
          <w:b/>
          <w:bCs/>
          <w:color w:val="000000"/>
          <w:sz w:val="21"/>
          <w:szCs w:val="21"/>
        </w:rPr>
        <w:t xml:space="preserve">2.2  Full-duplex speech and role conditioning</w:t>
      </w:r>
    </w:p>
    <w:p>
      <w:pPr>
        <w:spacing w:after="120" w:line="240"/>
        <w:jc w:val="both"/>
      </w:pPr>
      <w:r>
        <w:rPr>
          <w:rFonts w:ascii="Times New Roman" w:cs="Times New Roman" w:eastAsia="Times New Roman" w:hAnsi="Times New Roman"/>
          <w:b w:val="false"/>
          <w:bCs w:val="false"/>
          <w:i w:val="false"/>
          <w:iCs w:val="false"/>
          <w:sz w:val="20"/>
          <w:szCs w:val="20"/>
        </w:rPr>
        <w:t xml:space="preserve">Cascaded voice assistants chain speech recognition, language-model reasoning, and speech synthesis as separate components. The arrangement is practical, but it discards paralinguistic information and assumes turn-by-turn exchange. Full-duplex speech models instead support simultaneous listening and speaking, enabling interruption, backchannels, and smoother turn taking [2], and dedicated benchmarks now exist for these turn-taking capabilities [9]. PersonaPlex extends this line with hybrid system prompts that combine text-based role conditioning and audio-based voice conditioning [16].</w:t>
      </w:r>
    </w:p>
    <w:p>
      <w:pPr>
        <w:spacing w:after="120" w:line="240"/>
        <w:jc w:val="both"/>
      </w:pPr>
      <w:r>
        <w:rPr>
          <w:rFonts w:ascii="Times New Roman" w:cs="Times New Roman" w:eastAsia="Times New Roman" w:hAnsi="Times New Roman"/>
          <w:b w:val="false"/>
          <w:bCs w:val="false"/>
          <w:i w:val="false"/>
          <w:iCs w:val="false"/>
          <w:sz w:val="20"/>
          <w:szCs w:val="20"/>
        </w:rPr>
        <w:t xml:space="preserve">Role conditioning is directly relevant to enterprise deployment, where an assistant must hold a scope as well as answer a question: a legal-review assistant should decline medical questions, a field-maintenance copilot should escalate safety-critical findings, and a research aide should separate source summaries from its own inferences. EchoMind adopts the hybrid-prompt idea at the interaction layer, but reinterprets role conditioning as policy enforcement rather than persona styling (Sect. 5).</w:t>
      </w:r>
    </w:p>
    <w:p>
      <w:pPr>
        <w:pStyle w:val="Heading2"/>
        <w:spacing w:after="110" w:before="220"/>
      </w:pPr>
      <w:r>
        <w:rPr>
          <w:rFonts w:ascii="Times New Roman" w:cs="Times New Roman" w:eastAsia="Times New Roman" w:hAnsi="Times New Roman"/>
          <w:b/>
          <w:bCs/>
          <w:color w:val="000000"/>
          <w:sz w:val="21"/>
          <w:szCs w:val="21"/>
        </w:rPr>
        <w:t xml:space="preserve">2.3  Interaction models and the collaboration bottleneck</w:t>
      </w:r>
    </w:p>
    <w:p>
      <w:pPr>
        <w:spacing w:after="120" w:line="240"/>
        <w:jc w:val="both"/>
      </w:pPr>
      <w:r>
        <w:rPr>
          <w:rFonts w:ascii="Times New Roman" w:cs="Times New Roman" w:eastAsia="Times New Roman" w:hAnsi="Times New Roman"/>
          <w:b w:val="false"/>
          <w:bCs w:val="false"/>
          <w:i w:val="false"/>
          <w:iCs w:val="false"/>
          <w:sz w:val="20"/>
          <w:szCs w:val="20"/>
        </w:rPr>
        <w:t xml:space="preserve">Thinking Machines Lab identifies a collaboration bottleneck in turn-based interfaces: users cannot fully specify requirements upfront, and models freeze perception while generating. The proposed remedy treats audio, video, and text as continuous streams processed in short micro-turns so that perception and response occur in one loop [18]. This framing motivates C1: enterprise work is situated and interruptible, and an assistant that cannot be corrected mid-answer imposes the cost of its own latency on the user. Our contribution relative to [18] is not the streaming idea but the safety analysis of splitting the loop when the slow half is a permissioned retrieval pipeline.</w:t>
      </w:r>
    </w:p>
    <w:p>
      <w:pPr>
        <w:pStyle w:val="Heading2"/>
        <w:spacing w:after="110" w:before="220"/>
      </w:pPr>
      <w:r>
        <w:rPr>
          <w:rFonts w:ascii="Times New Roman" w:cs="Times New Roman" w:eastAsia="Times New Roman" w:hAnsi="Times New Roman"/>
          <w:b/>
          <w:bCs/>
          <w:color w:val="000000"/>
          <w:sz w:val="21"/>
          <w:szCs w:val="21"/>
        </w:rPr>
        <w:t xml:space="preserve">2.4  Enterprise agentic evaluation</w:t>
      </w:r>
    </w:p>
    <w:p>
      <w:pPr>
        <w:spacing w:after="120" w:line="240"/>
        <w:jc w:val="both"/>
      </w:pPr>
      <w:r>
        <w:rPr>
          <w:rFonts w:ascii="Times New Roman" w:cs="Times New Roman" w:eastAsia="Times New Roman" w:hAnsi="Times New Roman"/>
          <w:b w:val="false"/>
          <w:bCs w:val="false"/>
          <w:i w:val="false"/>
          <w:iCs w:val="false"/>
          <w:sz w:val="20"/>
          <w:szCs w:val="20"/>
        </w:rPr>
        <w:t xml:space="preserve">EnterpriseBench argues that agentic evaluation should go beyond final-answer accuracy, because production agents plan, use tools, maintain state, and face adversarial input; it scores across outcome correctness, process quality, and compliance adherence [15]. We adopt that three-part decomposition and extend it with grounding fidelity and interaction quality, which a document-and-voice assistant requires and which a text-only agentic benchmark does not measure. Automated grounding metrics for retrieval-augmented systems provide a starting point for the grounding dimension [3]. For governance framing we align the compliance dimension with the NIST AI Risk Management Framework's measure and manage functions [10].</w:t>
      </w:r>
    </w:p>
    <w:p>
      <w:pPr>
        <w:pStyle w:val="Heading2"/>
        <w:spacing w:after="110" w:before="220"/>
      </w:pPr>
      <w:r>
        <w:rPr>
          <w:rFonts w:ascii="Times New Roman" w:cs="Times New Roman" w:eastAsia="Times New Roman" w:hAnsi="Times New Roman"/>
          <w:b/>
          <w:bCs/>
          <w:color w:val="000000"/>
          <w:sz w:val="21"/>
          <w:szCs w:val="21"/>
        </w:rPr>
        <w:t xml:space="preserve">2.5  Positioning</w:t>
      </w:r>
    </w:p>
    <w:p>
      <w:pPr>
        <w:spacing w:after="80" w:before="200" w:line="240"/>
        <w:jc w:val="left"/>
      </w:pPr>
      <w:r>
        <w:rPr>
          <w:rFonts w:ascii="Times New Roman" w:cs="Times New Roman" w:eastAsia="Times New Roman" w:hAnsi="Times New Roman"/>
          <w:b/>
          <w:bCs/>
          <w:sz w:val="17"/>
          <w:szCs w:val="17"/>
        </w:rPr>
        <w:t xml:space="preserve">Table 1 </w:t>
      </w:r>
      <w:r>
        <w:rPr>
          <w:rFonts w:ascii="Times New Roman" w:cs="Times New Roman" w:eastAsia="Times New Roman" w:hAnsi="Times New Roman"/>
          <w:sz w:val="17"/>
          <w:szCs w:val="17"/>
        </w:rPr>
        <w:t xml:space="preserve">Positioning of EchoMind against the closest lines of prior work. “Partial” indicates the capability is present but not governed or not integrated with the other columns.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900"/>
        <w:gridCol w:w="1100"/>
        <w:gridCol w:w="1100"/>
        <w:gridCol w:w="1200"/>
        <w:gridCol w:w="15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Line of work</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Duplex voice</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Document retrieval</w:t>
            </w:r>
          </w:p>
        </w:tc>
        <w:tc>
          <w:tcPr>
            <w:tcW w:type="dxa" w:w="11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Local / air-gapped</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Permission-aware retrieval</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Instruction precedence over retrieved text</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Cascaded voice assistants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speech models [2, 16]</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RAG systems [8, 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Agentic enterprise benchmarks [15]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n/a</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Evaluated</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EchoMind (this paper)</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1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ordered before ranking</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explicit lattice</w:t>
            </w:r>
          </w:p>
        </w:tc>
      </w:tr>
    </w:tbl>
    <w:p>
      <w:pPr>
        <w:pStyle w:val="Heading1"/>
        <w:spacing w:after="140" w:before="300"/>
      </w:pPr>
      <w:r>
        <w:rPr>
          <w:rFonts w:ascii="Times New Roman" w:cs="Times New Roman" w:eastAsia="Times New Roman" w:hAnsi="Times New Roman"/>
          <w:b/>
          <w:bCs/>
          <w:color w:val="000000"/>
          <w:sz w:val="24"/>
          <w:szCs w:val="24"/>
        </w:rPr>
        <w:t xml:space="preserve">3  Requirements and Threat Model</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targets environments where data sensitivity and operational continuity both matter. Documents, transcripts, embeddings, and conversation history remain in a local data store, with deployment options spanning turnkey on-premises appliances, containerized bring-your-own-hardware installations, and controlled private-cloud environments [1]. Architecture and governance are therefore inseparable, which is why the requirements in Table 2 are stated with their system implications rather than as aspirations.</w:t>
      </w:r>
    </w:p>
    <w:p>
      <w:pPr>
        <w:spacing w:after="120" w:line="240"/>
        <w:jc w:val="both"/>
      </w:pPr>
      <w:r>
        <w:rPr>
          <w:rFonts w:ascii="Times New Roman" w:cs="Times New Roman" w:eastAsia="Times New Roman" w:hAnsi="Times New Roman"/>
          <w:b w:val="false"/>
          <w:bCs w:val="false"/>
          <w:i w:val="false"/>
          <w:iCs w:val="false"/>
          <w:sz w:val="20"/>
          <w:szCs w:val="20"/>
        </w:rPr>
        <w:t xml:space="preserve">We assume an adversary who can (A1) place content into a document that will be ingested, or speak into a meeting that will be transcribed; (A2) hold a valid but low-privilege account on the deployment; and (A3) observe the assistant's outputs, including timing and refusal behavior. We do not assume (A4) compromise of the underlying infrastructure or (A5) tampering with model weights; both are real risks, but they are addressed by controls outside this architecture and we do not claim defenses against them. Under A1–A3 the salient threats are indirect prompt injection through retrieved content [6, 12], document poisoning, unauthorized retrieval through permission bypass, exfiltration through tool calls, and hallucinated assertions presented with unwarranted confidence. In voice settings we add speaker confusion, misattribution across turns, low-confidence transcription treated as fact, and unsafe utterances emitted during interruption handling.</w:t>
      </w:r>
    </w:p>
    <w:p>
      <w:pPr>
        <w:spacing w:after="80" w:before="200" w:line="240"/>
        <w:jc w:val="left"/>
      </w:pPr>
      <w:r>
        <w:rPr>
          <w:rFonts w:ascii="Times New Roman" w:cs="Times New Roman" w:eastAsia="Times New Roman" w:hAnsi="Times New Roman"/>
          <w:b/>
          <w:bCs/>
          <w:sz w:val="17"/>
          <w:szCs w:val="17"/>
        </w:rPr>
        <w:t xml:space="preserve">Table 2 </w:t>
      </w:r>
      <w:r>
        <w:rPr>
          <w:rFonts w:ascii="Times New Roman" w:cs="Times New Roman" w:eastAsia="Times New Roman" w:hAnsi="Times New Roman"/>
          <w:sz w:val="17"/>
          <w:szCs w:val="17"/>
        </w:rPr>
        <w:t xml:space="preserve">EchoMind design requirements and their system implications.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800"/>
        <w:gridCol w:w="2600"/>
        <w:gridCol w:w="2970"/>
      </w:tblGrid>
      <w:tr>
        <w:trPr>
          <w:tblHeader/>
        </w:trPr>
        <w:tc>
          <w:tcPr>
            <w:tcW w:type="dxa" w:w="1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Requirement</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Enterprise rationale</w:t>
            </w:r>
          </w:p>
        </w:tc>
        <w:tc>
          <w:tcPr>
            <w:tcW w:type="dxa" w:w="2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implication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Privacy-preserving operation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Audio and documents may contain regulated or proprietary data.</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models, transcripts, embeddings, and indexes inside the controlled local or private-cloud boundary.</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Grounded answers</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Users need verifiable answers rather than fluent but unsupported text.</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Return source passages, document identifiers, and a traceable retrieval context with every assertion.</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collaboration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Knowledge work requires clarification, interruption, and mixed speech/text flow.</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interaction with barge-in and backchannels, backed by asynchronous retrieval (Sect. 4.4).</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Operational integration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Workflows span APIs, databases, files, calendars, and ticketing systems.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Expose scoped, allowlisted APIs and containerized services that integrate with existing IT systems.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and auditability</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Legal, healthcare, finance, and government workflows need traceable decisions.</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Log tool calls, retrieved context, access decisions, generated outputs, and user confirmations.</w:t>
            </w:r>
          </w:p>
        </w:tc>
      </w:tr>
      <w:tr>
        <w:trPr>
          <w:tblHeader w:val="false"/>
        </w:trPr>
        <w:tc>
          <w:tcPr>
            <w:tcW w:type="dxa" w:w="1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and edge 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Remote sites and secure facilities may have limited or prohibited connectivity.</w:t>
            </w:r>
          </w:p>
        </w:tc>
        <w:tc>
          <w:tcPr>
            <w:tcW w:type="dxa" w:w="2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Support air-gapped or intermittently connected deployments with local models and local storage.</w:t>
            </w:r>
          </w:p>
        </w:tc>
      </w:tr>
    </w:tbl>
    <w:p>
      <w:pPr>
        <w:pStyle w:val="Heading1"/>
        <w:spacing w:after="140" w:before="300"/>
      </w:pPr>
      <w:r>
        <w:rPr>
          <w:rFonts w:ascii="Times New Roman" w:cs="Times New Roman" w:eastAsia="Times New Roman" w:hAnsi="Times New Roman"/>
          <w:b/>
          <w:bCs/>
          <w:color w:val="000000"/>
          <w:sz w:val="24"/>
          <w:szCs w:val="24"/>
        </w:rPr>
        <w:t xml:space="preserve">4  EchoMind Architecture</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a layered architecture for private multimodal retrieval augmentation. Lower layers ingest and normalize enterprise inputs; middle layers perform transcription, embedding, storage, retrieval, and generation; upper layers provide the conversational interface, voice interaction, and enterprise APIs. Fig. 1 summarizes the reference architecture, and Table 3 lists the layers and their responsibilities.</w:t>
      </w:r>
    </w:p>
    <w:p>
      <w:pPr>
        <w:spacing w:after="60" w:before="200"/>
        <w:jc w:val="center"/>
      </w:pPr>
      <w:r>
        <w:drawing>
          <wp:inline distT="0" distB="0" distL="0" distR="0">
            <wp:extent cx="4381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33625"/>
                    </a:xfrm>
                    <a:prstGeom prst="rect">
                      <a:avLst/>
                    </a:prstGeom>
                  </pic:spPr>
                </pic:pic>
              </a:graphicData>
            </a:graphic>
          </wp:inline>
        </w:drawing>
      </w:r>
    </w:p>
    <w:p>
      <w:pPr>
        <w:spacing w:after="80" w:before="0" w:line="240"/>
        <w:jc w:val="left"/>
      </w:pPr>
      <w:r>
        <w:rPr>
          <w:rFonts w:ascii="Times New Roman" w:cs="Times New Roman" w:eastAsia="Times New Roman" w:hAnsi="Times New Roman"/>
          <w:b/>
          <w:bCs/>
          <w:sz w:val="17"/>
          <w:szCs w:val="17"/>
        </w:rPr>
        <w:t xml:space="preserve">Fig. 1 </w:t>
      </w:r>
      <w:r>
        <w:rPr>
          <w:rFonts w:ascii="Times New Roman" w:cs="Times New Roman" w:eastAsia="Times New Roman" w:hAnsi="Times New Roman"/>
          <w:sz w:val="17"/>
          <w:szCs w:val="17"/>
        </w:rPr>
        <w:t xml:space="preserve">EchoMind reference architecture for private, full-duplex, retrieval-augmented enterprise assistance.</w:t>
      </w:r>
    </w:p>
    <w:p>
      <w:pPr>
        <w:pStyle w:val="Heading2"/>
        <w:spacing w:after="110" w:before="220"/>
      </w:pPr>
      <w:r>
        <w:rPr>
          <w:rFonts w:ascii="Times New Roman" w:cs="Times New Roman" w:eastAsia="Times New Roman" w:hAnsi="Times New Roman"/>
          <w:b/>
          <w:bCs/>
          <w:color w:val="000000"/>
          <w:sz w:val="21"/>
          <w:szCs w:val="21"/>
        </w:rPr>
        <w:t xml:space="preserve">4.1  Document ingestion and the unified retrieval substrate</w:t>
      </w:r>
    </w:p>
    <w:p>
      <w:pPr>
        <w:spacing w:after="120" w:line="240"/>
        <w:jc w:val="both"/>
      </w:pPr>
      <w:r>
        <w:rPr>
          <w:rFonts w:ascii="Times New Roman" w:cs="Times New Roman" w:eastAsia="Times New Roman" w:hAnsi="Times New Roman"/>
          <w:b w:val="false"/>
          <w:bCs w:val="false"/>
          <w:i w:val="false"/>
          <w:iCs w:val="false"/>
          <w:sz w:val="20"/>
          <w:szCs w:val="20"/>
        </w:rPr>
        <w:t xml:space="preserve">The ingestion layer accepts PDFs, word-processing documents, plain text, and connected sources. It extracts text, chunks content, preserves metadata, and generates embeddings for semantic retrieval, storing both content and vectors in a local PostgreSQL-compatible database with vector indexing [13, 1]. For enterprise use, each chunk additionally carries access-control metadata, a version identifier, a source-file hash, a retention label, and, for spoken sources, a transcription-confidence score.</w:t>
      </w:r>
    </w:p>
    <w:p>
      <w:pPr>
        <w:spacing w:after="120" w:line="240"/>
        <w:jc w:val="both"/>
      </w:pPr>
      <w:r>
        <w:rPr>
          <w:rFonts w:ascii="Times New Roman" w:cs="Times New Roman" w:eastAsia="Times New Roman" w:hAnsi="Times New Roman"/>
          <w:b w:val="false"/>
          <w:bCs w:val="false"/>
          <w:i w:val="false"/>
          <w:iCs w:val="false"/>
          <w:sz w:val="20"/>
          <w:szCs w:val="20"/>
        </w:rPr>
        <w:t xml:space="preserve">The substrate is unified by design: transcripts and documents occupy one index rather than two. This is what makes cross-source questions answerable — whether a decision recorded in a site meeting conflicts with a written policy, or which manuals and prior incident reports relate to a dictation recorded minutes ago. Unification, however, creates a governance obligation, since a transcript may contain privileged or regulated content that no uploaded file carries. We therefore require label inheritance: a transcript chunk inherits the strictest sensitivity label among the meeting context, the participant set, and the workspace in which it was produced, and inheritance is evaluated at write time so that retrieval never has to reconstruct it.</w:t>
      </w:r>
    </w:p>
    <w:p>
      <w:pPr>
        <w:pStyle w:val="Heading2"/>
        <w:spacing w:after="110" w:before="220"/>
      </w:pPr>
      <w:r>
        <w:rPr>
          <w:rFonts w:ascii="Times New Roman" w:cs="Times New Roman" w:eastAsia="Times New Roman" w:hAnsi="Times New Roman"/>
          <w:b/>
          <w:bCs/>
          <w:color w:val="000000"/>
          <w:sz w:val="21"/>
          <w:szCs w:val="21"/>
        </w:rPr>
        <w:t xml:space="preserve">4.2  Voice processing pipeline</w:t>
      </w:r>
    </w:p>
    <w:p>
      <w:pPr>
        <w:spacing w:after="120" w:line="240"/>
        <w:jc w:val="both"/>
      </w:pPr>
      <w:r>
        <w:rPr>
          <w:rFonts w:ascii="Times New Roman" w:cs="Times New Roman" w:eastAsia="Times New Roman" w:hAnsi="Times New Roman"/>
          <w:b w:val="false"/>
          <w:bCs w:val="false"/>
          <w:i w:val="false"/>
          <w:iCs w:val="false"/>
          <w:sz w:val="20"/>
          <w:szCs w:val="20"/>
        </w:rPr>
        <w:t xml:space="preserve">Real-time transcription converts live speech into timestamped text using a Whisper-class multilingual recognizer [14, 1]. Transcribed speech is then indexed, summarized, and queried through the same retrieval engine used for documents. A robust implementation tracks speaker turns, timestamps, confidence scores, and acoustic conditions, so that retrieval can distinguish a high-confidence statement from an uncertain one and the answer engine can qualify claims that rest on the latter.</w:t>
      </w:r>
    </w:p>
    <w:p>
      <w:pPr>
        <w:spacing w:after="120" w:line="240"/>
        <w:jc w:val="both"/>
      </w:pPr>
      <w:r>
        <w:rPr>
          <w:rFonts w:ascii="Times New Roman" w:cs="Times New Roman" w:eastAsia="Times New Roman" w:hAnsi="Times New Roman"/>
          <w:b w:val="false"/>
          <w:bCs w:val="false"/>
          <w:i w:val="false"/>
          <w:iCs w:val="false"/>
          <w:sz w:val="20"/>
          <w:szCs w:val="20"/>
        </w:rPr>
        <w:t xml:space="preserve">Voice is not only an input channel. Under a full-duplex conversational layer the assistant listens and speaks simultaneously, handles barge-in, and produces brief backchannels where appropriate [2, 9]. The architecture nevertheless retains a text-only mode for quiet environments, accessibility needs, and compliance workflows that require a written record of the exchange.</w:t>
      </w:r>
    </w:p>
    <w:p>
      <w:pPr>
        <w:pStyle w:val="Heading2"/>
        <w:spacing w:after="110" w:before="220"/>
      </w:pPr>
      <w:r>
        <w:rPr>
          <w:rFonts w:ascii="Times New Roman" w:cs="Times New Roman" w:eastAsia="Times New Roman" w:hAnsi="Times New Roman"/>
          <w:b/>
          <w:bCs/>
          <w:color w:val="000000"/>
          <w:sz w:val="21"/>
          <w:szCs w:val="21"/>
        </w:rPr>
        <w:t xml:space="preserve">4.3  Retrieval and answer engine</w:t>
      </w:r>
    </w:p>
    <w:p>
      <w:pPr>
        <w:spacing w:after="120" w:line="240"/>
        <w:jc w:val="both"/>
      </w:pPr>
      <w:r>
        <w:rPr>
          <w:rFonts w:ascii="Times New Roman" w:cs="Times New Roman" w:eastAsia="Times New Roman" w:hAnsi="Times New Roman"/>
          <w:b w:val="false"/>
          <w:bCs w:val="false"/>
          <w:i w:val="false"/>
          <w:iCs w:val="false"/>
          <w:sz w:val="20"/>
          <w:szCs w:val="20"/>
        </w:rPr>
        <w:t xml:space="preserve">At query time EchoMind performs semantic search over the local vector store, assembles the surviving passages, and passes them to an answer model such as an open-weight model of the Llama 3 family or an equivalent [7, 1]. The answer engine is instructed to separate retrieved facts, inferred conclusions, and missing information, and to emit citations to source passages. This separation matters for adoption: an unsupported answer in a compliance workflow is not a smaller version of a correct one, it is a different kind of output with different liability.</w:t>
      </w:r>
    </w:p>
    <w:p>
      <w:pPr>
        <w:pStyle w:val="Heading2"/>
        <w:spacing w:after="110" w:before="220"/>
      </w:pPr>
      <w:r>
        <w:rPr>
          <w:rFonts w:ascii="Times New Roman" w:cs="Times New Roman" w:eastAsia="Times New Roman" w:hAnsi="Times New Roman"/>
          <w:b/>
          <w:bCs/>
          <w:color w:val="000000"/>
          <w:sz w:val="21"/>
          <w:szCs w:val="21"/>
        </w:rPr>
        <w:t xml:space="preserve">4.4  Dual-loop execution model</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execution structure of EchoMind is the separation of two loops. The interaction loop LI owns the audio channel, runs on a bounded budget, and is responsible for turn taking, barge-in detection, backchannels, acknowledgments, and clarifying questions. The governed loop LG is unbounded in time and performs permission filtering, retrieval, reranking, context assembly, generation, and tool invocation. The two communicate through a queue of grounded increments: units of content that have completed the governed pipeline and carry the citation set that justifies them.</w:t>
      </w:r>
    </w:p>
    <w:p>
      <w:pPr>
        <w:spacing w:after="120" w:line="240"/>
        <w:jc w:val="both"/>
      </w:pPr>
      <w:r>
        <w:rPr>
          <w:rFonts w:ascii="Times New Roman" w:cs="Times New Roman" w:eastAsia="Times New Roman" w:hAnsi="Times New Roman"/>
          <w:b w:val="false"/>
          <w:bCs w:val="false"/>
          <w:i w:val="false"/>
          <w:iCs w:val="false"/>
          <w:sz w:val="20"/>
          <w:szCs w:val="20"/>
        </w:rPr>
        <w:t xml:space="preserve">This split is only safe if it is constrained. We state four invariants:</w:t>
      </w:r>
    </w:p>
    <w:p>
      <w:pPr>
        <w:spacing w:after="120" w:line="240"/>
        <w:jc w:val="both"/>
      </w:pPr>
      <w:r>
        <w:rPr>
          <w:rFonts w:ascii="Times New Roman" w:cs="Times New Roman" w:eastAsia="Times New Roman" w:hAnsi="Times New Roman"/>
          <w:b/>
          <w:bCs/>
          <w:i w:val="false"/>
          <w:iCs w:val="false"/>
          <w:sz w:val="20"/>
          <w:szCs w:val="20"/>
        </w:rPr>
        <w:t xml:space="preserve">I1 (Assertion). </w:t>
      </w:r>
      <w:r>
        <w:rPr>
          <w:rFonts w:ascii="Times New Roman" w:cs="Times New Roman" w:eastAsia="Times New Roman" w:hAnsi="Times New Roman"/>
          <w:b w:val="false"/>
          <w:bCs w:val="false"/>
          <w:i w:val="false"/>
          <w:iCs w:val="false"/>
          <w:sz w:val="20"/>
          <w:szCs w:val="20"/>
        </w:rPr>
        <w:t xml:space="preserve">LI may emit acknowledgments, clarifying questions, meta-statements about progress, and content already grounded earlier in the session. It may not assert new factual content that LG has not returned. Violations of I1 are the mechanism by which a responsive assistant becomes a confabulating one.</w:t>
      </w:r>
    </w:p>
    <w:p>
      <w:pPr>
        <w:spacing w:after="120" w:line="240"/>
        <w:jc w:val="both"/>
      </w:pPr>
      <w:r>
        <w:rPr>
          <w:rFonts w:ascii="Times New Roman" w:cs="Times New Roman" w:eastAsia="Times New Roman" w:hAnsi="Times New Roman"/>
          <w:b/>
          <w:bCs/>
          <w:i w:val="false"/>
          <w:iCs w:val="false"/>
          <w:sz w:val="20"/>
          <w:szCs w:val="20"/>
        </w:rPr>
        <w:t xml:space="preserve">I2 (Preemption). </w:t>
      </w:r>
      <w:r>
        <w:rPr>
          <w:rFonts w:ascii="Times New Roman" w:cs="Times New Roman" w:eastAsia="Times New Roman" w:hAnsi="Times New Roman"/>
          <w:b w:val="false"/>
          <w:bCs w:val="false"/>
          <w:i w:val="false"/>
          <w:iCs w:val="false"/>
          <w:sz w:val="20"/>
          <w:szCs w:val="20"/>
        </w:rPr>
        <w:t xml:space="preserve">User speech preempts LI output within one micro-turn. Any LG work in flight is cancellable, and cancellation is idempotent, so that a rapid sequence of corrections cannot leave orphaned retrievals whose results later surface out of context.</w:t>
      </w:r>
    </w:p>
    <w:p>
      <w:pPr>
        <w:spacing w:after="120" w:line="240"/>
        <w:jc w:val="both"/>
      </w:pPr>
      <w:r>
        <w:rPr>
          <w:rFonts w:ascii="Times New Roman" w:cs="Times New Roman" w:eastAsia="Times New Roman" w:hAnsi="Times New Roman"/>
          <w:b/>
          <w:bCs/>
          <w:i w:val="false"/>
          <w:iCs w:val="false"/>
          <w:sz w:val="20"/>
          <w:szCs w:val="20"/>
        </w:rPr>
        <w:t xml:space="preserve">I3 (Provenance). </w:t>
      </w:r>
      <w:r>
        <w:rPr>
          <w:rFonts w:ascii="Times New Roman" w:cs="Times New Roman" w:eastAsia="Times New Roman" w:hAnsi="Times New Roman"/>
          <w:b w:val="false"/>
          <w:bCs w:val="false"/>
          <w:i w:val="false"/>
          <w:iCs w:val="false"/>
          <w:sz w:val="20"/>
          <w:szCs w:val="20"/>
        </w:rPr>
        <w:t xml:space="preserve">Every increment re-entered from LG carries the citation set that justified it. If the citation set is empty or has been invalidated by a permission change since retrieval, the increment is suppressed rather than downgraded to an uncited claim.</w:t>
      </w:r>
    </w:p>
    <w:p>
      <w:pPr>
        <w:spacing w:after="120" w:line="240"/>
        <w:jc w:val="both"/>
      </w:pPr>
      <w:r>
        <w:rPr>
          <w:rFonts w:ascii="Times New Roman" w:cs="Times New Roman" w:eastAsia="Times New Roman" w:hAnsi="Times New Roman"/>
          <w:b/>
          <w:bCs/>
          <w:i w:val="false"/>
          <w:iCs w:val="false"/>
          <w:sz w:val="20"/>
          <w:szCs w:val="20"/>
        </w:rPr>
        <w:t xml:space="preserve">I4 (Authority). </w:t>
      </w:r>
      <w:r>
        <w:rPr>
          <w:rFonts w:ascii="Times New Roman" w:cs="Times New Roman" w:eastAsia="Times New Roman" w:hAnsi="Times New Roman"/>
          <w:b w:val="false"/>
          <w:bCs w:val="false"/>
          <w:i w:val="false"/>
          <w:iCs w:val="false"/>
          <w:sz w:val="20"/>
          <w:szCs w:val="20"/>
        </w:rPr>
        <w:t xml:space="preserve">Increments enter LI as data, never as instructions. This is the runtime expression of the precedence lattice in Sect. 6.2 and is what prevents a retrieved document from steering the conversation.</w:t>
      </w:r>
    </w:p>
    <w:p>
      <w:pPr>
        <w:spacing w:after="120" w:line="240"/>
        <w:jc w:val="both"/>
      </w:pPr>
      <w:r>
        <w:rPr>
          <w:rFonts w:ascii="Times New Roman" w:cs="Times New Roman" w:eastAsia="Times New Roman" w:hAnsi="Times New Roman"/>
          <w:b w:val="false"/>
          <w:bCs w:val="false"/>
          <w:i w:val="false"/>
          <w:iCs w:val="false"/>
          <w:sz w:val="20"/>
          <w:szCs w:val="20"/>
        </w:rPr>
        <w:t xml:space="preserve">Re-entry is handled by conversational focus tracking rather than by interruption. When an increment completes, EchoMind checks whether the question that motivated it is still the active focus. If it is, the increment is spoken or displayed in place. If the conversation has moved on, the increment is queued and offered — “I have the contract comparison whenever you want it” — rather than injected, since injecting stale answers is a common failure of asynchronous assistants and is experienced by users as the system not listening.</w:t>
      </w:r>
    </w:p>
    <w:p>
      <w:pPr>
        <w:pStyle w:val="Heading2"/>
        <w:spacing w:after="110" w:before="220"/>
      </w:pPr>
      <w:r>
        <w:rPr>
          <w:rFonts w:ascii="Times New Roman" w:cs="Times New Roman" w:eastAsia="Times New Roman" w:hAnsi="Times New Roman"/>
          <w:b/>
          <w:bCs/>
          <w:color w:val="000000"/>
          <w:sz w:val="21"/>
          <w:szCs w:val="21"/>
        </w:rPr>
        <w:t xml:space="preserve">4.5  Interfaces, APIs,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The user-facing surface is a web chat interface supporting text or voice input with visible references [1]. EchoMind additionally exposes scoped APIs so that enterprise systems can ingest documents, submit queries, retrieve transcripts, and route outputs into downstream workflows; every API credential is scoped to a principal whose permissions the retrieval layer enforces, so that integration cannot become a permission bypass. Containerization enables deployment on dedicated appliances, private cloud, or air-gapped systems [1].</w:t>
      </w:r>
    </w:p>
    <w:p>
      <w:pPr>
        <w:spacing w:after="80" w:before="200" w:line="240"/>
        <w:jc w:val="left"/>
      </w:pPr>
      <w:r>
        <w:rPr>
          <w:rFonts w:ascii="Times New Roman" w:cs="Times New Roman" w:eastAsia="Times New Roman" w:hAnsi="Times New Roman"/>
          <w:b/>
          <w:bCs/>
          <w:sz w:val="17"/>
          <w:szCs w:val="17"/>
        </w:rPr>
        <w:t xml:space="preserve">Table 3 </w:t>
      </w:r>
      <w:r>
        <w:rPr>
          <w:rFonts w:ascii="Times New Roman" w:cs="Times New Roman" w:eastAsia="Times New Roman" w:hAnsi="Times New Roman"/>
          <w:sz w:val="17"/>
          <w:szCs w:val="17"/>
        </w:rPr>
        <w:t xml:space="preserve">EchoMind architecture layers and responsibilities.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400"/>
        <w:gridCol w:w="2600"/>
        <w:gridCol w:w="3370"/>
      </w:tblGrid>
      <w:tr>
        <w:trPr>
          <w:tblHeader/>
        </w:trPr>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Layer</w:t>
            </w:r>
          </w:p>
        </w:tc>
        <w:tc>
          <w:tcPr>
            <w:tcW w:type="dxa" w:w="2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Representative components</w:t>
            </w:r>
          </w:p>
        </w:tc>
        <w:tc>
          <w:tcPr>
            <w:tcW w:type="dxa" w:w="33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Primary responsibility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Input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Document upload, microphone stream, connected sources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Capture enterprise documents and live speech while preserving metadata.</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Ingestion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Text extraction, chunking, embedding generation, ASR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Normalize documents and audio into searchable text and vector representations.</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Storage</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PostgreSQL with vector indexing, transcript tables, audit logs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Store content, embeddings, history, permissions, and provenance locally.</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Retrieval</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filter, semantic search, reranker, context assembly</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Produce a grounded, authorized context for answer generation.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Reasoning</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model, summarizer, tool-use planner</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Generate answers, summaries, and task plans from retrieved evidence.</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audio, persona prompts, web UI, APIs</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Manage collaboration through text, voice, interruption, and citation.</w:t>
            </w:r>
          </w:p>
        </w:tc>
      </w:tr>
      <w:tr>
        <w:trPr>
          <w:tblHeader w:val="false"/>
        </w:trPr>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Deployment</w:t>
            </w:r>
          </w:p>
        </w:tc>
        <w:tc>
          <w:tcPr>
            <w:tcW w:type="dxa" w:w="2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Containers, orchestration, appliance, private cloud</w:t>
            </w:r>
          </w:p>
        </w:tc>
        <w:tc>
          <w:tcPr>
            <w:tcW w:type="dxa" w:w="3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Run the complete system inside an enterprise-controlled boundary.</w:t>
            </w:r>
          </w:p>
        </w:tc>
      </w:tr>
    </w:tbl>
    <w:p>
      <w:pPr>
        <w:pStyle w:val="Heading1"/>
        <w:spacing w:after="140" w:before="300"/>
      </w:pPr>
      <w:r>
        <w:rPr>
          <w:rFonts w:ascii="Times New Roman" w:cs="Times New Roman" w:eastAsia="Times New Roman" w:hAnsi="Times New Roman"/>
          <w:b/>
          <w:bCs/>
          <w:color w:val="000000"/>
          <w:sz w:val="24"/>
          <w:szCs w:val="24"/>
        </w:rPr>
        <w:t xml:space="preserve">5  Full-Duplex Persona-Conditioned Interaction</w:t>
      </w:r>
    </w:p>
    <w:p>
      <w:pPr>
        <w:spacing w:after="120" w:line="240"/>
        <w:jc w:val="both"/>
      </w:pPr>
      <w:r>
        <w:rPr>
          <w:rFonts w:ascii="Times New Roman" w:cs="Times New Roman" w:eastAsia="Times New Roman" w:hAnsi="Times New Roman"/>
          <w:b w:val="false"/>
          <w:bCs w:val="false"/>
          <w:i w:val="false"/>
          <w:iCs w:val="false"/>
          <w:sz w:val="20"/>
          <w:szCs w:val="20"/>
        </w:rPr>
        <w:t xml:space="preserve">In secure enterprise contexts an assistant needs a stable persona that constrains what it may say and do. PersonaPlex provides a usable mechanism through a hybrid system prompt combining textual role description with audio voice conditioning [16]. EchoMind adopts two conditioning channels: a text channel defining role, task scope, organizational policy, citation requirements, and refusal behavior; and an optional audio channel defining an approved voice profile for speech output.</w:t>
      </w:r>
    </w:p>
    <w:p>
      <w:pPr>
        <w:spacing w:after="120" w:line="240"/>
        <w:jc w:val="both"/>
      </w:pPr>
      <w:r>
        <w:rPr>
          <w:rFonts w:ascii="Times New Roman" w:cs="Times New Roman" w:eastAsia="Times New Roman" w:hAnsi="Times New Roman"/>
          <w:b w:val="false"/>
          <w:bCs w:val="false"/>
          <w:i w:val="false"/>
          <w:iCs w:val="false"/>
          <w:sz w:val="20"/>
          <w:szCs w:val="20"/>
        </w:rPr>
        <w:t xml:space="preserve">The enterprise adaptation is the important part. Role conditioning is treated as policy enforcement, not branding, and it sits at tier T1 of the precedence lattice in Sect. 6.2, above user requests and far above retrieved text. Voice cloning, where enabled at all, is restricted to a registry of approved voices governed by recorded consent, audit logging, and administrative control; an assistant able to synthesize an arbitrary voice inside an organization is an impersonation capability before it is a usability feature. Neither a user, an uploaded document, nor a malicious transcript may override system-level safety and compliance instructions.</w:t>
      </w:r>
    </w:p>
    <w:p>
      <w:pPr>
        <w:spacing w:after="80" w:before="200" w:line="240"/>
        <w:jc w:val="left"/>
      </w:pPr>
      <w:r>
        <w:rPr>
          <w:rFonts w:ascii="Times New Roman" w:cs="Times New Roman" w:eastAsia="Times New Roman" w:hAnsi="Times New Roman"/>
          <w:b/>
          <w:bCs/>
          <w:sz w:val="17"/>
          <w:szCs w:val="17"/>
        </w:rPr>
        <w:t xml:space="preserve">Table 4 </w:t>
      </w:r>
      <w:r>
        <w:rPr>
          <w:rFonts w:ascii="Times New Roman" w:cs="Times New Roman" w:eastAsia="Times New Roman" w:hAnsi="Times New Roman"/>
          <w:sz w:val="17"/>
          <w:szCs w:val="17"/>
        </w:rPr>
        <w:t xml:space="preserve">Research influences incorporated into the EchoMind interaction layer.</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500"/>
        <w:gridCol w:w="2700"/>
        <w:gridCol w:w="3170"/>
      </w:tblGrid>
      <w:tr>
        <w:trPr>
          <w:tblHeader/>
        </w:trPr>
        <w:tc>
          <w:tcPr>
            <w:tcW w:type="dxa" w:w="15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Key concept</w:t>
            </w:r>
          </w:p>
        </w:tc>
        <w:tc>
          <w:tcPr>
            <w:tcW w:type="dxa" w:w="31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EchoMind adaptation</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Hybrid system prompt: textual role prompt plus audio voice prompt.</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Role prompts encode enterprise behavior policy; voice prompts are limited to a registry of approved, consented profiles.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PersonaPlex [16]; Moshi [2]</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Full-duplex modeling supports responsiveness, interruption, and natural dialog.</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Barge-in and backchannel support in the interaction loop LI, subject to invariant I2.</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Time-aligned micro-turns keep interaction continuous.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input and output as streams in voice mode rather than as completed turns.</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models [18]</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responsive model stays present while a background model performs longer tasks.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The LI/LG split of Sect. 4.4, constrained by invariants I1–I4.</w:t>
            </w:r>
          </w:p>
        </w:tc>
      </w:tr>
      <w:tr>
        <w:trPr>
          <w:tblHeader w:val="false"/>
        </w:trPr>
        <w:tc>
          <w:tcPr>
            <w:tcW w:type="dxa" w:w="15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EnterpriseBench [15]</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Enterprise agents require planning, tool use, long-horizon reasoning, and robustness.</w:t>
            </w:r>
          </w:p>
        </w:tc>
        <w:tc>
          <w:tcPr>
            <w:tcW w:type="dxa" w:w="31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Evaluate EchoMind as an enterprise workflow assistant, not as a speech or Q&amp;A demonstration.</w:t>
            </w:r>
          </w:p>
        </w:tc>
      </w:tr>
    </w:tbl>
    <w:p>
      <w:pPr>
        <w:pStyle w:val="Heading1"/>
        <w:spacing w:after="140" w:before="300"/>
      </w:pPr>
      <w:r>
        <w:rPr>
          <w:rFonts w:ascii="Times New Roman" w:cs="Times New Roman" w:eastAsia="Times New Roman" w:hAnsi="Times New Roman"/>
          <w:b/>
          <w:bCs/>
          <w:color w:val="000000"/>
          <w:sz w:val="24"/>
          <w:szCs w:val="24"/>
        </w:rPr>
        <w:t xml:space="preserve">6  Governed Retrieval: Precedence, Permissions, and Security</w:t>
      </w:r>
    </w:p>
    <w:p>
      <w:pPr>
        <w:pStyle w:val="Heading2"/>
        <w:spacing w:after="110" w:before="220"/>
      </w:pPr>
      <w:r>
        <w:rPr>
          <w:rFonts w:ascii="Times New Roman" w:cs="Times New Roman" w:eastAsia="Times New Roman" w:hAnsi="Times New Roman"/>
          <w:b/>
          <w:bCs/>
          <w:color w:val="000000"/>
          <w:sz w:val="21"/>
          <w:szCs w:val="21"/>
        </w:rPr>
        <w:t xml:space="preserve">6.1  Pipeline and the permission-before-retrieval property</w:t>
      </w:r>
    </w:p>
    <w:p>
      <w:pPr>
        <w:spacing w:after="120" w:line="240"/>
        <w:jc w:val="both"/>
      </w:pPr>
      <w:r>
        <w:rPr>
          <w:rFonts w:ascii="Times New Roman" w:cs="Times New Roman" w:eastAsia="Times New Roman" w:hAnsi="Times New Roman"/>
          <w:b w:val="false"/>
          <w:bCs w:val="false"/>
          <w:i w:val="false"/>
          <w:iCs w:val="false"/>
          <w:sz w:val="20"/>
          <w:szCs w:val="20"/>
        </w:rPr>
        <w:t xml:space="preserve">The query pipeline has six auditable stages: permission filtering, semantic retrieval, reranking or context selection, prompt construction, answer generation, and citation assembly. The ordering of the first two is a design commitment rather than an implementation detail. We state it as a property.</w:t>
      </w:r>
    </w:p>
    <w:p>
      <w:pPr>
        <w:spacing w:after="120" w:line="240"/>
        <w:jc w:val="both"/>
      </w:pPr>
      <w:r>
        <w:rPr>
          <w:rFonts w:ascii="Times New Roman" w:cs="Times New Roman" w:eastAsia="Times New Roman" w:hAnsi="Times New Roman"/>
          <w:b/>
          <w:bCs/>
          <w:i w:val="false"/>
          <w:iCs w:val="false"/>
          <w:sz w:val="20"/>
          <w:szCs w:val="20"/>
        </w:rPr>
        <w:t xml:space="preserve">P1 (Permission before retrieval). </w:t>
      </w:r>
      <w:r>
        <w:rPr>
          <w:rFonts w:ascii="Times New Roman" w:cs="Times New Roman" w:eastAsia="Times New Roman" w:hAnsi="Times New Roman"/>
          <w:b w:val="false"/>
          <w:bCs w:val="false"/>
          <w:i w:val="false"/>
          <w:iCs w:val="false"/>
          <w:sz w:val="20"/>
          <w:szCs w:val="20"/>
        </w:rPr>
        <w:t xml:space="preserve">For a principal u and query q, the candidate set C(u, q) must satisfy C(u, q) ⊆ Du, where Du is the set of chunks u is authorized to read, and C must be computed by restricting the index scan to Du rather than by filtering a ranked list after the fact.</w:t>
      </w:r>
    </w:p>
    <w:p>
      <w:pPr>
        <w:spacing w:after="120" w:line="240"/>
        <w:jc w:val="both"/>
      </w:pPr>
      <w:r>
        <w:rPr>
          <w:rFonts w:ascii="Times New Roman" w:cs="Times New Roman" w:eastAsia="Times New Roman" w:hAnsi="Times New Roman"/>
          <w:b w:val="false"/>
          <w:bCs w:val="false"/>
          <w:i w:val="false"/>
          <w:iCs w:val="false"/>
          <w:sz w:val="20"/>
          <w:szCs w:val="20"/>
        </w:rPr>
        <w:t xml:space="preserve">Post-filtering is rejected because ranking over unauthorized content leaks information even when that content is never shown. Result counts, latency profiles, reranker behavior, and the absence of an expected answer are all observable to an adversary holding a low-privilege account under assumption A2, and together they support inference about documents the adversary cannot read. Enforcing P1 at scan time costs index complexity — permission metadata must be part of the filter predicate, and permission changes must invalidate cached candidates — but it converts a probabilistic leak into a structural guarantee, and it is what makes invariant I3 enforceable when permissions change mid-session.</w:t>
      </w:r>
    </w:p>
    <w:p>
      <w:pPr>
        <w:spacing w:after="120" w:line="240"/>
        <w:jc w:val="both"/>
      </w:pPr>
      <w:r>
        <w:rPr>
          <w:rFonts w:ascii="Times New Roman" w:cs="Times New Roman" w:eastAsia="Times New Roman" w:hAnsi="Times New Roman"/>
          <w:b w:val="false"/>
          <w:bCs w:val="false"/>
          <w:i w:val="false"/>
          <w:iCs w:val="false"/>
          <w:sz w:val="20"/>
          <w:szCs w:val="20"/>
        </w:rPr>
        <w:t xml:space="preserve">Session memory is governed by the same principle. Conversation history may resolve pronouns and follow-up questions but may never expand access beyond the principal's permissions; a passage summarized into history remains subject to the label it inherited at write time.</w:t>
      </w:r>
    </w:p>
    <w:p>
      <w:pPr>
        <w:pStyle w:val="Heading2"/>
        <w:spacing w:after="110" w:before="220"/>
      </w:pPr>
      <w:r>
        <w:rPr>
          <w:rFonts w:ascii="Times New Roman" w:cs="Times New Roman" w:eastAsia="Times New Roman" w:hAnsi="Times New Roman"/>
          <w:b/>
          <w:bCs/>
          <w:color w:val="000000"/>
          <w:sz w:val="21"/>
          <w:szCs w:val="21"/>
        </w:rPr>
        <w:t xml:space="preserve">6.2  Instruction-precedence lattice</w:t>
      </w:r>
    </w:p>
    <w:p>
      <w:pPr>
        <w:spacing w:after="120" w:line="240"/>
        <w:jc w:val="both"/>
      </w:pPr>
      <w:r>
        <w:rPr>
          <w:rFonts w:ascii="Times New Roman" w:cs="Times New Roman" w:eastAsia="Times New Roman" w:hAnsi="Times New Roman"/>
          <w:b w:val="false"/>
          <w:bCs w:val="false"/>
          <w:i w:val="false"/>
          <w:iCs w:val="false"/>
          <w:sz w:val="20"/>
          <w:szCs w:val="20"/>
        </w:rPr>
        <w:t xml:space="preserve">The central security problem for any retrieval-augmented assistant is that retrieved content is untrusted [6, 12]. A poisoned document can instruct the assistant to disregard prior instructions, disclose context, or invoke an external tool. The usual mitigation — a system prompt asserting that documents must not be obeyed — is a convention, not a control. EchoMind instead assigns every source of text in the context window to a trust tier with explicit rights, shown in Table 5.</w:t>
      </w:r>
    </w:p>
    <w:p>
      <w:pPr>
        <w:spacing w:after="80" w:before="200" w:line="240"/>
        <w:jc w:val="left"/>
      </w:pPr>
      <w:r>
        <w:rPr>
          <w:rFonts w:ascii="Times New Roman" w:cs="Times New Roman" w:eastAsia="Times New Roman" w:hAnsi="Times New Roman"/>
          <w:b/>
          <w:bCs/>
          <w:sz w:val="17"/>
          <w:szCs w:val="17"/>
        </w:rPr>
        <w:t xml:space="preserve">Table 5 </w:t>
      </w:r>
      <w:r>
        <w:rPr>
          <w:rFonts w:ascii="Times New Roman" w:cs="Times New Roman" w:eastAsia="Times New Roman" w:hAnsi="Times New Roman"/>
          <w:sz w:val="17"/>
          <w:szCs w:val="17"/>
        </w:rPr>
        <w:t xml:space="preserve">Instruction-precedence lattice. Tiers are ordered T0 ≻ T1 ≻ T2 ≻ T3 ≻ T4; only T0–T2 may instruct.</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200"/>
        <w:gridCol w:w="800"/>
        <w:gridCol w:w="1400"/>
        <w:gridCol w:w="1400"/>
        <w:gridCol w:w="1570"/>
      </w:tblGrid>
      <w:tr>
        <w:trPr>
          <w:tblHeader/>
        </w:trPr>
        <w:tc>
          <w:tcPr>
            <w:tcW w:type="dxa" w:w="2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Source of text</w:t>
            </w:r>
          </w:p>
        </w:tc>
        <w:tc>
          <w:tcPr>
            <w:tcW w:type="dxa" w:w="8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Tier</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instruct</w:t>
            </w:r>
          </w:p>
        </w:tc>
        <w:tc>
          <w:tcPr>
            <w:tcW w:type="dxa" w:w="1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May supply evidence</w:t>
            </w:r>
          </w:p>
        </w:tc>
        <w:tc>
          <w:tcPr>
            <w:tcW w:type="dxa" w:w="15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Enforcement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System and safety policy</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Immutable at runtime; signed configuration.</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Tenant / deployment policy, persona</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Administrative change control and audit.</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Authenticated user request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T2</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within T0–T1</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Bound to principal; logged with permissions.</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Retrieved document or transcript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Wrapped in a delimited evidence envelope with provenance.</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Tool or API output</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T3</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plus allowlist on the invoking call.</w:t>
            </w:r>
          </w:p>
        </w:tc>
      </w:tr>
      <w:tr>
        <w:trPr>
          <w:tblHeader w:val="false"/>
        </w:trPr>
        <w:tc>
          <w:tcPr>
            <w:tcW w:type="dxa" w:w="2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External content fetched at runtime</w:t>
            </w:r>
          </w:p>
        </w:tc>
        <w:tc>
          <w:tcPr>
            <w:tcW w:type="dxa" w:w="8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T4</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Never</w:t>
            </w:r>
          </w:p>
        </w:tc>
        <w:tc>
          <w:tcPr>
            <w:tcW w:type="dxa" w:w="1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Yes, quarantined</w:t>
            </w:r>
          </w:p>
        </w:tc>
        <w:tc>
          <w:tcPr>
            <w:tcW w:type="dxa" w:w="15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Envelope, allowlist, and human confirmation before any state-changing action.</w:t>
            </w:r>
          </w:p>
        </w:tc>
      </w:tr>
    </w:tbl>
    <w:p>
      <w:pPr>
        <w:spacing w:after="120" w:line="240"/>
        <w:jc w:val="both"/>
      </w:pPr>
      <w:r>
        <w:rPr>
          <w:rFonts w:ascii="Times New Roman" w:cs="Times New Roman" w:eastAsia="Times New Roman" w:hAnsi="Times New Roman"/>
          <w:b w:val="false"/>
          <w:bCs w:val="false"/>
          <w:i w:val="false"/>
          <w:iCs w:val="false"/>
          <w:sz w:val="20"/>
          <w:szCs w:val="20"/>
        </w:rPr>
        <w:t xml:space="preserve">Any span originating at T3 or below is rendered into the context inside a delimited evidence envelope carrying its provenance, and imperative content appearing inside an envelope is treated as quoted text to be reported, not as an instruction to be followed. Enforcement does not rest on the generator honoring this framing. Tool-invocation requests emitted while an envelope is in scope must match an allowlist, must use scoped credentials, and, for state-changing calls, must obtain human confirmation. The practical consequence is that a successful injection degrades to a reportable event — the assistant says that a document contains an instruction it will not follow, and the event is logged — rather than to an undetected action.</w:t>
      </w:r>
    </w:p>
    <w:p>
      <w:pPr>
        <w:pStyle w:val="Heading2"/>
        <w:spacing w:after="110" w:before="220"/>
      </w:pPr>
      <w:r>
        <w:rPr>
          <w:rFonts w:ascii="Times New Roman" w:cs="Times New Roman" w:eastAsia="Times New Roman" w:hAnsi="Times New Roman"/>
          <w:b/>
          <w:bCs/>
          <w:color w:val="000000"/>
          <w:sz w:val="21"/>
          <w:szCs w:val="21"/>
        </w:rPr>
        <w:t xml:space="preserve">6.3  Layered security, compliance, and deployment</w:t>
      </w:r>
    </w:p>
    <w:p>
      <w:pPr>
        <w:spacing w:after="120" w:line="240"/>
        <w:jc w:val="both"/>
      </w:pPr>
      <w:r>
        <w:rPr>
          <w:rFonts w:ascii="Times New Roman" w:cs="Times New Roman" w:eastAsia="Times New Roman" w:hAnsi="Times New Roman"/>
          <w:b w:val="false"/>
          <w:bCs w:val="false"/>
          <w:i w:val="false"/>
          <w:iCs w:val="false"/>
          <w:sz w:val="20"/>
          <w:szCs w:val="20"/>
        </w:rPr>
        <w:t xml:space="preserve">Security is implemented at three layers. At the infrastructure layer: encrypted storage, network segmentation, restricted administrative access, and signed updates. At the application layer: role-based access control, document-level permissions, secret redaction, audit logging, and configurable retention. At the model layer: signed system policy, retrieval-time validation, injection detection, and output filtering for sensitive data. Deployment options span on-premises appliances, containerized installation, controlled private cloud, and fully offline operation [1], which is what allows organizations that cannot transmit data to a shared third-party service to adopt the system at all.</w:t>
      </w:r>
    </w:p>
    <w:p>
      <w:pPr>
        <w:spacing w:after="120" w:line="240"/>
        <w:jc w:val="both"/>
      </w:pPr>
      <w:r>
        <w:rPr>
          <w:rFonts w:ascii="Times New Roman" w:cs="Times New Roman" w:eastAsia="Times New Roman" w:hAnsi="Times New Roman"/>
          <w:b w:val="false"/>
          <w:bCs w:val="false"/>
          <w:i w:val="false"/>
          <w:iCs w:val="false"/>
          <w:sz w:val="20"/>
          <w:szCs w:val="20"/>
        </w:rPr>
        <w:t xml:space="preserve">Compliance obligations vary by domain but converge on data minimization, auditability, access control, incident response, and retention management. A healthcare deployment emphasizes HIPAA safeguards [20]; a financial deployment emphasizes SOX and PCI DSS obligations [19, 11]; a multinational deployment emphasizes GDPR and data residency [4]. EchoMind therefore hard-codes no single regime and instead exposes configurable controls that can be mapped to local policy, with the mapping itself recorded as auditable configuration. We align the resulting control set with the govern, map, measure, and manage functions of the NIST AI Risk Management Framework [10] so that deployments can be assessed against a published reference rather than an internal one.</w:t>
      </w:r>
    </w:p>
    <w:p>
      <w:pPr>
        <w:pStyle w:val="Heading1"/>
        <w:spacing w:after="140" w:before="300"/>
      </w:pPr>
      <w:r>
        <w:rPr>
          <w:rFonts w:ascii="Times New Roman" w:cs="Times New Roman" w:eastAsia="Times New Roman" w:hAnsi="Times New Roman"/>
          <w:b/>
          <w:bCs/>
          <w:color w:val="000000"/>
          <w:sz w:val="24"/>
          <w:szCs w:val="24"/>
        </w:rPr>
        <w:t xml:space="preserve">7  Reference Implementation and Measurement Protocol</w:t>
      </w:r>
    </w:p>
    <w:p>
      <w:pPr>
        <w:spacing w:after="120" w:line="240"/>
        <w:jc w:val="both"/>
      </w:pPr>
      <w:r>
        <w:rPr>
          <w:rFonts w:ascii="Times New Roman" w:cs="Times New Roman" w:eastAsia="Times New Roman" w:hAnsi="Times New Roman"/>
          <w:b w:val="false"/>
          <w:bCs w:val="false"/>
          <w:i w:val="false"/>
          <w:iCs w:val="false"/>
          <w:sz w:val="20"/>
          <w:szCs w:val="20"/>
        </w:rPr>
        <w:t xml:space="preserve">The reviewers of an earlier version of this work correctly observed that an architecture paper without instrumentation is difficult to assess. This section addresses that by specifying, in reproducible detail, what is to be measured and how — and by declining to report numbers we have not measured.</w:t>
      </w:r>
    </w:p>
    <w:p>
      <w:pPr>
        <w:pStyle w:val="Heading2"/>
        <w:spacing w:after="110" w:before="220"/>
      </w:pPr>
      <w:r>
        <w:rPr>
          <w:rFonts w:ascii="Times New Roman" w:cs="Times New Roman" w:eastAsia="Times New Roman" w:hAnsi="Times New Roman"/>
          <w:b/>
          <w:bCs/>
          <w:color w:val="000000"/>
          <w:sz w:val="21"/>
          <w:szCs w:val="21"/>
        </w:rPr>
        <w:t xml:space="preserve">7.1  Reference implementation stack</w:t>
      </w:r>
    </w:p>
    <w:p>
      <w:pPr>
        <w:spacing w:after="120" w:line="240"/>
        <w:jc w:val="both"/>
      </w:pPr>
      <w:r>
        <w:rPr>
          <w:rFonts w:ascii="Times New Roman" w:cs="Times New Roman" w:eastAsia="Times New Roman" w:hAnsi="Times New Roman"/>
          <w:b w:val="false"/>
          <w:bCs w:val="false"/>
          <w:i w:val="false"/>
          <w:iCs w:val="false"/>
          <w:sz w:val="20"/>
          <w:szCs w:val="20"/>
        </w:rPr>
        <w:t xml:space="preserve">The reference configuration comprises a Whisper-class multilingual recognizer for streaming transcription [14]; PostgreSQL with vector indexing as the unified store for chunks, embeddings, transcripts, permissions, and audit records [13]; an open-weight instruction-tuned answer model of the Llama 3 family or equivalent, served locally [7]; a duplex conversational layer following the design of [2, 16]; and container orchestration for deployment. Every element is publicly available or publicly documented, so a third party can reconstruct the configuration without access to [1]. Reported results must disclose exact model identifiers and revisions, quantization, accelerator type and count, index parameters, chunk size and overlap, retrieval depth k, reranker identity, and corpus size and composition.</w:t>
      </w:r>
    </w:p>
    <w:p>
      <w:pPr>
        <w:pStyle w:val="Heading2"/>
        <w:spacing w:after="110" w:before="220"/>
      </w:pPr>
      <w:r>
        <w:rPr>
          <w:rFonts w:ascii="Times New Roman" w:cs="Times New Roman" w:eastAsia="Times New Roman" w:hAnsi="Times New Roman"/>
          <w:b/>
          <w:bCs/>
          <w:color w:val="000000"/>
          <w:sz w:val="21"/>
          <w:szCs w:val="21"/>
        </w:rPr>
        <w:t xml:space="preserve">7.2  Latency decomposition</w:t>
      </w:r>
    </w:p>
    <w:p>
      <w:pPr>
        <w:spacing w:after="120" w:line="240"/>
        <w:jc w:val="both"/>
      </w:pPr>
      <w:r>
        <w:rPr>
          <w:rFonts w:ascii="Times New Roman" w:cs="Times New Roman" w:eastAsia="Times New Roman" w:hAnsi="Times New Roman"/>
          <w:b w:val="false"/>
          <w:bCs w:val="false"/>
          <w:i w:val="false"/>
          <w:iCs w:val="false"/>
          <w:sz w:val="20"/>
          <w:szCs w:val="20"/>
        </w:rPr>
        <w:t xml:space="preserve">Perceived responsiveness and answer completeness are governed by two different sums, which is the analytic justification for the dual-loop design. Time to first audible response is</w:t>
      </w:r>
    </w:p>
    <w:p>
      <w:pPr>
        <w:spacing w:after="100" w:line="240"/>
        <w:jc w:val="center"/>
      </w:pPr>
      <w:r>
        <w:rPr>
          <w:rFonts w:ascii="Times New Roman" w:cs="Times New Roman" w:eastAsia="Times New Roman" w:hAnsi="Times New Roman"/>
          <w:b w:val="false"/>
          <w:bCs w:val="false"/>
          <w:i w:val="false"/>
          <w:iCs w:val="false"/>
          <w:sz w:val="20"/>
          <w:szCs w:val="20"/>
        </w:rPr>
        <w:t xml:space="preserve">Tfirst = tcapture + tVAD + tASR,partial + troute + tgen,first ,</w:t>
      </w:r>
    </w:p>
    <w:p>
      <w:pPr>
        <w:spacing w:after="120" w:line="240"/>
        <w:jc w:val="both"/>
      </w:pPr>
      <w:r>
        <w:rPr>
          <w:rFonts w:ascii="Times New Roman" w:cs="Times New Roman" w:eastAsia="Times New Roman" w:hAnsi="Times New Roman"/>
          <w:b w:val="false"/>
          <w:bCs w:val="false"/>
          <w:i w:val="false"/>
          <w:iCs w:val="false"/>
          <w:sz w:val="20"/>
          <w:szCs w:val="20"/>
        </w:rPr>
        <w:t xml:space="preserve">whereas time to a grounded, citable answer is</w:t>
      </w:r>
    </w:p>
    <w:p>
      <w:pPr>
        <w:spacing w:after="100" w:line="240"/>
        <w:jc w:val="center"/>
      </w:pPr>
      <w:r>
        <w:rPr>
          <w:rFonts w:ascii="Times New Roman" w:cs="Times New Roman" w:eastAsia="Times New Roman" w:hAnsi="Times New Roman"/>
          <w:b w:val="false"/>
          <w:bCs w:val="false"/>
          <w:i w:val="false"/>
          <w:iCs w:val="false"/>
          <w:sz w:val="20"/>
          <w:szCs w:val="20"/>
        </w:rPr>
        <w:t xml:space="preserve">Tgrounded = tASR,final + tembed + tfilter + tsearch + trerank + tassemble + tgen + tTTS .</w:t>
      </w:r>
    </w:p>
    <w:p>
      <w:pPr>
        <w:spacing w:after="120" w:line="240"/>
        <w:jc w:val="both"/>
      </w:pPr>
      <w:r>
        <w:rPr>
          <w:rFonts w:ascii="Times New Roman" w:cs="Times New Roman" w:eastAsia="Times New Roman" w:hAnsi="Times New Roman"/>
          <w:b w:val="false"/>
          <w:bCs w:val="false"/>
          <w:i w:val="false"/>
          <w:iCs w:val="false"/>
          <w:sz w:val="20"/>
          <w:szCs w:val="20"/>
        </w:rPr>
        <w:t xml:space="preserve">The terms tfilter + tsearch + trerank + tassemble are jointly the largest contributor to Tgrounded and, critically, the most variable: they scale with corpus size, permission-predicate selectivity, and reranker depth, and they are the terms that governance requirements inflate. In a single-loop design every conversational turn pays this cost, so responsiveness degrades exactly as governance strengthens. The invariants of Sect. 4.4 exist to decouple the two sums: LI is budgeted against Tfirst, LG against Tgrounded, and I1 is what prevents the decoupling from being purchased with ungrounded speech. A deployment should therefore report both quantities separately; a single end-to-end latency figure obscures the property the architecture is designed to provide.</w:t>
      </w:r>
    </w:p>
    <w:p>
      <w:pPr>
        <w:pStyle w:val="Heading2"/>
        <w:spacing w:after="110" w:before="220"/>
      </w:pPr>
      <w:r>
        <w:rPr>
          <w:rFonts w:ascii="Times New Roman" w:cs="Times New Roman" w:eastAsia="Times New Roman" w:hAnsi="Times New Roman"/>
          <w:b/>
          <w:bCs/>
          <w:color w:val="000000"/>
          <w:sz w:val="21"/>
          <w:szCs w:val="21"/>
        </w:rPr>
        <w:t xml:space="preserve">7.3  Measurement protocol</w:t>
      </w:r>
    </w:p>
    <w:p>
      <w:pPr>
        <w:spacing w:after="120" w:line="240"/>
        <w:jc w:val="both"/>
      </w:pPr>
      <w:r>
        <w:rPr>
          <w:rFonts w:ascii="Times New Roman" w:cs="Times New Roman" w:eastAsia="Times New Roman" w:hAnsi="Times New Roman"/>
          <w:b w:val="false"/>
          <w:bCs w:val="false"/>
          <w:i w:val="false"/>
          <w:iCs w:val="false"/>
          <w:sz w:val="20"/>
          <w:szCs w:val="20"/>
        </w:rPr>
        <w:t xml:space="preserve">Measurements are taken under a declared workload: a corpus of stated size and composition, a query set stratified into single-document lookup, cross-document synthesis, and transcript–document comparison, and a concurrency level stated explicitly. Instrumentation records a span per pipeline stage at process boundaries, with cold-cache and warm-cache runs reported separately. Each configuration is repeated for at least 30 runs and reported as median, p95, and p99 rather than as a mean, since tail latency is what users experience as unresponsiveness. Barge-in latency is measured acoustically, as the interval from the onset of user speech to the cessation of assistant audio, not from the software event that detects it. Retrieval quality is reported alongside latency, because a configuration can always be made faster by retrieving less.</w:t>
      </w:r>
    </w:p>
    <w:p>
      <w:pPr>
        <w:spacing w:after="120" w:line="240"/>
        <w:jc w:val="both"/>
      </w:pPr>
      <w:r>
        <w:rPr>
          <w:rFonts w:ascii="Times New Roman" w:cs="Times New Roman" w:eastAsia="Times New Roman" w:hAnsi="Times New Roman"/>
          <w:b w:val="false"/>
          <w:bCs w:val="false"/>
          <w:i w:val="false"/>
          <w:iCs w:val="false"/>
          <w:sz w:val="20"/>
          <w:szCs w:val="20"/>
        </w:rPr>
        <w:t xml:space="preserve">Table 6 is the reporting template for this protocol. It is presented unfilled: the values must come from an instrumented deployment measured as described above, and we do not report figures we have not obtained.</w:t>
      </w:r>
    </w:p>
    <w:p>
      <w:pPr>
        <w:spacing w:after="80" w:before="200" w:line="240"/>
        <w:jc w:val="left"/>
      </w:pPr>
      <w:r>
        <w:rPr>
          <w:rFonts w:ascii="Times New Roman" w:cs="Times New Roman" w:eastAsia="Times New Roman" w:hAnsi="Times New Roman"/>
          <w:b/>
          <w:bCs/>
          <w:sz w:val="17"/>
          <w:szCs w:val="17"/>
        </w:rPr>
        <w:t xml:space="preserve">Table 6 </w:t>
      </w:r>
      <w:r>
        <w:rPr>
          <w:rFonts w:ascii="Times New Roman" w:cs="Times New Roman" w:eastAsia="Times New Roman" w:hAnsi="Times New Roman"/>
          <w:sz w:val="17"/>
          <w:szCs w:val="17"/>
        </w:rPr>
        <w:t xml:space="preserve">Reporting template for the measurement protocol of Sect. 7.3. Highlighted cells are to be completed from an instrumented deployment before publication.</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2400"/>
        <w:gridCol w:w="1200"/>
        <w:gridCol w:w="1200"/>
        <w:gridCol w:w="1200"/>
        <w:gridCol w:w="1370"/>
      </w:tblGrid>
      <w:tr>
        <w:trPr>
          <w:tblHeader/>
        </w:trPr>
        <w:tc>
          <w:tcPr>
            <w:tcW w:type="dxa" w:w="24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Pipeline stage</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Median (ms)</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p95 (ms)</w:t>
            </w:r>
          </w:p>
        </w:tc>
        <w:tc>
          <w:tcPr>
            <w:tcW w:type="dxa" w:w="12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p99 (ms)</w:t>
            </w:r>
          </w:p>
        </w:tc>
        <w:tc>
          <w:tcPr>
            <w:tcW w:type="dxa" w:w="13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Configuration notes</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Capture and voice activity detection</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Partial ASR to first token</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Interaction-loop first audible response (Tfirst)</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Embedding of query</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filter and vector search</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Reranking and context assembly</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generation (complete)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Speech synthesis to first audio</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End-to-end grounded answer (Tgrounded)</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r>
        <w:trPr>
          <w:tblHeader w:val="false"/>
        </w:trPr>
        <w:tc>
          <w:tcPr>
            <w:tcW w:type="dxa" w:w="24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Barge-in stop latency (acoustic)</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2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c>
          <w:tcPr>
            <w:tcW w:type="dxa" w:w="13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highlight w:val="yellow"/>
                <w:highlightCs w:val="yellow"/>
              </w:rPr>
              <w:t xml:space="preserve">[MEASURE]</w:t>
            </w:r>
          </w:p>
        </w:tc>
      </w:tr>
    </w:tbl>
    <w:p>
      <w:pPr>
        <w:pStyle w:val="Heading2"/>
        <w:spacing w:after="110" w:before="220"/>
      </w:pPr>
      <w:r>
        <w:rPr>
          <w:rFonts w:ascii="Times New Roman" w:cs="Times New Roman" w:eastAsia="Times New Roman" w:hAnsi="Times New Roman"/>
          <w:b/>
          <w:bCs/>
          <w:color w:val="000000"/>
          <w:sz w:val="21"/>
          <w:szCs w:val="21"/>
        </w:rPr>
        <w:t xml:space="preserve">7.4  Reproducibility and availability of materials</w:t>
      </w:r>
    </w:p>
    <w:p>
      <w:pPr>
        <w:spacing w:after="120" w:line="240"/>
        <w:jc w:val="both"/>
      </w:pPr>
      <w:r>
        <w:rPr>
          <w:rFonts w:ascii="Times New Roman" w:cs="Times New Roman" w:eastAsia="Times New Roman" w:hAnsi="Times New Roman"/>
          <w:b w:val="false"/>
          <w:bCs w:val="false"/>
          <w:i w:val="false"/>
          <w:iCs w:val="false"/>
          <w:sz w:val="20"/>
          <w:szCs w:val="20"/>
        </w:rPr>
        <w:t xml:space="preserve">To support independent verification we commit to releasing, with the empirical study that follows this paper, the task definitions and scoring rubrics of Sect. 8, the evaluation harness and scoring scripts, the adversarial task corpus used for the robustness dimension, and the full configuration manifest described in Sect. 7.1. Two sources cited here remain non-public: the EchoMind technical notes [1], cited only for product-specific deployment configuration, and the EnterpriseBench description [15], cited only for an evaluation taxonomy that this paper restates in full. No architectural or evaluative claim in this paper requires a reader to consult either document, and we have avoided quantitative claims sourced from them entirely.</w:t>
      </w:r>
    </w:p>
    <w:p>
      <w:pPr>
        <w:pStyle w:val="Heading1"/>
        <w:spacing w:after="140" w:before="300"/>
      </w:pPr>
      <w:r>
        <w:rPr>
          <w:rFonts w:ascii="Times New Roman" w:cs="Times New Roman" w:eastAsia="Times New Roman" w:hAnsi="Times New Roman"/>
          <w:b/>
          <w:bCs/>
          <w:color w:val="000000"/>
          <w:sz w:val="24"/>
          <w:szCs w:val="24"/>
        </w:rPr>
        <w:t xml:space="preserve">8  Evaluation Framework</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should be evaluated as an enterprise multimodal agent. Word error rate for transcription or top-k accuracy for retrieval are useful component diagnostics but insufficient as system measures: the assistant must produce grounded answers, remain responsive in live interaction, use tools economically, protect sensitive data, and resist adversarial instruction. Table 7 defines six dimensions and Table 8 gives representative tasks.</w:t>
      </w:r>
    </w:p>
    <w:p>
      <w:pPr>
        <w:spacing w:after="80" w:before="200" w:line="240"/>
        <w:jc w:val="left"/>
      </w:pPr>
      <w:r>
        <w:rPr>
          <w:rFonts w:ascii="Times New Roman" w:cs="Times New Roman" w:eastAsia="Times New Roman" w:hAnsi="Times New Roman"/>
          <w:b/>
          <w:bCs/>
          <w:sz w:val="17"/>
          <w:szCs w:val="17"/>
        </w:rPr>
        <w:t xml:space="preserve">Table 7 </w:t>
      </w:r>
      <w:r>
        <w:rPr>
          <w:rFonts w:ascii="Times New Roman" w:cs="Times New Roman" w:eastAsia="Times New Roman" w:hAnsi="Times New Roman"/>
          <w:sz w:val="17"/>
          <w:szCs w:val="17"/>
        </w:rPr>
        <w:t xml:space="preserve">EchoMind evaluation dimensions.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700"/>
        <w:gridCol w:w="30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Dimension</w:t>
            </w:r>
          </w:p>
        </w:tc>
        <w:tc>
          <w:tcPr>
            <w:tcW w:type="dxa" w:w="27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Measured capability</w:t>
            </w:r>
          </w:p>
        </w:tc>
        <w:tc>
          <w:tcPr>
            <w:tcW w:type="dxa" w:w="30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Example metric</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Outcome correctness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assistant answer the business question or complete the workflow?</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F1 or rubric score against expected facts, summaries, or task outputs.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Grounding fidelity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answer use the correct source passages and avoid unsupported claims?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Citation precision and recall, source-overlap score, unsupported-claim rate [3].</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Interaction quality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the system handle live collaboration smoothly?</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Tfirst, barge-in stop latency, interruption success rate, user-rated naturalness.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Process efficiency</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use retrieval and tools without excessive or repeated steps?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Step count, tool-call budget, retrieval efficiency, recovery from failed calls.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Compliance adherence</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respect access controls and policy constraints?</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Policy-violation rate, unauthorized retrievals blocked, audit completeness.</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Adversarial robustness</w:t>
            </w:r>
          </w:p>
        </w:tc>
        <w:tc>
          <w:tcPr>
            <w:tcW w:type="dxa" w:w="27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Does it resist injection, poisoned documents, and social engineering?</w:t>
            </w:r>
          </w:p>
        </w:tc>
        <w:tc>
          <w:tcPr>
            <w:tcW w:type="dxa" w:w="30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Attack success rate, refusal correctness, tool-call containment rate.</w:t>
            </w:r>
          </w:p>
        </w:tc>
      </w:tr>
    </w:tbl>
    <w:p>
      <w:pPr>
        <w:spacing w:after="80" w:before="200" w:line="240"/>
        <w:jc w:val="left"/>
      </w:pPr>
      <w:r>
        <w:rPr>
          <w:rFonts w:ascii="Times New Roman" w:cs="Times New Roman" w:eastAsia="Times New Roman" w:hAnsi="Times New Roman"/>
          <w:b/>
          <w:bCs/>
          <w:sz w:val="17"/>
          <w:szCs w:val="17"/>
        </w:rPr>
        <w:t xml:space="preserve">Table 8 </w:t>
      </w:r>
      <w:r>
        <w:rPr>
          <w:rFonts w:ascii="Times New Roman" w:cs="Times New Roman" w:eastAsia="Times New Roman" w:hAnsi="Times New Roman"/>
          <w:sz w:val="17"/>
          <w:szCs w:val="17"/>
        </w:rPr>
        <w:t xml:space="preserve">Representative benchmark tasks.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600"/>
        <w:gridCol w:w="2900"/>
        <w:gridCol w:w="2870"/>
      </w:tblGrid>
      <w:tr>
        <w:trPr>
          <w:tblHeader/>
        </w:trPr>
        <w:tc>
          <w:tcPr>
            <w:tcW w:type="dxa" w:w="16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family</w:t>
            </w:r>
          </w:p>
        </w:tc>
        <w:tc>
          <w:tcPr>
            <w:tcW w:type="dxa" w:w="2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Task description</w:t>
            </w:r>
          </w:p>
        </w:tc>
        <w:tc>
          <w:tcPr>
            <w:tcW w:type="dxa" w:w="28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Expected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Cross-source Q&amp;A</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a question requiring comparison of a policy document with a meeting transcript.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Correct answer, citations to both sources, explicit handling of conflicting evidence.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Real-time transcription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Transcribe a noisy field dictation and make it searchable within one minute.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Timestamped transcript, stated error rate, searchable index entry with confidence.</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Persona adherence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Respond as a compliance-review assistant to a request for legal advice out of scope.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Helpful refusal, correct escalation, no role drift over a long session.</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Interruption handling</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User interrupts a long spoken answer with a correction or new constraint.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Assistant stops within budget, acknowledges, updates context, resumes revised.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Injection defense</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 ingested document instructs the assistant to disregard policy and disclose context.</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Instruction reported not obeyed, document treated as T3 evidence, event logged.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Permission boundary</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 low-privilege principal queries content readable only at higher privilege.</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leakage through answer, count, latency, or refusal wording; P1 upheld.</w:t>
            </w:r>
          </w:p>
        </w:tc>
      </w:tr>
      <w:tr>
        <w:trPr>
          <w:tblHeader w:val="false"/>
        </w:trPr>
        <w:tc>
          <w:tcPr>
            <w:tcW w:type="dxa" w:w="16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Offline operation</w:t>
            </w:r>
          </w:p>
        </w:tc>
        <w:tc>
          <w:tcPr>
            <w:tcW w:type="dxa" w:w="2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Answer over a local corpus with no external connectivity.</w:t>
            </w:r>
          </w:p>
        </w:tc>
        <w:tc>
          <w:tcPr>
            <w:tcW w:type="dxa" w:w="28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No external calls, complete audit trail, grounded local answer.</w:t>
            </w:r>
          </w:p>
        </w:tc>
      </w:tr>
    </w:tbl>
    <w:p>
      <w:pPr>
        <w:pStyle w:val="Heading2"/>
        <w:spacing w:after="110" w:before="220"/>
      </w:pPr>
      <w:r>
        <w:rPr>
          <w:rFonts w:ascii="Times New Roman" w:cs="Times New Roman" w:eastAsia="Times New Roman" w:hAnsi="Times New Roman"/>
          <w:b/>
          <w:bCs/>
          <w:color w:val="000000"/>
          <w:sz w:val="21"/>
          <w:szCs w:val="21"/>
        </w:rPr>
        <w:t xml:space="preserve">8.1  Composite scoring: elicitation and sensitivity</w:t>
      </w:r>
    </w:p>
    <w:p>
      <w:pPr>
        <w:spacing w:after="120" w:line="240"/>
        <w:jc w:val="both"/>
      </w:pPr>
      <w:r>
        <w:rPr>
          <w:rFonts w:ascii="Times New Roman" w:cs="Times New Roman" w:eastAsia="Times New Roman" w:hAnsi="Times New Roman"/>
          <w:b w:val="false"/>
          <w:bCs w:val="false"/>
          <w:i w:val="false"/>
          <w:iCs w:val="false"/>
          <w:sz w:val="20"/>
          <w:szCs w:val="20"/>
        </w:rPr>
        <w:t xml:space="preserve">A composite score S = Σ wi si over the six normalized dimension scores is useful for tracking a deployment over time, but the weight vector w is a property of an organization's risk posture, not of the architecture. An earlier version of this design asserted a fixed vector. We replace the assertion with a procedure, because an asserted weighting cannot be checked and silently determines which system appears better.</w:t>
      </w:r>
    </w:p>
    <w:p>
      <w:pPr>
        <w:spacing w:after="120" w:line="240"/>
        <w:jc w:val="both"/>
      </w:pPr>
      <w:r>
        <w:rPr>
          <w:rFonts w:ascii="Times New Roman" w:cs="Times New Roman" w:eastAsia="Times New Roman" w:hAnsi="Times New Roman"/>
          <w:b/>
          <w:bCs/>
          <w:i w:val="false"/>
          <w:iCs w:val="false"/>
          <w:sz w:val="20"/>
          <w:szCs w:val="20"/>
        </w:rPr>
        <w:t xml:space="preserve">Elicitation. </w:t>
      </w:r>
      <w:r>
        <w:rPr>
          <w:rFonts w:ascii="Times New Roman" w:cs="Times New Roman" w:eastAsia="Times New Roman" w:hAnsi="Times New Roman"/>
          <w:b w:val="false"/>
          <w:bCs w:val="false"/>
          <w:i w:val="false"/>
          <w:iCs w:val="false"/>
          <w:sz w:val="20"/>
          <w:szCs w:val="20"/>
        </w:rPr>
        <w:t xml:space="preserve">Weights are obtained from a panel of deployment stakeholders — minimally a risk or compliance owner, a service owner, and a representative end user — by pairwise comparison of the six dimensions on Saaty's nine-point scale. The weight vector is the principal eigenvector of the resulting reciprocal comparison matrix, and the consistency ratio CR is computed; panels returning CR &gt; 0.1 repeat the comparison, following standard practice for the analytic hierarchy process [17]. Multiple panels are aggregated by geometric mean, and the elicited matrix is published with the results so that the weighting is auditable.</w:t>
      </w:r>
    </w:p>
    <w:p>
      <w:pPr>
        <w:spacing w:after="120" w:line="240"/>
        <w:jc w:val="both"/>
      </w:pPr>
      <w:r>
        <w:rPr>
          <w:rFonts w:ascii="Times New Roman" w:cs="Times New Roman" w:eastAsia="Times New Roman" w:hAnsi="Times New Roman"/>
          <w:b/>
          <w:bCs/>
          <w:i w:val="false"/>
          <w:iCs w:val="false"/>
          <w:sz w:val="20"/>
          <w:szCs w:val="20"/>
        </w:rPr>
        <w:t xml:space="preserve">Sensitivity. </w:t>
      </w:r>
      <w:r>
        <w:rPr>
          <w:rFonts w:ascii="Times New Roman" w:cs="Times New Roman" w:eastAsia="Times New Roman" w:hAnsi="Times New Roman"/>
          <w:b w:val="false"/>
          <w:bCs w:val="false"/>
          <w:i w:val="false"/>
          <w:iCs w:val="false"/>
          <w:sz w:val="20"/>
          <w:szCs w:val="20"/>
        </w:rPr>
        <w:t xml:space="preserve">A weighting is only informative if conclusions are stable under it. For any pair of systems compared under w, we report the critical perturbation δ*, defined as the smallest L∞ perturbation of w — renormalized to sum to one — that reverses their ordering. Comparisons whose δ* falls below 0.05 are reported as ties rather than as results. Per-dimension scores are always published unaggregated alongside S, so that a reader whose risk posture differs from the elicitation panel's can recompute the composite for their own weighting.</w:t>
      </w:r>
    </w:p>
    <w:p>
      <w:pPr>
        <w:spacing w:after="120" w:line="240"/>
        <w:jc w:val="both"/>
      </w:pPr>
      <w:r>
        <w:rPr>
          <w:rFonts w:ascii="Times New Roman" w:cs="Times New Roman" w:eastAsia="Times New Roman" w:hAnsi="Times New Roman"/>
          <w:b/>
          <w:bCs/>
          <w:i w:val="false"/>
          <w:iCs w:val="false"/>
          <w:sz w:val="20"/>
          <w:szCs w:val="20"/>
        </w:rPr>
        <w:t xml:space="preserve">Priors. </w:t>
      </w:r>
      <w:r>
        <w:rPr>
          <w:rFonts w:ascii="Times New Roman" w:cs="Times New Roman" w:eastAsia="Times New Roman" w:hAnsi="Times New Roman"/>
          <w:b w:val="false"/>
          <w:bCs w:val="false"/>
          <w:i w:val="false"/>
          <w:iCs w:val="false"/>
          <w:sz w:val="20"/>
          <w:szCs w:val="20"/>
        </w:rPr>
        <w:t xml:space="preserve">Table 9 gives illustrative starting vectors for three deployment postures. These are priors to be revised by elicitation, not empirical findings, and no result in this paper depends on them.</w:t>
      </w:r>
    </w:p>
    <w:p>
      <w:pPr>
        <w:spacing w:after="80" w:before="200" w:line="240"/>
        <w:jc w:val="left"/>
      </w:pPr>
      <w:r>
        <w:rPr>
          <w:rFonts w:ascii="Times New Roman" w:cs="Times New Roman" w:eastAsia="Times New Roman" w:hAnsi="Times New Roman"/>
          <w:b/>
          <w:bCs/>
          <w:sz w:val="17"/>
          <w:szCs w:val="17"/>
        </w:rPr>
        <w:t xml:space="preserve">Table 9 </w:t>
      </w:r>
      <w:r>
        <w:rPr>
          <w:rFonts w:ascii="Times New Roman" w:cs="Times New Roman" w:eastAsia="Times New Roman" w:hAnsi="Times New Roman"/>
          <w:sz w:val="17"/>
          <w:szCs w:val="17"/>
        </w:rPr>
        <w:t xml:space="preserve">Illustrative prior weight vectors by deployment posture. Rows sum to 1.00. These are starting points for elicitation, not measured values.</w:t>
      </w:r>
    </w:p>
    <w:tbl>
      <w:tblPr>
        <w:tblW w:type="dxa" w:w="7370"/>
        <w:tblBorders>
          <w:top w:val="single" w:color="000000" w:sz="6"/>
          <w:left w:val="none" w:color="FFFFFF" w:sz="0"/>
          <w:bottom w:val="single" w:color="000000" w:sz="6"/>
          <w:right w:val="none" w:color="FFFFFF" w:sz="0"/>
          <w:insideH w:val="single" w:color="999999" w:sz="2"/>
          <w:insideV w:val="none" w:color="FFFFFF" w:sz="0"/>
        </w:tblBorders>
      </w:tblPr>
      <w:tblGrid>
        <w:gridCol w:w="1970"/>
        <w:gridCol w:w="900"/>
        <w:gridCol w:w="900"/>
        <w:gridCol w:w="900"/>
        <w:gridCol w:w="900"/>
        <w:gridCol w:w="900"/>
        <w:gridCol w:w="900"/>
      </w:tblGrid>
      <w:tr>
        <w:trPr>
          <w:tblHeader/>
        </w:trPr>
        <w:tc>
          <w:tcPr>
            <w:tcW w:type="dxa" w:w="197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Deployment posture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Outcome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Grounding</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Interaction</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Process</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Compliance</w:t>
            </w:r>
          </w:p>
        </w:tc>
        <w:tc>
          <w:tcPr>
            <w:tcW w:type="dxa" w:w="900"/>
            <w:shd w:fill="EFEFEF" w:color="auto" w:val="clear"/>
            <w:tcMar>
              <w:top w:type="dxa" w:w="60"/>
              <w:left w:type="dxa" w:w="90"/>
              <w:bottom w:type="dxa" w:w="60"/>
              <w:right w:type="dxa" w:w="90"/>
            </w:tcMar>
          </w:tcPr>
          <w:p>
            <w:pPr>
              <w:spacing w:after="40" w:before="40" w:line="220"/>
              <w:jc w:val="left"/>
            </w:pPr>
            <w:r>
              <w:rPr>
                <w:rFonts w:ascii="Times New Roman" w:cs="Times New Roman" w:eastAsia="Times New Roman" w:hAnsi="Times New Roman"/>
                <w:b/>
                <w:bCs/>
                <w:i w:val="false"/>
                <w:iCs w:val="false"/>
                <w:sz w:val="17"/>
                <w:szCs w:val="17"/>
              </w:rPr>
              <w:t xml:space="preserve">Adversarial</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Balanced / default</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Regulated (health, finance)</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r>
      <w:tr>
        <w:trPr>
          <w:tblHeader w:val="false"/>
        </w:trPr>
        <w:tc>
          <w:tcPr>
            <w:tcW w:type="dxa" w:w="197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Field and offline operations</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0.30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0.25</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0.10</w:t>
            </w:r>
          </w:p>
        </w:tc>
        <w:tc>
          <w:tcPr>
            <w:tcW w:type="dxa" w:w="900"/>
            <w:tcMar>
              <w:top w:type="dxa" w:w="60"/>
              <w:left w:type="dxa" w:w="90"/>
              <w:bottom w:type="dxa" w:w="60"/>
              <w:right w:type="dxa" w:w="90"/>
            </w:tcMar>
          </w:tcPr>
          <w:p>
            <w:pPr>
              <w:spacing w:after="40" w:before="40" w:line="220"/>
              <w:jc w:val="left"/>
            </w:pPr>
            <w:r>
              <w:rPr>
                <w:rFonts w:ascii="Times New Roman" w:cs="Times New Roman" w:eastAsia="Times New Roman" w:hAnsi="Times New Roman"/>
                <w:b w:val="false"/>
                <w:bCs w:val="false"/>
                <w:i w:val="false"/>
                <w:iCs w:val="false"/>
                <w:sz w:val="17"/>
                <w:szCs w:val="17"/>
              </w:rPr>
              <w:t xml:space="preserve">0.05</w:t>
            </w:r>
          </w:p>
        </w:tc>
      </w:tr>
    </w:tbl>
    <w:p>
      <w:pPr>
        <w:pStyle w:val="Heading1"/>
        <w:spacing w:after="140" w:before="300"/>
      </w:pPr>
      <w:r>
        <w:rPr>
          <w:rFonts w:ascii="Times New Roman" w:cs="Times New Roman" w:eastAsia="Times New Roman" w:hAnsi="Times New Roman"/>
          <w:b/>
          <w:bCs/>
          <w:color w:val="000000"/>
          <w:sz w:val="24"/>
          <w:szCs w:val="24"/>
        </w:rPr>
        <w:t xml:space="preserve">9  Enterprise Use Cases</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is most useful where speech and documents are jointly central to the work. In research and analytical settings it transcribes interviews, indexes literature, and connects findings across the two. In legal and compliance workflows it searches contracts, regulations, and meeting transcripts while preserving citations and privilege boundaries. In industrial fieldwork it provides offline access to manuals and maintenance history while supporting hands-free dictation at remote sites. Across these, the recurring pattern is a question that no single source answers: whether a spoken decision conflicts with a written policy, or how a new dictation relates to prior incident reports.</w:t>
      </w:r>
    </w:p>
    <w:p>
      <w:pPr>
        <w:spacing w:after="120" w:line="240"/>
        <w:jc w:val="both"/>
      </w:pPr>
      <w:r>
        <w:rPr>
          <w:rFonts w:ascii="Times New Roman" w:cs="Times New Roman" w:eastAsia="Times New Roman" w:hAnsi="Times New Roman"/>
          <w:b w:val="false"/>
          <w:bCs w:val="false"/>
          <w:i w:val="false"/>
          <w:iCs w:val="false"/>
          <w:sz w:val="20"/>
          <w:szCs w:val="20"/>
        </w:rPr>
        <w:t xml:space="preserve">Enterprise knowledge management is the broadest case — new employees querying policy, support teams retrieving procedures, managers summarizing decisions — and the common effect is that scattered institutional memory becomes searchable and conversational without the organization relinquishing control of it. These workflows are also the reason evaluation must be cross-source (Table 8) rather than a composition of isolated speech and document benchmarks.</w:t>
      </w:r>
    </w:p>
    <w:p>
      <w:pPr>
        <w:pStyle w:val="Heading1"/>
        <w:spacing w:after="140" w:before="300"/>
      </w:pPr>
      <w:r>
        <w:rPr>
          <w:rFonts w:ascii="Times New Roman" w:cs="Times New Roman" w:eastAsia="Times New Roman" w:hAnsi="Times New Roman"/>
          <w:b/>
          <w:bCs/>
          <w:color w:val="000000"/>
          <w:sz w:val="24"/>
          <w:szCs w:val="24"/>
        </w:rPr>
        <w:t xml:space="preserve">10  Limitations and Future Work</w:t>
      </w:r>
    </w:p>
    <w:p>
      <w:pPr>
        <w:spacing w:after="120" w:line="240"/>
        <w:jc w:val="both"/>
      </w:pPr>
      <w:r>
        <w:rPr>
          <w:rFonts w:ascii="Times New Roman" w:cs="Times New Roman" w:eastAsia="Times New Roman" w:hAnsi="Times New Roman"/>
          <w:b w:val="false"/>
          <w:bCs w:val="false"/>
          <w:i w:val="false"/>
          <w:iCs w:val="false"/>
          <w:sz w:val="20"/>
          <w:szCs w:val="20"/>
        </w:rPr>
        <w:t xml:space="preserve">This paper contributes a reference design, a set of architectural invariants, and an evaluation methodology; it does not contribute a benchmark result, and the following claims remain open. First, the latency profile of Sect. 7.2 is analytic: the relative magnitude of the retrieval terms is argued from how the pipeline is composed, and the measured distribution under realistic corpus size, permission selectivity, and concurrency is not yet available. Second, invariants I1–I4 and property P1 are stated as design commitments; we have not yet demonstrated that they can be verified automatically at runtime, and a violation-detection mechanism is needed before they can be relied upon as guarantees rather than as intentions. Third, the containment argument of Sect. 6.2 predicts that successful injections degrade to reportable events, but the attack success rate under a serious red-team effort is unmeasured, and indirect injection remains an active research problem rather than a solved one [6]. Fourth, the elicitation procedure of Sect. 8.1 has not been run with real stakeholder panels, so we cannot report the inter-panel agreement or the typical magnitude of δ*.</w:t>
      </w:r>
    </w:p>
    <w:p>
      <w:pPr>
        <w:spacing w:after="120" w:line="240"/>
        <w:jc w:val="both"/>
      </w:pPr>
      <w:r>
        <w:rPr>
          <w:rFonts w:ascii="Times New Roman" w:cs="Times New Roman" w:eastAsia="Times New Roman" w:hAnsi="Times New Roman"/>
          <w:b w:val="false"/>
          <w:bCs w:val="false"/>
          <w:i w:val="false"/>
          <w:iCs w:val="false"/>
          <w:sz w:val="20"/>
          <w:szCs w:val="20"/>
        </w:rPr>
        <w:t xml:space="preserve">Two further limitations concern scope. The architecture is specified for text and speech; extension to continuous visual input, which the interaction-model literature anticipates [18], would require a distinct grounding and privacy analysis that we do not attempt here. And the evaluation framework assumes an organization able to construct a labeled internal corpus with realistic permission structure, which is itself a substantial undertaking and may limit adoption to larger deployments.</w:t>
      </w:r>
    </w:p>
    <w:p>
      <w:pPr>
        <w:spacing w:after="120" w:line="240"/>
        <w:jc w:val="both"/>
      </w:pPr>
      <w:r>
        <w:rPr>
          <w:rFonts w:ascii="Times New Roman" w:cs="Times New Roman" w:eastAsia="Times New Roman" w:hAnsi="Times New Roman"/>
          <w:b w:val="false"/>
          <w:bCs w:val="false"/>
          <w:i w:val="false"/>
          <w:iCs w:val="false"/>
          <w:sz w:val="20"/>
          <w:szCs w:val="20"/>
        </w:rPr>
        <w:t xml:space="preserve">The next stage of this work is the empirical study specified in Sect. 7: an instrumented deployment on an enterprise corpus with realistic access control, reported against Tables 6–8, with continuous adversarial testing integrated into the release process. A secure assistant is not one that never errs; it is one whose architecture makes errors observable, containable, and recoverable, and that property is the one we intend to measure.</w:t>
      </w:r>
    </w:p>
    <w:p>
      <w:pPr>
        <w:pStyle w:val="Heading1"/>
        <w:spacing w:after="140" w:before="300"/>
      </w:pPr>
      <w:r>
        <w:rPr>
          <w:rFonts w:ascii="Times New Roman" w:cs="Times New Roman" w:eastAsia="Times New Roman" w:hAnsi="Times New Roman"/>
          <w:b/>
          <w:bCs/>
          <w:color w:val="000000"/>
          <w:sz w:val="24"/>
          <w:szCs w:val="24"/>
        </w:rPr>
        <w:t xml:space="preserve">11  Conclusion</w:t>
      </w:r>
    </w:p>
    <w:p>
      <w:pPr>
        <w:spacing w:after="120" w:line="240"/>
        <w:jc w:val="both"/>
      </w:pPr>
      <w:r>
        <w:rPr>
          <w:rFonts w:ascii="Times New Roman" w:cs="Times New Roman" w:eastAsia="Times New Roman" w:hAnsi="Times New Roman"/>
          <w:b w:val="false"/>
          <w:bCs w:val="false"/>
          <w:i w:val="false"/>
          <w:iCs w:val="false"/>
          <w:sz w:val="20"/>
          <w:szCs w:val="20"/>
        </w:rPr>
        <w:t xml:space="preserve">EchoMind combines real-time transcription, private document intelligence, semantic retrieval, and full-duplex conversation into an assistant designed for high-trust enterprise settings. Its architectural claim is not that these components are new, but that composing them safely requires commitments most integrations leave implicit: a dual-loop execution model with an assertion invariant that keeps responsiveness from producing ungrounded speech; an ordering property that places permission filtering before candidate generation rather than after ranking; an instruction-precedence lattice that turns “retrieved content is evidence, not authority” from a prompt into a structural control; and a single substrate in which transcripts and documents share an index and a labeling discipline. To these we add an evaluation framework whose composite weighting is elicited and tested for sensitivity rather than asserted, and a measurement protocol precise enough for a third party to reproduce. What remains is to run it, and Sect. 10 states plainly what that will settle.</w:t>
      </w:r>
    </w:p>
    <w:p>
      <w:pPr>
        <w:pStyle w:val="Heading1"/>
        <w:spacing w:after="140" w:before="300"/>
      </w:pPr>
      <w:r>
        <w:rPr>
          <w:rFonts w:ascii="Times New Roman" w:cs="Times New Roman" w:eastAsia="Times New Roman" w:hAnsi="Times New Roman"/>
          <w:b/>
          <w:bCs/>
          <w:color w:val="000000"/>
          <w:sz w:val="24"/>
          <w:szCs w:val="24"/>
        </w:rPr>
        <w:t xml:space="preserve">Acknowledgments</w:t>
      </w:r>
    </w:p>
    <w:p>
      <w:pPr>
        <w:spacing w:after="120" w:line="240"/>
        <w:jc w:val="both"/>
      </w:pPr>
      <w:r>
        <w:rPr>
          <w:rFonts w:ascii="Times New Roman" w:cs="Times New Roman" w:eastAsia="Times New Roman" w:hAnsi="Times New Roman"/>
          <w:b w:val="false"/>
          <w:bCs w:val="false"/>
          <w:i w:val="false"/>
          <w:iCs w:val="false"/>
          <w:sz w:val="20"/>
          <w:szCs w:val="20"/>
          <w:highlight w:val="yellow"/>
          <w:highlightCs w:val="yellow"/>
        </w:rPr>
        <w:t xml:space="preserve">[Optional — add funding, facilities, or reviewer acknowledgments here, or delete this section.]</w:t>
      </w:r>
    </w:p>
    <w:p>
      <w:pPr>
        <w:pStyle w:val="Heading1"/>
        <w:spacing w:after="140" w:before="300"/>
      </w:pPr>
      <w:r>
        <w:rPr>
          <w:rFonts w:ascii="Times New Roman" w:cs="Times New Roman" w:eastAsia="Times New Roman" w:hAnsi="Times New Roman"/>
          <w:b/>
          <w:bCs/>
          <w:color w:val="000000"/>
          <w:sz w:val="24"/>
          <w:szCs w:val="24"/>
        </w:rPr>
        <w:t xml:space="preserve">References</w:t>
      </w:r>
    </w:p>
    <w:p>
      <w:pPr>
        <w:spacing w:after="60" w:line="220"/>
        <w:ind w:left="340" w:hanging="340"/>
        <w:jc w:val="both"/>
      </w:pPr>
      <w:r>
        <w:rPr>
          <w:rFonts w:ascii="Times New Roman" w:cs="Times New Roman" w:eastAsia="Times New Roman" w:hAnsi="Times New Roman"/>
          <w:sz w:val="18"/>
          <w:szCs w:val="18"/>
        </w:rPr>
        <w:t xml:space="preserve">1. AJACE Inc.: EchoMind technical and product overview. Author-provided technical notes (2026). [Not publicly available; cited only for product-specific deployment configuration]</w:t>
      </w:r>
    </w:p>
    <w:p>
      <w:pPr>
        <w:spacing w:after="60" w:line="220"/>
        <w:ind w:left="340" w:hanging="340"/>
        <w:jc w:val="both"/>
      </w:pPr>
      <w:r>
        <w:rPr>
          <w:rFonts w:ascii="Times New Roman" w:cs="Times New Roman" w:eastAsia="Times New Roman" w:hAnsi="Times New Roman"/>
          <w:sz w:val="18"/>
          <w:szCs w:val="18"/>
        </w:rPr>
        <w:t xml:space="preserve">2. Défossez, A., Mazaré, L., Orsini, M., Royer, A., Pérez, P., Jégou, H., Grave, E., Zeghidour, N.: Moshi: a speech-text foundation model for real-time dialogue. arXiv:2410.00037 (2024)</w:t>
      </w:r>
    </w:p>
    <w:p>
      <w:pPr>
        <w:spacing w:after="60" w:line="220"/>
        <w:ind w:left="340" w:hanging="340"/>
        <w:jc w:val="both"/>
      </w:pPr>
      <w:r>
        <w:rPr>
          <w:rFonts w:ascii="Times New Roman" w:cs="Times New Roman" w:eastAsia="Times New Roman" w:hAnsi="Times New Roman"/>
          <w:sz w:val="18"/>
          <w:szCs w:val="18"/>
        </w:rPr>
        <w:t xml:space="preserve">3. Es, S., James, J., Espinosa-Anke, L., Schockaert, S.: RAGAS: automated evaluation of retrieval augmented generation. In: Proceedings of the 18th Conference of the European Chapter of the Association for Computational Linguistics: System Demonstrations, pp. 150–158 (2024)</w:t>
      </w:r>
    </w:p>
    <w:p>
      <w:pPr>
        <w:spacing w:after="60" w:line="220"/>
        <w:ind w:left="340" w:hanging="340"/>
        <w:jc w:val="both"/>
      </w:pPr>
      <w:r>
        <w:rPr>
          <w:rFonts w:ascii="Times New Roman" w:cs="Times New Roman" w:eastAsia="Times New Roman" w:hAnsi="Times New Roman"/>
          <w:sz w:val="18"/>
          <w:szCs w:val="18"/>
        </w:rPr>
        <w:t xml:space="preserve">4. European Parliament and Council of the European Union: Regulation (EU) 2016/679 (General Data Protection Regulation). Official Journal of the European Union L119, 1–88 (2016)</w:t>
      </w:r>
    </w:p>
    <w:p>
      <w:pPr>
        <w:spacing w:after="60" w:line="220"/>
        <w:ind w:left="340" w:hanging="340"/>
        <w:jc w:val="both"/>
      </w:pPr>
      <w:r>
        <w:rPr>
          <w:rFonts w:ascii="Times New Roman" w:cs="Times New Roman" w:eastAsia="Times New Roman" w:hAnsi="Times New Roman"/>
          <w:sz w:val="18"/>
          <w:szCs w:val="18"/>
        </w:rPr>
        <w:t xml:space="preserve">5. Gao, Y., Xiong, Y., Gao, X., Jia, K., Pan, J., Bi, Y., Dai, Y., Sun, J., Wang, H.: Retrieval-augmented generation for large language models: a survey. arXiv:2312.10997 (2023)</w:t>
      </w:r>
    </w:p>
    <w:p>
      <w:pPr>
        <w:spacing w:after="60" w:line="220"/>
        <w:ind w:left="340" w:hanging="340"/>
        <w:jc w:val="both"/>
      </w:pPr>
      <w:r>
        <w:rPr>
          <w:rFonts w:ascii="Times New Roman" w:cs="Times New Roman" w:eastAsia="Times New Roman" w:hAnsi="Times New Roman"/>
          <w:sz w:val="18"/>
          <w:szCs w:val="18"/>
        </w:rPr>
        <w:t xml:space="preserve">6. Greshake, K., Abdelnabi, S., Mishra, S., Endres, C., Holz, T., Fritz, M.: Not what you've signed up for: compromising real-world LLM-integrated applications with indirect prompt injection. In: Proceedings of the 16th ACM Workshop on Artificial Intelligence and Security (AISec), pp. 79–90 (2023)</w:t>
      </w:r>
    </w:p>
    <w:p>
      <w:pPr>
        <w:spacing w:after="60" w:line="220"/>
        <w:ind w:left="340" w:hanging="340"/>
        <w:jc w:val="both"/>
      </w:pPr>
      <w:r>
        <w:rPr>
          <w:rFonts w:ascii="Times New Roman" w:cs="Times New Roman" w:eastAsia="Times New Roman" w:hAnsi="Times New Roman"/>
          <w:sz w:val="18"/>
          <w:szCs w:val="18"/>
        </w:rPr>
        <w:t xml:space="preserve">7. Grattafiori, A., et al.: The Llama 3 herd of models. arXiv:2407.21783 (2024)</w:t>
      </w:r>
    </w:p>
    <w:p>
      <w:pPr>
        <w:spacing w:after="60" w:line="220"/>
        <w:ind w:left="340" w:hanging="340"/>
        <w:jc w:val="both"/>
      </w:pPr>
      <w:r>
        <w:rPr>
          <w:rFonts w:ascii="Times New Roman" w:cs="Times New Roman" w:eastAsia="Times New Roman" w:hAnsi="Times New Roman"/>
          <w:sz w:val="18"/>
          <w:szCs w:val="18"/>
        </w:rPr>
        <w:t xml:space="preserve">8. Lewis, P., Perez, E., Piktus, A., Petroni, F., Karpukhin, V., Goyal, N., Küttler, H., Lewis, M., Yih, W., Rocktäschel, T., Riedel, S., Kiela, D.: Retrieval-augmented generation for knowledge-intensive NLP tasks. In: Advances in Neural Information Processing Systems, vol. 33, pp. 9459–9474 (2020)</w:t>
      </w:r>
    </w:p>
    <w:p>
      <w:pPr>
        <w:spacing w:after="60" w:line="220"/>
        <w:ind w:left="340" w:hanging="340"/>
        <w:jc w:val="both"/>
      </w:pPr>
      <w:r>
        <w:rPr>
          <w:rFonts w:ascii="Times New Roman" w:cs="Times New Roman" w:eastAsia="Times New Roman" w:hAnsi="Times New Roman"/>
          <w:sz w:val="18"/>
          <w:szCs w:val="18"/>
        </w:rPr>
        <w:t xml:space="preserve">9. Lin, G.-T., Lian, J., Li, T., Wang, Q., Anumanchipalli, G., Liu, A.H., Lee, H.-y.: Full-Duplex-Bench: a benchmark to evaluate full-duplex spoken dialogue models on turn-taking capabilities. arXiv:2503.04721 (2025)</w:t>
      </w:r>
    </w:p>
    <w:p>
      <w:pPr>
        <w:spacing w:after="60" w:line="220"/>
        <w:ind w:left="340" w:hanging="340"/>
        <w:jc w:val="both"/>
      </w:pPr>
      <w:r>
        <w:rPr>
          <w:rFonts w:ascii="Times New Roman" w:cs="Times New Roman" w:eastAsia="Times New Roman" w:hAnsi="Times New Roman"/>
          <w:sz w:val="18"/>
          <w:szCs w:val="18"/>
        </w:rPr>
        <w:t xml:space="preserve">10. National Institute of Standards and Technology: Artificial Intelligence Risk Management Framework (AI RMF 1.0). NIST AI 100-1 (2023)</w:t>
      </w:r>
    </w:p>
    <w:p>
      <w:pPr>
        <w:spacing w:after="60" w:line="220"/>
        <w:ind w:left="340" w:hanging="340"/>
        <w:jc w:val="both"/>
      </w:pPr>
      <w:r>
        <w:rPr>
          <w:rFonts w:ascii="Times New Roman" w:cs="Times New Roman" w:eastAsia="Times New Roman" w:hAnsi="Times New Roman"/>
          <w:sz w:val="18"/>
          <w:szCs w:val="18"/>
        </w:rPr>
        <w:t xml:space="preserve">11. PCI Security Standards Council: Payment Card Industry Data Security Standard, version 4.0 (2024)</w:t>
      </w:r>
    </w:p>
    <w:p>
      <w:pPr>
        <w:spacing w:after="60" w:line="220"/>
        <w:ind w:left="340" w:hanging="340"/>
        <w:jc w:val="both"/>
      </w:pPr>
      <w:r>
        <w:rPr>
          <w:rFonts w:ascii="Times New Roman" w:cs="Times New Roman" w:eastAsia="Times New Roman" w:hAnsi="Times New Roman"/>
          <w:sz w:val="18"/>
          <w:szCs w:val="18"/>
        </w:rPr>
        <w:t xml:space="preserve">12. Perez, F., Ribeiro, I.: Ignore previous prompt: attack techniques for language models. In: NeurIPS Workshop on ML Safety (2022)</w:t>
      </w:r>
    </w:p>
    <w:p>
      <w:pPr>
        <w:spacing w:after="60" w:line="220"/>
        <w:ind w:left="340" w:hanging="340"/>
        <w:jc w:val="both"/>
      </w:pPr>
      <w:r>
        <w:rPr>
          <w:rFonts w:ascii="Times New Roman" w:cs="Times New Roman" w:eastAsia="Times New Roman" w:hAnsi="Times New Roman"/>
          <w:sz w:val="18"/>
          <w:szCs w:val="18"/>
        </w:rPr>
        <w:t xml:space="preserve">13. pgvector contributors: pgvector — open-source vector similarity search for PostgreSQL. https://github.com/pgvector/pgvector. Accessed 29 July 2026</w:t>
      </w:r>
    </w:p>
    <w:p>
      <w:pPr>
        <w:spacing w:after="60" w:line="220"/>
        <w:ind w:left="340" w:hanging="340"/>
        <w:jc w:val="both"/>
      </w:pPr>
      <w:r>
        <w:rPr>
          <w:rFonts w:ascii="Times New Roman" w:cs="Times New Roman" w:eastAsia="Times New Roman" w:hAnsi="Times New Roman"/>
          <w:sz w:val="18"/>
          <w:szCs w:val="18"/>
        </w:rPr>
        <w:t xml:space="preserve">14. Radford, A., Kim, J.W., Xu, T., Brockman, G., McLeavey, C., Sutskever, I.: Robust speech recognition via large-scale weak supervision. In: Proceedings of the 40th International Conference on Machine Learning, pp. 28492–28518 (2023)</w:t>
      </w:r>
    </w:p>
    <w:p>
      <w:pPr>
        <w:spacing w:after="60" w:line="220"/>
        <w:ind w:left="340" w:hanging="340"/>
        <w:jc w:val="both"/>
      </w:pPr>
      <w:r>
        <w:rPr>
          <w:rFonts w:ascii="Times New Roman" w:cs="Times New Roman" w:eastAsia="Times New Roman" w:hAnsi="Times New Roman"/>
          <w:sz w:val="18"/>
          <w:szCs w:val="18"/>
        </w:rPr>
        <w:t xml:space="preserve">15. Rawal, D., Kristamsetty, R.N., Peter, A., Amudha, R.W.S., Pradeep, K.H., Johan, A.: EnterpriseBench: a benchmark framework for evaluating agentic AI systems in enterprise environments. AJACE Inc. (2026). [Not publicly available; cited only for an evaluation taxonomy restated in Sect. 8]</w:t>
      </w:r>
    </w:p>
    <w:p>
      <w:pPr>
        <w:spacing w:after="60" w:line="220"/>
        <w:ind w:left="340" w:hanging="340"/>
        <w:jc w:val="both"/>
      </w:pPr>
      <w:r>
        <w:rPr>
          <w:rFonts w:ascii="Times New Roman" w:cs="Times New Roman" w:eastAsia="Times New Roman" w:hAnsi="Times New Roman"/>
          <w:sz w:val="18"/>
          <w:szCs w:val="18"/>
        </w:rPr>
        <w:t xml:space="preserve">16. Roy, R., Raiman, J., Lee, S.-g., Ene, T.-D., Kirby, R., Kim, S., Kim, J., Catanzaro, B.: PersonaPlex: voice and role control for full duplex conversational speech models. In: Proceedings of the IEEE International Conference on Acoustics, Speech and Signal Processing (ICASSP) (2026)</w:t>
      </w:r>
    </w:p>
    <w:p>
      <w:pPr>
        <w:spacing w:after="60" w:line="220"/>
        <w:ind w:left="340" w:hanging="340"/>
        <w:jc w:val="both"/>
      </w:pPr>
      <w:r>
        <w:rPr>
          <w:rFonts w:ascii="Times New Roman" w:cs="Times New Roman" w:eastAsia="Times New Roman" w:hAnsi="Times New Roman"/>
          <w:sz w:val="18"/>
          <w:szCs w:val="18"/>
        </w:rPr>
        <w:t xml:space="preserve">17. Saaty, T.L.: The Analytic Hierarchy Process: Planning, Priority Setting, Resource Allocation. McGraw-Hill, New York (1980)</w:t>
      </w:r>
    </w:p>
    <w:p>
      <w:pPr>
        <w:spacing w:after="60" w:line="220"/>
        <w:ind w:left="340" w:hanging="340"/>
        <w:jc w:val="both"/>
      </w:pPr>
      <w:r>
        <w:rPr>
          <w:rFonts w:ascii="Times New Roman" w:cs="Times New Roman" w:eastAsia="Times New Roman" w:hAnsi="Times New Roman"/>
          <w:sz w:val="18"/>
          <w:szCs w:val="18"/>
        </w:rPr>
        <w:t xml:space="preserve">18. Thinking Machines Lab: Interaction models: a scalable approach to human–AI collaboration. https://thinkingmachines.ai/blog/interaction-models/ (2026). Accessed 29 July 2026</w:t>
      </w:r>
    </w:p>
    <w:p>
      <w:pPr>
        <w:spacing w:after="60" w:line="220"/>
        <w:ind w:left="340" w:hanging="340"/>
        <w:jc w:val="both"/>
      </w:pPr>
      <w:r>
        <w:rPr>
          <w:rFonts w:ascii="Times New Roman" w:cs="Times New Roman" w:eastAsia="Times New Roman" w:hAnsi="Times New Roman"/>
          <w:sz w:val="18"/>
          <w:szCs w:val="18"/>
        </w:rPr>
        <w:t xml:space="preserve">19. U.S. Congress: Sarbanes-Oxley Act of 2002. Public Law 107-204 (2002)</w:t>
      </w:r>
    </w:p>
    <w:p>
      <w:pPr>
        <w:spacing w:after="60" w:line="220"/>
        <w:ind w:left="340" w:hanging="340"/>
        <w:jc w:val="both"/>
      </w:pPr>
      <w:r>
        <w:rPr>
          <w:rFonts w:ascii="Times New Roman" w:cs="Times New Roman" w:eastAsia="Times New Roman" w:hAnsi="Times New Roman"/>
          <w:sz w:val="18"/>
          <w:szCs w:val="18"/>
        </w:rPr>
        <w:t xml:space="preserve">20. U.S. Department of Health and Human Services: Health Insurance Portability and Accountability Act of 1996. Public Law 104-191 (1996)</w:t>
      </w:r>
    </w:p>
    <w:sectPr>
      <w:pgSz w:w="11905" w:h="16837" w:orient="portrait"/>
      <w:pgMar w:top="1700" w:right="2267"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ace19684c642c97c03d9f1ca8315f97d8759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2026-07-29T17:00:45.535Z</dcterms:created>
  <dcterms:modified xsi:type="dcterms:W3CDTF">2026-07-29T17:00:45.556Z</dcterms:modified>
</cp:coreProperties>
</file>

<file path=docProps/custom.xml><?xml version="1.0" encoding="utf-8"?>
<Properties xmlns="http://schemas.openxmlformats.org/officeDocument/2006/custom-properties" xmlns:vt="http://schemas.openxmlformats.org/officeDocument/2006/docPropsVTypes"/>
</file>