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 (functional), EM26-21 (non-functional)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 — what changed, why, who asked, the meeting where it was decided and where that meeting is recorded, the impact, how it was implemented and how it was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50"/>
        <w:gridCol w:w="1050"/>
        <w:gridCol w:w="1751"/>
        <w:gridCol w:w="1050"/>
        <w:gridCol w:w="1050"/>
        <w:gridCol w:w="1351"/>
        <w:gridCol w:w="1000"/>
        <w:gridCol w:w="850"/>
        <w:gridCol w:w="1200"/>
        <w:gridCol w:w="1000"/>
        <w:gridCol w:w="958"/>
      </w:tblGrid>
      <w:tr>
        <w:trPr>
          <w:tblHeader/>
        </w:trP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Reason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 (commit — version)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SOW: offline on-premises system, BYOA pilot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Baseline for the 2025 appliance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the DGX Spark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Capacity and portability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services ported; new platform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— v1.0.0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Kyutai Unmute → NVIDIA PersonaPlex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not natural, too slow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engine replaced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(compared in the QASC 2026 paper)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Superseded by RC-2026-03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PersonaPlex → own dual-loop flow grounded in the client's knowledge base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must use the client's large data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voice architecture; Nemotron speech recognition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— v1.1.0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E4/E7: 636 ms median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hierarchical section → chunk retrieval kept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7,300-page regulation; performance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design; BookRAG switched off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— v1.1.0; 2decb99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(BookRAG 43/52)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transcript: better speech model with fallback; chat from Ollama to TensorRT-LLM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accuracy and speed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recognition and LLM serving changed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— v1.1.0; b6a70d8 — v1.2.0; 80375c6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listen-only Silent Assistant that puts data on screen and never replies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request after the demonstration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 beside live transcription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— v1.2.0; 7f2658a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Document Studio — PPT and PDF locally, with and without a template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 (mediator contract)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module; on-device image model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 — v1.2.0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Requirements added from internal reviews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352"/>
        <w:gridCol w:w="1644"/>
        <w:gridCol w:w="2321"/>
        <w:gridCol w:w="2224"/>
        <w:gridCol w:w="1549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by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 — reach a deployed unit with no network (boot-time hotspot and landing page)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unit; configuration to version control (AC-26)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 — group discussions with speaker separation and a meeting report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 — v1.2.0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Requested, not yet accepted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835"/>
        <w:gridCol w:w="2321"/>
        <w:gridCol w:w="2514"/>
        <w:gridCol w:w="2420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sensors; vehicle inspection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Raised in a client or design meeting; the meeting is recorded as a review in EM26-19 with the decision and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design and schedule assessed; significant changes use FRM-02 and the change register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registers EM26-20 / EM26-21 updated; delivered in the next version;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2026-10-14T11:59:21.956Z</dcterms:created>
  <dcterms:modified xsi:type="dcterms:W3CDTF">2026-10-14T11:59:21.956Z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