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Planning (8.3.2)</w:t>
      </w:r>
    </w:p>
    <w:p>
      <w:pPr>
        <w:spacing w:after="100"/>
      </w:pPr>
      <w:r>
        <w:t xml:space="preserve">Two-month increments, each ending in a version (v1.0.0 Feb → v1.4.1 Oct 2026) and a review with the client or by engineering (EM26-23).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9618"/>
        <w:gridCol w:w="912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Functional requirements (EM26-20)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FR-2025-01, FR-2025-02, FR-2025-03, FR-2025-04, FR-2025-05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FR-PL-01, FR-PL-02, FR-PL-03, FR-PL-04, FR-PL-05, FR-PL-06, FR-PL-07, FR-PL-08, FR-PL-09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FR-KC-03, FR-KC-04, FR-KC-05, FR-KC-06, FR-KC-07, FR-KC-08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FR-LT-02, FR-LT-03, FR-LT-04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FR-VC-02, FR-VC-03, FR-VC-04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FR-DS-01, FR-DS-02, FR-DS-03, FR-DS-04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10530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Non-functional area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and targets (EM26-21)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 Grounded chat answer latency — median ≤ 4 s; p95 ≤ 16 s; NFR-P02 Retrieval share of answer latency — Monitor only (no target); NFR-P03 Tenant permission-filter overhead — ≤ 1 ms; NFR-P04 Voice: end of speech → first audible reply (dual-loop) — median ≤ 1.0 s; NFR-P05 Voice first reply after speculative-reply work — median ≤ 1.0 s; NFR-P06 Final speech-to-text decode time — ≤ 300 ms (GPU) / ≤ 1.6 s (CPU mode); NFR-P07 Barge-in: interrupt → assistant audio stops — median ≤ 1.0 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 Citation precision — ≥ 0.98 (set in QO-01); NFR-Q02 Citation recall — ≥ 0.80; NFR-Q03 Fact support rate — ≥ 0.80; NFR-Q04 Abstention when the corpus cannot answer — ≥ 0.80; NFR-Q05 Golden regression suite (52 questions) — ≥ 49/52 (baseline 2026-08-06); NFR-Q06 Small talk answered without document citations — 100 % of acceptance probes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 No cross-tenant leakage in answers — 0 leaks; NFR-S02 No out-of-namespace retrieval hits — 0 hits; NFR-S03 Prompt-injection success rate — ≤ 5 % with defences; NFR-S04 Injection guards in every prompt path — All paths; NFR-S05 Public instance requires login — Unauthenticated API → 401, always; NFR-S06 Logout ends the session — Replayed token → 401; NFR-S07 Only supported document types accepted — Binary/unsupported → 415; NFR-S08 Export gateway removes PII and keys — No sensitive value in redacted copy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 Health checks that exercise the function — All long-running services; NFR-R02 Automatic recovery from a fatal GPU fault — Unattended recovery; NFR-R03 Bounded logs — 50 MB × 5 per service; NFR-R04 Customer data recoverable — Restore tested ≤ 6 months; nightly off-site copy; NFR-R05 Reproducible builds — All dependencies pinned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 Automated regression on every change — Every push; NFR-M02 Running instance traceable to source — Version + commit reported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 Customer data never leaves the perimeter — Absolute; NFR-D02 Encryption at rest — Decision required; NFR-D03 Retention bounded per data class — Per class, in days (decision)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 options evaluated and decisions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2411"/>
        <w:gridCol w:w="2310"/>
        <w:gridCol w:w="1506"/>
        <w:gridCol w:w="904"/>
        <w:gridCol w:w="2009"/>
        <w:gridCol w:w="1406"/>
        <w:gridCol w:w="1108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Options evaluated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Kyutai Unmute (Moshi core, Kyutai STT/TTS) → NVIDIA PersonaPlex → own dual loop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Unmute: not natural, slow. PersonaPlex: fast but could not use the client's knowledge base. Dual loop: 636 ms median first reply, grounded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flow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CR-2026-03; EM26-19 review log › CR-2026-04; review record CR-2026-04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NFR-P07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BookRAG; PageIndex; hierarchical section → chunk retrieval with table-of-contents routing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 measured 43/52 vs 50/52; PageIndex not retained; hierarchical retrieval fastest and most accurate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Hierarchical section → chunk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18715c7, cfe3360, 2decb99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Wi-Fi hotspot with a landing page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reachable on a site with no network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 (AC-26)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Whisper → Nemotron streaming; Parakeet-TDT final transcript with automatic fallback to streaming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Domain terms correct ('DoD FMR'); no loss when the final model fails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Nemotron partials + Parakeet final with fallback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 → 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d89aeda, b6a70d8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 speed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→ TensorRT-LLM (Qwen3-30B-A3B NVFP4)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 median 3.31 s, p95 15.17 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TensorRT-LLM; Ollama kept for embeddings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06e788a, 80375c6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and agent checking each sentence of the live transcript against the documents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Supporting data and quoted proof shown on screen, no spoken reply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with rule packs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 → 08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ec9b180, f75121b, 7f2658a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diarisation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Several diarisation models compared by trial; VibeVoice-ASR in an isolated process with a Nemotron fallback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Speaker-separated transcript and report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VibeVoice-ASR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Image-generation and document models evaluated; SDXL-Turbo on device; PDF and PPTX renderers; templates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Documents made locally, with or without a template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SDXL-Turbo; block model; 18 templates + upload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5"/>
        <w:gridCol w:w="1316"/>
        <w:gridCol w:w="3037"/>
        <w:gridCol w:w="2835"/>
        <w:gridCol w:w="4557"/>
      </w:tblGrid>
      <w:tr>
        <w:trPr>
          <w:tblHeader/>
        </w:trP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DR-2025-01; DR-1.0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Minutes MM-ECHO-2025-05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CR-2026-03/04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 loop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Diarisation model chosen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SR-2026-01; b08cf25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RV-2026-03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 — meetings recorded as CR-2026-03, 04, 06, 07, 09 in EM26-19.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and version tags v1.0.0 → v1.4.1.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EM26-25; release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dual-loop design and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Each design change follows a requirement change in EM26-30 and, when significant,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Inputs: offline RAG system.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2026-10-14T11:59:21.972Z</dcterms:created>
  <dcterms:modified xsi:type="dcterms:W3CDTF">2026-10-14T11:59:21.972Z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