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olor w:val="6B7A90"/>
          <w:sz w:val="16"/>
          <w:szCs w:val="16"/>
        </w:rPr>
        <w:t xml:space="preserve">AJACE INC.  ·  ECHOMIND ENTERPRISE  ·  ISO 9001:2015 EVIDENCE</w:t>
      </w:r>
    </w:p>
    <w:p>
      <w:pPr>
        <w:pStyle w:val="Title"/>
        <w:pBdr>
          <w:bottom w:val="single" w:color="1F3A5F" w:sz="12" w:space="6"/>
        </w:pBdr>
        <w:spacing w:after="120"/>
      </w:pPr>
      <w:r>
        <w:rPr>
          <w:rFonts w:ascii="Calibri" w:cs="Calibri" w:eastAsia="Calibri" w:hAnsi="Calibri"/>
          <w:b/>
          <w:bCs/>
          <w:color w:val="1F3A5F"/>
          <w:sz w:val="34"/>
          <w:szCs w:val="34"/>
        </w:rPr>
        <w:t xml:space="preserve">Regression Testing on Defects – REG-2026-01</w:t>
      </w:r>
    </w:p>
    <w:p>
      <w:pPr>
        <w:pStyle w:val="Heading1"/>
      </w:pPr>
      <w:r>
        <w:t xml:space="preserve">Document control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rPr>
          <w:tblHeader/>
        </w:trP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Field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Value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Document ID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REG-2026-01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Title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Regression Testing on Defects – REG-2026-01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Version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1.0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Date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2026-10-06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Status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EXECUTED — record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Product / area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EchoMind Enterprise (repository RW2523/echomind-enterprise)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Prepared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Richard Watson Stephen Amudha (Lead Engineer)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Reviewed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Alexander Peter (EchoMind Project Lead)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Quality assurance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Sheryl Nazareth (QA / MR)</w:t>
            </w:r>
          </w:p>
        </w:tc>
      </w:tr>
      <w:tr>
        <w:tc>
          <w:tcPr>
            <w:tcW w:type="dxa" w:w="26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Approved by</w:t>
            </w:r>
          </w:p>
        </w:tc>
        <w:tc>
          <w:tcPr>
            <w:tcW w:type="dxa" w:w="67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Anita Johan (Managing Director) — 2026-10-07</w:t>
            </w:r>
          </w:p>
        </w:tc>
      </w:tr>
    </w:tbl>
    <w:p>
      <w:pPr>
        <w:pStyle w:val="Heading1"/>
      </w:pPr>
      <w:r>
        <w:t xml:space="preserve">Objective</w:t>
      </w:r>
    </w:p>
    <w:p>
      <w:pPr>
        <w:spacing w:after="100"/>
      </w:pPr>
      <w:r>
        <w:t xml:space="preserve">Verify that the corrected defect (NC-2026-010) stays fixed and that no new failures appear.</w:t>
      </w:r>
    </w:p>
    <w:p>
      <w:pPr>
        <w:pStyle w:val="Heading1"/>
      </w:pPr>
      <w:r>
        <w:t xml:space="preserve">Execution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3200"/>
        <w:gridCol w:w="2360"/>
      </w:tblGrid>
      <w:tr>
        <w:trPr>
          <w:tblHeader/>
        </w:trP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Suite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Result (2026-10-06)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Evidence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Backend unit suite (repo HEAD, in the backend container)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50 passed in 0.81s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SCR-17; Execution_Records/*_pytest.txt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Voice unit suite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131 passed in 0.13s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SCR-17; Execution_Records/*_pytest.txt</w:t>
            </w:r>
          </w:p>
        </w:tc>
      </w:tr>
      <w:tr>
        <w:tc>
          <w:tcPr>
            <w:tcW w:type="dxa" w:w="38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Frontend type-check (tsc --noEmit)</w:t>
            </w:r>
          </w:p>
        </w:tc>
        <w:tc>
          <w:tcPr>
            <w:tcW w:type="dxa" w:w="32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0 errors; exit=0</w:t>
            </w:r>
          </w:p>
        </w:tc>
        <w:tc>
          <w:tcPr>
            <w:tcW w:type="dxa" w:w="236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SCR-17; Execution_Records/*_pytest.txt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Acceptance re-test (run 4, v1.4.1)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2680"/>
        <w:gridCol w:w="2680"/>
      </w:tblGrid>
      <w:tr>
        <w:trPr>
          <w:tblHeader/>
        </w:trP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Test case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Initial (run 1)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1F3A5F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7"/>
                <w:szCs w:val="17"/>
              </w:rPr>
              <w:t xml:space="preserve">Final (run 4)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TC-EM-AUTH-101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Fail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TC-EM-DOC-102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Fail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TC-EM-RAG-103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Fail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TC-EM-ISO-104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TC-EM-OPS-105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TC-EM-REL-106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TC-EM-EXP-108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Fail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TC-EM-UNIT-109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TC-EM-DGEN-110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TC-EM-BRD-111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TC-EM-TRN-112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Not executed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Not executed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TC-EM-BKP-113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Pass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E3F4E8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Pass</w:t>
            </w:r>
          </w:p>
        </w:tc>
      </w:tr>
      <w:tr>
        <w:tc>
          <w:tcPr>
            <w:tcW w:type="dxa" w:w="400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TC-EM-EVAL-114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 w:val="false"/>
                <w:bCs w:val="false"/>
                <w:color w:val="222222"/>
                <w:sz w:val="17"/>
                <w:szCs w:val="17"/>
              </w:rPr>
              <w:t xml:space="preserve">Blocked</w:t>
            </w:r>
          </w:p>
        </w:tc>
        <w:tc>
          <w:tcPr>
            <w:tcW w:type="dxa" w:w="2680"/>
            <w:tcBorders>
              <w:top w:val="single" w:color="BFC7D5" w:sz="4"/>
              <w:left w:val="single" w:color="BFC7D5" w:sz="4"/>
              <w:bottom w:val="single" w:color="BFC7D5" w:sz="4"/>
              <w:right w:val="single" w:color="BFC7D5" w:sz="4"/>
            </w:tcBorders>
            <w:shd w:fill="FFF4D6" w:color="auto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sz w:val="17"/>
                <w:szCs w:val="17"/>
              </w:rPr>
              <w:t xml:space="preserve">Blocked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Result</w:t>
      </w:r>
    </w:p>
    <w:p>
      <w:pPr>
        <w:spacing w:after="100"/>
      </w:pPr>
      <w:r>
        <w:rPr>
          <w:b/>
          <w:bCs/>
        </w:rPr>
        <w:t xml:space="preserve">Passed.</w:t>
      </w:r>
      <w:r>
        <w:t xml:space="preserve"> The suites now include 14 regression tests for NC-2026-012…015 (backend 50, voice 131). All executable acceptance cases pass on v1.4.1. Re-testing between runs caught two further problems (QA-FAIL-2026-06, -07), both corrected before run 4 — see EM26-15.</w:t>
      </w:r>
    </w:p>
    <w:p>
      <w:pPr>
        <w:spacing w:before="120"/>
        <w:jc w:val="center"/>
      </w:pPr>
      <w:r>
        <w:drawing>
          <wp:inline distT="0" distB="0" distL="0" distR="0">
            <wp:extent cx="5905500" cy="1819275"/>
            <wp:effectExtent t="0" r="0" b="0" l="0"/>
            <wp:docPr id="19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0" cy="1819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i/>
          <w:iCs/>
          <w:color w:val="555555"/>
          <w:sz w:val="17"/>
          <w:szCs w:val="17"/>
        </w:rPr>
        <w:t xml:space="preserve">SCR-17 — regression suite output</w:t>
      </w:r>
    </w:p>
    <w:sectPr>
      <w:headerReference w:type="default" r:id="rId6"/>
      <w:footerReference w:type="default" r:id="rId7"/>
      <w:pgSz w:w="12240" w:h="15840" w:orient="portrait"/>
      <w:pgMar w:top="1300" w:right="1440" w:bottom="120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60"/>
      </w:tabs>
    </w:pPr>
    <w:r>
      <w:rPr>
        <w:color w:val="8A94A6"/>
        <w:sz w:val="15"/>
        <w:szCs w:val="15"/>
      </w:rPr>
      <w:t xml:space="preserve">Controlled in docs/qms (git). Uncontrolled when printed.</w:t>
    </w:r>
    <w:r>
      <w:rPr>
        <w:color w:val="8A94A6"/>
        <w:sz w:val="15"/>
        <w:szCs w:val="15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BFC7D5" w:sz="4" w:space="4"/>
      </w:pBdr>
      <w:tabs>
        <w:tab w:val="right" w:pos="9360"/>
      </w:tabs>
    </w:pPr>
    <w:r>
      <w:rPr>
        <w:color w:val="6B7A90"/>
        <w:sz w:val="16"/>
        <w:szCs w:val="16"/>
      </w:rPr>
      <w:t xml:space="preserve">Ajace Inc. — EchoMind Enterprise</w:t>
    </w:r>
    <w:r>
      <w:rPr>
        <w:b/>
        <w:bCs/>
        <w:color w:val="6B7A90"/>
        <w:sz w:val="16"/>
        <w:szCs w:val="16"/>
      </w:rPr>
      <w:t xml:space="preserve">	REG-2026-01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80"/>
      <w:outlineLvl w:val="0"/>
    </w:pPr>
    <w:rPr>
      <w:rFonts w:ascii="Calibri" w:cs="Calibri" w:eastAsia="Calibri" w:hAnsi="Calibri"/>
      <w:b/>
      <w:bCs/>
      <w:color w:val="1F3A5F"/>
      <w:sz w:val="26"/>
      <w:szCs w:val="26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34507A"/>
      <w:sz w:val="22"/>
      <w:szCs w:val="22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theme" Target="theme/theme1.xml"/><Relationship Id="rId9" Type="http://schemas.openxmlformats.org/officeDocument/2006/relationships/image" Target="media/71fc14d3b8c09305e1716bb06cb164b426605ea9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Regression Testing on Defects – REG-2026-01</dc:title>
  <dc:creator>Ajace Inc. — EchoMind QMS</dc:creator>
  <cp:lastModifiedBy>Un-named</cp:lastModifiedBy>
  <cp:revision>1</cp:revision>
  <dcterms:created xsi:type="dcterms:W3CDTF">2026-10-10T18:40:28.665Z</dcterms:created>
  <dcterms:modified xsi:type="dcterms:W3CDTF">2026-10-10T18:40:28.665Z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