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7A90"/>
          <w:sz w:val="16"/>
          <w:szCs w:val="16"/>
        </w:rPr>
        <w:t xml:space="preserve">AJACE INC.  ·  ECHOMIND ENTERPRISE  ·  ISO 9001:2015 EVIDENCE</w:t>
      </w:r>
    </w:p>
    <w:p>
      <w:pPr>
        <w:pStyle w:val="Title"/>
        <w:pBdr>
          <w:bottom w:val="single" w:color="1F3A5F" w:sz="12" w:space="6"/>
        </w:pBdr>
        <w:spacing w:after="120"/>
      </w:pPr>
      <w:r>
        <w:rPr>
          <w:rFonts w:ascii="Calibri" w:cs="Calibri" w:eastAsia="Calibri" w:hAnsi="Calibri"/>
          <w:b/>
          <w:bCs/>
          <w:color w:val="1F3A5F"/>
          <w:sz w:val="34"/>
          <w:szCs w:val="34"/>
        </w:rPr>
        <w:t xml:space="preserve">AJACE Deliverable Review Feedback and Action Log — EchoMind Enterprise</w:t>
      </w:r>
    </w:p>
    <w:p>
      <w:pPr>
        <w:pStyle w:val="Heading1"/>
      </w:pPr>
      <w:r>
        <w:t xml:space="preserve">Document control</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600"/>
        <w:gridCol w:w="9360"/>
      </w:tblGrid>
      <w:tr>
        <w:trPr>
          <w:tblHeader/>
        </w:trPr>
        <w:tc>
          <w:tcPr>
            <w:tcW w:type="dxa" w:w="36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Field</w:t>
            </w:r>
          </w:p>
        </w:tc>
        <w:tc>
          <w:tcPr>
            <w:tcW w:type="dxa" w:w="93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Value</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Document ID</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EM26-18</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Title</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Deliverable Review Feedback and Action Log</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Version</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1.1</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Date</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2026-10-10</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Organisation</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AJACE Inc. — 14159 Robert Paris Ct., Suite A, Chantilly, VA 20151, USA</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Area / project</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EchoMind Product — EchoMind Enterprise (repository RW2523/echomind-enterprise)</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Addresses</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2025 finding #7 — ISO 9001:2015 9.1.1 (Observation)</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Status</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 1.0 APPROVED 2026-10-07 (AR-2026-001); rev 1.1 issued 2026-10-10 — approval of the revision to be confirmed</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Prepared by</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 (Lead Engineer)</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Reviewed by</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 (EchoMind Project Lead)</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Quality assurance</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 (QA / MR)</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Approved by</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 (Managing Director) — rev 1.0 2026-10-07</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Data custodian</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Kishan Haravu Pradeep</w:t>
            </w:r>
          </w:p>
        </w:tc>
      </w:tr>
    </w:tbl>
    <w:p>
      <w:pPr>
        <w:pBdr>
          <w:left w:val="single" w:color="E0A800" w:sz="18" w:space="8"/>
        </w:pBdr>
        <w:shd w:fill="FFF8E1" w:color="auto" w:val="clear"/>
        <w:spacing w:after="160" w:before="120"/>
      </w:pPr>
      <w:r>
        <w:rPr>
          <w:sz w:val="19"/>
          <w:szCs w:val="19"/>
        </w:rPr>
        <w:t xml:space="preserve">Closure evidence for the 2025 surveillance-audit finding #7 (clause 9.1.1, Observation): “No actions were available from review feedback of deliverables.”</w:t>
      </w:r>
    </w:p>
    <w:p>
      <w:pPr>
        <w:pStyle w:val="Heading1"/>
      </w:pPr>
      <w:r>
        <w:t xml:space="preserve">1. Purpose</w:t>
      </w:r>
    </w:p>
    <w:p>
      <w:pPr>
        <w:spacing w:after="100"/>
      </w:pPr>
      <w:r>
        <w:t xml:space="preserve">Show that every review of an EchoMind deliverable — by a client, by the Project Lead or by engineering — produces recorded findings and actions, each with an owner, a due date, closure evidence and, where applicable, a verification that the action worked. The controlled source registers are </w:t>
      </w:r>
      <w:r>
        <w:rPr>
          <w:rFonts w:ascii="Consolas" w:cs="Consolas" w:eastAsia="Consolas" w:hAnsi="Consolas"/>
          <w:sz w:val="19"/>
          <w:szCs w:val="19"/>
        </w:rPr>
        <w:t xml:space="preserve">REG-10</w:t>
      </w:r>
      <w:r>
        <w:t xml:space="preserve"> (reviews) and </w:t>
      </w:r>
      <w:r>
        <w:rPr>
          <w:rFonts w:ascii="Consolas" w:cs="Consolas" w:eastAsia="Consolas" w:hAnsi="Consolas"/>
          <w:sz w:val="19"/>
          <w:szCs w:val="19"/>
        </w:rPr>
        <w:t xml:space="preserve">REG-04</w:t>
      </w:r>
      <w:r>
        <w:t xml:space="preserve"> (nonconformities); the live tracker is the GitHub project board.</w:t>
      </w:r>
    </w:p>
    <w:p>
      <w:pPr>
        <w:pStyle w:val="Heading1"/>
      </w:pPr>
      <w:r>
        <w:t xml:space="preserve">2. Project history 2025 → 2026 — where the reviews came from</w:t>
      </w:r>
    </w:p>
    <w:p>
      <w:pPr>
        <w:spacing w:after="100"/>
      </w:pPr>
      <w:r>
        <w:t xml:space="preserve">The 2026 deliverables were driven by client requirements and by client feedback on each version shown to them. Months come from the team's account and are checked against the commit record; where they differed, the commit date is used.</w:t>
      </w:r>
    </w:p>
    <w:p>
      <w:pPr>
        <w:pBdr>
          <w:left w:val="single" w:color="E0A800" w:sz="18" w:space="8"/>
        </w:pBdr>
        <w:shd w:fill="FFF8E1" w:color="auto" w:val="clear"/>
        <w:spacing w:after="160" w:before="120"/>
      </w:pPr>
      <w:r>
        <w:rPr>
          <w:sz w:val="19"/>
          <w:szCs w:val="19"/>
        </w:rPr>
        <w:t xml:space="preserve">Clients are identified as Client A–D in this public copy. The names are held by the EchoMind Project Lead and shown in the controlled copy given to the auditor.</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50"/>
        <w:gridCol w:w="5254"/>
        <w:gridCol w:w="1876"/>
        <w:gridCol w:w="1501"/>
        <w:gridCol w:w="3079"/>
      </w:tblGrid>
      <w:tr>
        <w:trPr>
          <w:tblHeader/>
        </w:trPr>
        <w:tc>
          <w:tcPr>
            <w:tcW w:type="dxa" w:w="125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When</w:t>
            </w:r>
          </w:p>
        </w:tc>
        <w:tc>
          <w:tcPr>
            <w:tcW w:type="dxa" w:w="5254"/>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Event, requirement or feedback</w:t>
            </w:r>
          </w:p>
        </w:tc>
        <w:tc>
          <w:tcPr>
            <w:tcW w:type="dxa" w:w="1876"/>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Source</w:t>
            </w:r>
          </w:p>
        </w:tc>
        <w:tc>
          <w:tcPr>
            <w:tcW w:type="dxa" w:w="1501"/>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Review / action</w:t>
            </w:r>
          </w:p>
        </w:tc>
        <w:tc>
          <w:tcPr>
            <w:tcW w:type="dxa" w:w="3079"/>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Evidence</w:t>
            </w:r>
          </w:p>
        </w:tc>
      </w:tr>
      <w:tr>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2025</w:t>
            </w:r>
          </w:p>
        </w:tc>
        <w:tc>
          <w:tcPr>
            <w:tcW w:type="dxa" w:w="525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EchoMind (predecessor) delivered a live transcript and a chatbot with RAG on a PC we built for the client, as the client required</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2025 client project</w:t>
            </w:r>
          </w:p>
        </w:tc>
        <w:tc>
          <w:tcPr>
            <w:tcW w:type="dxa" w:w="150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c>
          <w:tcPr>
            <w:tcW w:type="dxa" w:w="307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2025 evidence pack; EM26-00 §0</w:t>
            </w:r>
          </w:p>
        </w:tc>
      </w:tr>
      <w:tr>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2026-01</w:t>
            </w:r>
          </w:p>
        </w:tc>
        <w:tc>
          <w:tcPr>
            <w:tcW w:type="dxa" w:w="525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Portable AI supercomputers (NVIDIA DGX Spark) reach the market; the team decides to move the product to one</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Management / engineering decision</w:t>
            </w:r>
          </w:p>
        </w:tc>
        <w:tc>
          <w:tcPr>
            <w:tcW w:type="dxa" w:w="150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CR-2026-01</w:t>
            </w:r>
          </w:p>
        </w:tc>
        <w:tc>
          <w:tcPr>
            <w:tcW w:type="dxa" w:w="307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This log</w:t>
            </w:r>
          </w:p>
        </w:tc>
      </w:tr>
      <w:tr>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2026-02</w:t>
            </w:r>
          </w:p>
        </w:tc>
        <w:tc>
          <w:tcPr>
            <w:tcW w:type="dxa" w:w="525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First DGX Spark bought; the 2025 code ported in full and running on it</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Engineering</w:t>
            </w:r>
          </w:p>
        </w:tc>
        <w:tc>
          <w:tcPr>
            <w:tcW w:type="dxa" w:w="150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AC-20</w:t>
            </w:r>
          </w:p>
        </w:tc>
        <w:tc>
          <w:tcPr>
            <w:tcW w:type="dxa" w:w="307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4b90b36, c751d79 (2026-02-05)</w:t>
            </w:r>
          </w:p>
        </w:tc>
      </w:tr>
      <w:tr>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2026-03</w:t>
            </w:r>
          </w:p>
        </w:tc>
        <w:tc>
          <w:tcPr>
            <w:tcW w:type="dxa" w:w="525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Requirements from Client A and Client B (Bahrain): (1) personal AI assistant, (2) conversation assistance, (3) financial knowledge base on the DoD Financial Management Regulation (DoD 7000.14-R)</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Clients A and B</w:t>
            </w:r>
          </w:p>
        </w:tc>
        <w:tc>
          <w:tcPr>
            <w:tcW w:type="dxa" w:w="150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CR-2026-02</w:t>
            </w:r>
          </w:p>
        </w:tc>
        <w:tc>
          <w:tcPr>
            <w:tcW w:type="dxa" w:w="307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95d3512 (2026-03-08)</w:t>
            </w:r>
          </w:p>
        </w:tc>
      </w:tr>
      <w:tr>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2026-03</w:t>
            </w:r>
          </w:p>
        </w:tc>
        <w:tc>
          <w:tcPr>
            <w:tcW w:type="dxa" w:w="525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Conversation assistance v1 on the Kyutai Unmute stack — client: not natural and slow</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Clients A and B</w:t>
            </w:r>
          </w:p>
        </w:tc>
        <w:tc>
          <w:tcPr>
            <w:tcW w:type="dxa" w:w="150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CR-2026-03</w:t>
            </w:r>
          </w:p>
        </w:tc>
        <w:tc>
          <w:tcPr>
            <w:tcW w:type="dxa" w:w="307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4b90b36 (Moshi adapter), bff6cf2 (Kyutai STT)</w:t>
            </w:r>
          </w:p>
        </w:tc>
      </w:tr>
      <w:tr>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2026-03</w:t>
            </w:r>
          </w:p>
        </w:tc>
        <w:tc>
          <w:tcPr>
            <w:tcW w:type="dxa" w:w="525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DoD FMR is a very large document: BookRAG and PageIndex tried; hierarchical (section → chunk) chunking adopted for performance</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Engineering</w:t>
            </w:r>
          </w:p>
        </w:tc>
        <w:tc>
          <w:tcPr>
            <w:tcW w:type="dxa" w:w="150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AC-22</w:t>
            </w:r>
          </w:p>
        </w:tc>
        <w:tc>
          <w:tcPr>
            <w:tcW w:type="dxa" w:w="307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31f1205 … 5057a30 (2026-03-03 → 06); 23ac2f9 (03-07); 2decb99 (07-30)</w:t>
            </w:r>
          </w:p>
        </w:tc>
      </w:tr>
      <w:tr>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2026-03 → 04</w:t>
            </w:r>
          </w:p>
        </w:tc>
        <w:tc>
          <w:tcPr>
            <w:tcW w:type="dxa" w:w="525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Conversation assistance v2 on NVIDIA PersonaPlex — client: must work with the customer's large data in spoken conversation</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Clients A and B</w:t>
            </w:r>
          </w:p>
        </w:tc>
        <w:tc>
          <w:tcPr>
            <w:tcW w:type="dxa" w:w="150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CR-2026-04</w:t>
            </w:r>
          </w:p>
        </w:tc>
        <w:tc>
          <w:tcPr>
            <w:tcW w:type="dxa" w:w="307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QASC 2026 paper (539493f)</w:t>
            </w:r>
          </w:p>
        </w:tc>
      </w:tr>
      <w:tr>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2026-04</w:t>
            </w:r>
          </w:p>
        </w:tc>
        <w:tc>
          <w:tcPr>
            <w:tcW w:type="dxa" w:w="525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Own dual-loop conversation architecture built and pushed to the code</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Engineering</w:t>
            </w:r>
          </w:p>
        </w:tc>
        <w:tc>
          <w:tcPr>
            <w:tcW w:type="dxa" w:w="150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AC-24</w:t>
            </w:r>
          </w:p>
        </w:tc>
        <w:tc>
          <w:tcPr>
            <w:tcW w:type="dxa" w:w="307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ddc0aa3, d89aeda (2026-04-08)</w:t>
            </w:r>
          </w:p>
        </w:tc>
      </w:tr>
      <w:tr>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2026-04</w:t>
            </w:r>
          </w:p>
        </w:tc>
        <w:tc>
          <w:tcPr>
            <w:tcW w:type="dxa" w:w="525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 asks how a unit will work once deployed on a client site; proposes a hotspot — at every boot the unit raises its own Wi-Fi hotspot and serves a web page from which the applications open</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Project Lead design review</w:t>
            </w:r>
          </w:p>
        </w:tc>
        <w:tc>
          <w:tcPr>
            <w:tcW w:type="dxa" w:w="150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CR-2026-05</w:t>
            </w:r>
          </w:p>
        </w:tc>
        <w:tc>
          <w:tcPr>
            <w:tcW w:type="dxa" w:w="307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Deployment unit configuration; 0818cdc (2026-04-10)</w:t>
            </w:r>
          </w:p>
        </w:tc>
      </w:tr>
      <w:tr>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2026-04</w:t>
            </w:r>
          </w:p>
        </w:tc>
        <w:tc>
          <w:tcPr>
            <w:tcW w:type="dxa" w:w="525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A reports live-transcript accuracy and speed problems — better speech model with fallback across models; chat moved from Ollama to TensorRT-LLM</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A</w:t>
            </w:r>
          </w:p>
        </w:tc>
        <w:tc>
          <w:tcPr>
            <w:tcW w:type="dxa" w:w="150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CR-2026-06</w:t>
            </w:r>
          </w:p>
        </w:tc>
        <w:tc>
          <w:tcPr>
            <w:tcW w:type="dxa" w:w="307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d89aeda (04-08), b6a70d8 (06-26), 80375c6 (07-29)</w:t>
            </w:r>
          </w:p>
        </w:tc>
      </w:tr>
      <w:tr>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2026-05</w:t>
            </w:r>
          </w:p>
        </w:tc>
        <w:tc>
          <w:tcPr>
            <w:tcW w:type="dxa" w:w="525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C (law firm) likes conversation and live transcript; asks for a mode that listens, pulls up data while people speak and shows it on screen without replying — the Silent Assistant</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C</w:t>
            </w:r>
          </w:p>
        </w:tc>
        <w:tc>
          <w:tcPr>
            <w:tcW w:type="dxa" w:w="150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CR-2026-07</w:t>
            </w:r>
          </w:p>
        </w:tc>
        <w:tc>
          <w:tcPr>
            <w:tcW w:type="dxa" w:w="307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ec9b180 (05-11), f75121b (06-27), 7f2658a (08-16)</w:t>
            </w:r>
          </w:p>
        </w:tc>
      </w:tr>
      <w:tr>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2026-05</w:t>
            </w:r>
          </w:p>
        </w:tc>
        <w:tc>
          <w:tcPr>
            <w:tcW w:type="dxa" w:w="525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Group discussions: a diarisation model adopted after much trial and error in model selection — Boardroom</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Engineering</w:t>
            </w:r>
          </w:p>
        </w:tc>
        <w:tc>
          <w:tcPr>
            <w:tcW w:type="dxa" w:w="150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CR-2026-08</w:t>
            </w:r>
          </w:p>
        </w:tc>
        <w:tc>
          <w:tcPr>
            <w:tcW w:type="dxa" w:w="307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f540976 (05-14), cf463aa (05-19), e1a337b (05-27)</w:t>
            </w:r>
          </w:p>
        </w:tc>
      </w:tr>
      <w:tr>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2026-06</w:t>
            </w:r>
          </w:p>
        </w:tc>
        <w:tc>
          <w:tcPr>
            <w:tcW w:type="dxa" w:w="525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D (Gulf region) asks for a document studio — PPT and PDF created locally inside the application, with and without a template, with generated images</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D</w:t>
            </w:r>
          </w:p>
        </w:tc>
        <w:tc>
          <w:tcPr>
            <w:tcW w:type="dxa" w:w="150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CR-2026-09</w:t>
            </w:r>
          </w:p>
        </w:tc>
        <w:tc>
          <w:tcPr>
            <w:tcW w:type="dxa" w:w="307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2d23f40 (06-20), 66356f9 (06-27)</w:t>
            </w:r>
          </w:p>
        </w:tc>
      </w:tr>
    </w:tbl>
    <w:p>
      <w:pPr>
        <w:spacing w:after="120"/>
      </w:pPr>
    </w:p>
    <w:p>
      <w:pPr>
        <w:spacing w:after="100"/>
      </w:pPr>
      <w:r>
        <w:t xml:space="preserve">The voice path in detail — options tried, why each was replaced, and the measured result — is in EM26-17 §4.</w:t>
      </w:r>
    </w:p>
    <w:p>
      <w:pPr>
        <w:pStyle w:val="Heading1"/>
      </w:pPr>
      <w:r>
        <w:t xml:space="preserve">3. How a review produces actions</w:t>
      </w:r>
    </w:p>
    <w:p>
      <w:pPr>
        <w:pStyle w:val="ListParagraph"/>
        <w:numPr>
          <w:ilvl w:val="0"/>
          <w:numId w:val="2"/>
        </w:numPr>
        <w:spacing w:after="60"/>
      </w:pPr>
      <w:r>
        <w:rPr>
          <w:b/>
          <w:bCs/>
        </w:rPr>
        <w:t xml:space="preserve">Review</w:t>
      </w:r>
      <w:r>
        <w:t xml:space="preserve"> — a deliverable (demonstration, code change, release candidate, evaluation, document) is reviewed against its requirements or claims; client feedback is a review.</w:t>
      </w:r>
    </w:p>
    <w:p>
      <w:pPr>
        <w:pStyle w:val="ListParagraph"/>
        <w:numPr>
          <w:ilvl w:val="0"/>
          <w:numId w:val="2"/>
        </w:numPr>
        <w:spacing w:after="60"/>
      </w:pPr>
      <w:r>
        <w:rPr>
          <w:b/>
          <w:bCs/>
        </w:rPr>
        <w:t xml:space="preserve">Findings</w:t>
      </w:r>
      <w:r>
        <w:t xml:space="preserve"> — each finding is verified before it becomes an action; findings that do not hold up are recorded as refuted, with the reason (18 of 40 in RV-2026-03).</w:t>
      </w:r>
    </w:p>
    <w:p>
      <w:pPr>
        <w:pStyle w:val="ListParagraph"/>
        <w:numPr>
          <w:ilvl w:val="0"/>
          <w:numId w:val="2"/>
        </w:numPr>
        <w:spacing w:after="60"/>
      </w:pPr>
      <w:r>
        <w:rPr>
          <w:b/>
          <w:bCs/>
        </w:rPr>
        <w:t xml:space="preserve">Action</w:t>
      </w:r>
      <w:r>
        <w:t xml:space="preserve"> — logged with an owner, a due date and the evidence that will close it; tracked as a GitHub issue on the project board.</w:t>
      </w:r>
    </w:p>
    <w:p>
      <w:pPr>
        <w:pStyle w:val="ListParagraph"/>
        <w:numPr>
          <w:ilvl w:val="0"/>
          <w:numId w:val="2"/>
        </w:numPr>
        <w:spacing w:after="60"/>
      </w:pPr>
      <w:r>
        <w:rPr>
          <w:b/>
          <w:bCs/>
        </w:rPr>
        <w:t xml:space="preserve">Closure</w:t>
      </w:r>
      <w:r>
        <w:t xml:space="preserve"> — closed only with evidence (commit, test run, record); for defects, effectiveness is verified by a re-test.</w:t>
      </w:r>
    </w:p>
    <w:p>
      <w:pPr>
        <w:pStyle w:val="ListParagraph"/>
        <w:numPr>
          <w:ilvl w:val="0"/>
          <w:numId w:val="2"/>
        </w:numPr>
        <w:spacing w:after="60"/>
      </w:pPr>
      <w:r>
        <w:rPr>
          <w:b/>
          <w:bCs/>
        </w:rPr>
        <w:t xml:space="preserve">Review of the log</w:t>
      </w:r>
      <w:r>
        <w:t xml:space="preserve"> — open actions are reviewed at each release and at management review.</w:t>
      </w:r>
    </w:p>
    <w:p>
      <w:pPr>
        <w:pStyle w:val="Heading1"/>
      </w:pPr>
      <w:r>
        <w:t xml:space="preserve">4. Review log</w:t>
      </w:r>
    </w:p>
    <w:p>
      <w:pPr>
        <w:pStyle w:val="Heading2"/>
      </w:pPr>
      <w:r>
        <w:t xml:space="preserve">4.1 Client and design reviews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188"/>
        <w:gridCol w:w="1250"/>
        <w:gridCol w:w="1876"/>
        <w:gridCol w:w="1751"/>
        <w:gridCol w:w="1626"/>
        <w:gridCol w:w="1751"/>
        <w:gridCol w:w="900"/>
        <w:gridCol w:w="900"/>
        <w:gridCol w:w="1718"/>
      </w:tblGrid>
      <w:tr>
        <w:trPr>
          <w:tblHeader/>
        </w:trPr>
        <w:tc>
          <w:tcPr>
            <w:tcW w:type="dxa" w:w="1188"/>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Review</w:t>
            </w:r>
          </w:p>
        </w:tc>
        <w:tc>
          <w:tcPr>
            <w:tcW w:type="dxa" w:w="125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Date</w:t>
            </w:r>
          </w:p>
        </w:tc>
        <w:tc>
          <w:tcPr>
            <w:tcW w:type="dxa" w:w="1876"/>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Deliverable</w:t>
            </w:r>
          </w:p>
        </w:tc>
        <w:tc>
          <w:tcPr>
            <w:tcW w:type="dxa" w:w="1751"/>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Review type</w:t>
            </w:r>
          </w:p>
        </w:tc>
        <w:tc>
          <w:tcPr>
            <w:tcW w:type="dxa" w:w="1626"/>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Performed by</w:t>
            </w:r>
          </w:p>
        </w:tc>
        <w:tc>
          <w:tcPr>
            <w:tcW w:type="dxa" w:w="1751"/>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Findings</w:t>
            </w:r>
          </w:p>
        </w:tc>
        <w:tc>
          <w:tcPr>
            <w:tcW w:type="dxa" w:w="9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Actions</w:t>
            </w:r>
          </w:p>
        </w:tc>
        <w:tc>
          <w:tcPr>
            <w:tcW w:type="dxa" w:w="9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Closed</w:t>
            </w:r>
          </w:p>
        </w:tc>
        <w:tc>
          <w:tcPr>
            <w:tcW w:type="dxa" w:w="1718"/>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Record</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CR-2026-01</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2026-01</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Platform for the next product generation</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Management / engineering review of the 2025 appliance against new hardware</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EchoMind team</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 single-PC appliance limits capacity and portability; a portable AI supercomputer is now available</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Decision recorded here; 4b90b36</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CR-2026-02</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2026-03</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Requirements — Client A; Client B (Bahrain)</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Requirements review with the clients</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EchoMind team with the clients</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3 requirements: personal AI assistant; conversation assistance; DoD FMR financial knowledge base</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95d3512, 18715c7</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CR-2026-03</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2026-03</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Conversation assistance v1 (Kyutai Unmute stack)</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demonstration review</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Clients A and B</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Not natural; too slow</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4b90b36, bff6cf2</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CR-2026-04</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2026-03 → 04</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Conversation assistance v2 (NVIDIA PersonaPlex)</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demonstration review</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Clients A and B</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Fast, but cannot use the customer's large knowledge base in spoken conversation</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ddc0aa3; QASC 2026 paper</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CR-2026-05</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2026-04</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Field deployment of the unit</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Design review</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 (EchoMind Project Lead)</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No way to reach a deployed unit on a site without a network</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Deployment unit; 0818cdc</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CR-2026-06</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2026-04</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Live transcription</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feedback review</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A</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Accuracy and speed below need (e.g. 'DoD FMR' heard as 'DODFMA')</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3</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3</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d89aeda, b6a70d8, 80375c6</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CR-2026-07</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2026-05</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Conversation and live transcript demonstration</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review</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C (law firm)</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Needs a listen-only assistant that pulls supporting data onto the screen while people speak</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ec9b180, f75121b, 7f2658a</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CR-2026-08</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2026-05</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Group discussions (Boardroom)</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Design review and model trials</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EchoMind team</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Speaker separation (diarisation) needed; model chosen by trial</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f540976, cf463aa, e1a337b</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CR-2026-09</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2026-06</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Document creation</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requirement review</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D (Gulf region)</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PPT and PDF made locally, with and without a template, with images</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2d23f40, 66356f9</w:t>
            </w:r>
          </w:p>
        </w:tc>
      </w:tr>
    </w:tbl>
    <w:p>
      <w:pPr>
        <w:spacing w:after="120"/>
      </w:pPr>
    </w:p>
    <w:p>
      <w:pPr>
        <w:pStyle w:val="Heading2"/>
      </w:pPr>
      <w:r>
        <w:t xml:space="preserve">4.2 Engineering and quality reviews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188"/>
        <w:gridCol w:w="1250"/>
        <w:gridCol w:w="1876"/>
        <w:gridCol w:w="1751"/>
        <w:gridCol w:w="1626"/>
        <w:gridCol w:w="1751"/>
        <w:gridCol w:w="900"/>
        <w:gridCol w:w="900"/>
        <w:gridCol w:w="1718"/>
      </w:tblGrid>
      <w:tr>
        <w:trPr>
          <w:tblHeader/>
        </w:trPr>
        <w:tc>
          <w:tcPr>
            <w:tcW w:type="dxa" w:w="1188"/>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Review</w:t>
            </w:r>
          </w:p>
        </w:tc>
        <w:tc>
          <w:tcPr>
            <w:tcW w:type="dxa" w:w="125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Date</w:t>
            </w:r>
          </w:p>
        </w:tc>
        <w:tc>
          <w:tcPr>
            <w:tcW w:type="dxa" w:w="1876"/>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Deliverable</w:t>
            </w:r>
          </w:p>
        </w:tc>
        <w:tc>
          <w:tcPr>
            <w:tcW w:type="dxa" w:w="1751"/>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Review type</w:t>
            </w:r>
          </w:p>
        </w:tc>
        <w:tc>
          <w:tcPr>
            <w:tcW w:type="dxa" w:w="1626"/>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Performed by</w:t>
            </w:r>
          </w:p>
        </w:tc>
        <w:tc>
          <w:tcPr>
            <w:tcW w:type="dxa" w:w="1751"/>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Findings</w:t>
            </w:r>
          </w:p>
        </w:tc>
        <w:tc>
          <w:tcPr>
            <w:tcW w:type="dxa" w:w="9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Actions</w:t>
            </w:r>
          </w:p>
        </w:tc>
        <w:tc>
          <w:tcPr>
            <w:tcW w:type="dxa" w:w="9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Closed</w:t>
            </w:r>
          </w:p>
        </w:tc>
        <w:tc>
          <w:tcPr>
            <w:tcW w:type="dxa" w:w="1718"/>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Record</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RV-2026-01</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2026-07-29 → 08-07</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Retrieval pipeline</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Golden-question evaluation (52 questions) against the live stack</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5 defects + 1 isolation regression</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ebd232f, 4e27109 — REG-10 RF-2026-003</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RV-2026-02</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2026-08-07</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Research paper experiment campaign (E1–E10)</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Measurements checked against the paper's own claims</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 substantive (2 contradict published claims)</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0</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eval/paper/results/SUMMARY.json — RF-2026-002</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RV-2026-03</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2026-09-21</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Voice change set (speculative reply, tool routing, GPU STT)</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Structured adversarial review, five lenses, each finding independently verified</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 (AI-assisted, independent verification)</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40 raised; 22 confirmed; 18 refuted</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22</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22</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ff29843 — RF-2026-001</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RV-2026-04</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2026-09-22</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Golden evaluation re-run for audit evidence</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Measurement review</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Corpus absent (9/52)</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NC-2026-008; eval_20260922-135322.json</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RV-2026-05</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2026-09-28</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Repository health check</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Unit suites + type-check against HEAD</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5 failing tests, 20 type errors</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5ddf8a6, 736ea61 — NC-2026-010</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RV-2026-06</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October audit pack</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Every claim re-verified against the running system</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6 statements wrong (incl. no login on the public site)</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855bd80, 1d7f154 — NC-2026-009</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RV-2026-07</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Release candidate (13 acceptance test cases)</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Executed acceptance tests, 4 runs</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 defects; re-tests found 2 more</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5</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3</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e0ed4d0, 3feb5db, f1b8445 — NC-2026-012…016</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RV-2026-08</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Public instance access logs</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Log review for the ungated period</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Ungated 68 days; 64 scanner probes; no data change outside engineering work</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records/capa/2026-10-07_NC-2026-009_access_log_review.md</w:t>
            </w:r>
          </w:p>
        </w:tc>
      </w:tr>
    </w:tbl>
    <w:p>
      <w:pPr>
        <w:spacing w:after="120"/>
      </w:pPr>
    </w:p>
    <w:p>
      <w:pPr>
        <w:pStyle w:val="Heading1"/>
      </w:pPr>
      <w:r>
        <w:t xml:space="preserve">5. Action log</w:t>
      </w:r>
    </w:p>
    <w:p>
      <w:pPr>
        <w:pStyle w:val="Heading2"/>
      </w:pPr>
      <w:r>
        <w:t xml:space="preserve">5.1 Actions from client and design reviews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835"/>
        <w:gridCol w:w="1133"/>
        <w:gridCol w:w="3699"/>
        <w:gridCol w:w="1551"/>
        <w:gridCol w:w="1074"/>
        <w:gridCol w:w="1193"/>
        <w:gridCol w:w="2458"/>
        <w:gridCol w:w="1017"/>
      </w:tblGrid>
      <w:tr>
        <w:trPr>
          <w:tblHeader/>
        </w:trPr>
        <w:tc>
          <w:tcPr>
            <w:tcW w:type="dxa" w:w="835"/>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Action</w:t>
            </w:r>
          </w:p>
        </w:tc>
        <w:tc>
          <w:tcPr>
            <w:tcW w:type="dxa" w:w="1133"/>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From</w:t>
            </w:r>
          </w:p>
        </w:tc>
        <w:tc>
          <w:tcPr>
            <w:tcW w:type="dxa" w:w="3699"/>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Action</w:t>
            </w:r>
          </w:p>
        </w:tc>
        <w:tc>
          <w:tcPr>
            <w:tcW w:type="dxa" w:w="1551"/>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Owner</w:t>
            </w:r>
          </w:p>
        </w:tc>
        <w:tc>
          <w:tcPr>
            <w:tcW w:type="dxa" w:w="1074"/>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Due</w:t>
            </w:r>
          </w:p>
        </w:tc>
        <w:tc>
          <w:tcPr>
            <w:tcW w:type="dxa" w:w="1193"/>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Status</w:t>
            </w:r>
          </w:p>
        </w:tc>
        <w:tc>
          <w:tcPr>
            <w:tcW w:type="dxa" w:w="2458"/>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Closure evidence</w:t>
            </w:r>
          </w:p>
        </w:tc>
        <w:tc>
          <w:tcPr>
            <w:tcW w:type="dxa" w:w="1017"/>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Ticket</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AC-20</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CR-2026-01</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Buy the first DGX Spark and port the 2025 code to it (ARM64)</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EchoMind team</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2026-02</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4b90b36, c751d79 (2026-02-05) — 2025 code running on the DGX Spark</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AC-21</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CR-2026-02</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Personal AI assistant: financial-assistant behaviour, conversation memory, personas</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2026-04</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95d3512, e59fd55 (2026-03-08); 518fb8e (2026-04-08); c6b834d (2026-06-27)</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AC-22</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CR-2026-02</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DoD FMR knowledge base: try BookRAG and PageIndex; adopt hierarchical section → chunk retrieval with table-of-contents routing and regulation-tuned query classification</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2026-03</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31f1205, 045b1b1 (03-03); 18715c7, cfe3360 (03-05); 5057a30 (03-06). BookRAG 23ac2f9 (03-07) measured 43/52 vs 50/52 and was switched off (2decb99, 07-30); PageIndex evaluated, not adopted</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AC-23</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CR-2026-03</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Replace the Unmute stack with NVIDIA PersonaPlex</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2026-03</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 — superseded by AC-24</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Trial compared in the QASC 2026 paper; trial code not kept</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AC-24</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CR-2026-04</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Build our own dual-loop conversation architecture grounded in the customer's knowledge base</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2026-04</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ddc0aa3, d89aeda (04-08); fbbadd0 (05-28); 5ce8bbe, cbc57d1 (08-07) — 636 ms median first audio vs 866 ms single loop</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AC-25</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CR-2026-05</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Hotspot: unit raises a Wi-Fi hotspot at every boot and serves a landing page that opens the applications</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2026-04</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Built on the deployment unit; offline preparation 0818cdc (2026-04-10)</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AC-26</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CR-2026-05</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Bring the hotspot configuration under version control and add it to the deployment guide</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2026-10-31</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Open</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AC-27</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CR-2026-06</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Replace Whisper with Nemotron streaming speech recognition for live transcription</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2026-04-08</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d89aeda, 172b94c, ddc0aa3</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AC-28</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CR-2026-06</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Accurate final transcript with Parakeet-TDT and automatic fallback to the streaming model</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2026-06-26</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b6a70d8, 3a6b1f9 — fixes 'DoD FMR' → 'DODFMA'</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AC-29</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CR-2026-06</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Move chat generation from Ollama to TensorRT-LLM for speed</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2026-07-29</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06e788a (03-20) integration; 80375c6 (07-29) Qwen3-30B-A3B NVFP4 on TensorRT-LLM; Ollama kept for embeddings and rollback</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AC-30</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CR-2026-07</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Silent Assistant: runs with the live transcript; an assistant and an agent check the content continuously and surface data and pointers on screen without replying</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2026-05-11</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ec9b180 (2026-05-11)</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AC-31</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CR-2026-07</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Law rule pack, always-surface mode, namespace awareness; sentence-level checks with quoted proof</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2026-08-16</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f75121b (06-27), 7f2658a (08-16)</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AC-32</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CR-2026-08</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Select a diarisation model by trial; build Boardroom (group discussion, speaker-separated transcript, report)</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2026-05-27</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f540976 (05-14), cf463aa (05-19), e1a337b (05-27); VibeVoice-ASR adopted (REG-02 M-06)</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AC-33</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CR-2026-08</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Harden Boardroom: report salvage when the model output is truncated</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2026-09-04</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b08cf25 (06-18), 724fb98 (09-04)</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AC-34</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CR-2026-09</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Evaluate image-generation and document models; build Document Studio with PDF and PPTX export, on-device images, with and without a template</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2026-06-27</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2d23f40 (06-20), 66356f9 (06-27); SDXL-Turbo on device (REG-02)</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bl>
    <w:p>
      <w:pPr>
        <w:spacing w:after="120"/>
      </w:pPr>
    </w:p>
    <w:p>
      <w:pPr>
        <w:pStyle w:val="Heading2"/>
      </w:pPr>
      <w:r>
        <w:t xml:space="preserve">5.2 Actions from engineering and quality reviews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835"/>
        <w:gridCol w:w="1133"/>
        <w:gridCol w:w="3699"/>
        <w:gridCol w:w="1551"/>
        <w:gridCol w:w="1074"/>
        <w:gridCol w:w="1193"/>
        <w:gridCol w:w="2458"/>
        <w:gridCol w:w="1017"/>
      </w:tblGrid>
      <w:tr>
        <w:trPr>
          <w:tblHeader/>
        </w:trPr>
        <w:tc>
          <w:tcPr>
            <w:tcW w:type="dxa" w:w="835"/>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Action</w:t>
            </w:r>
          </w:p>
        </w:tc>
        <w:tc>
          <w:tcPr>
            <w:tcW w:type="dxa" w:w="1133"/>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From</w:t>
            </w:r>
          </w:p>
        </w:tc>
        <w:tc>
          <w:tcPr>
            <w:tcW w:type="dxa" w:w="3699"/>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Action</w:t>
            </w:r>
          </w:p>
        </w:tc>
        <w:tc>
          <w:tcPr>
            <w:tcW w:type="dxa" w:w="1551"/>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Owner</w:t>
            </w:r>
          </w:p>
        </w:tc>
        <w:tc>
          <w:tcPr>
            <w:tcW w:type="dxa" w:w="1074"/>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Due</w:t>
            </w:r>
          </w:p>
        </w:tc>
        <w:tc>
          <w:tcPr>
            <w:tcW w:type="dxa" w:w="1193"/>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Status</w:t>
            </w:r>
          </w:p>
        </w:tc>
        <w:tc>
          <w:tcPr>
            <w:tcW w:type="dxa" w:w="2458"/>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Closure evidence</w:t>
            </w:r>
          </w:p>
        </w:tc>
        <w:tc>
          <w:tcPr>
            <w:tcW w:type="dxa" w:w="1017"/>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Ticket</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AC-01</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RV-2026-01</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Enforce namespace predicate on the sparse transcript path; audit all paths</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2026-08-07</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4e27109 — 0/359 out-of-namespace hits</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AC-02</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RV-2026-01</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Fix five retrieval defects found by the golden suite</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2026-07-29</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ebd232f — suite restored to 49/52</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AC-03</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RV-2026-02</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Record contradicting findings verbatim; correct the claims in the next paper version</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Next version</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Open (recording done)</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SUMMARY.json</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#19, #27</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AC-04</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RV-2026-03</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22 confirmed voice findings fixed before release (e.g. abort blocking the event loop; WebSocket close not aborting generation; hold phrase racing the answer; mid-word text split)</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2026-09-21</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ff29843 — 12/12 spoken turns, barge-in verified, 0 CUDA errors</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AC-05</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RV-2026-04</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Make the evaluation abort when its corpus is missing</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f3aca50 — aborts listing 15 documents</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#48</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AC-06</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RV-2026-04</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Restore the evaluation corpus and re-measure</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2026-10-13</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Open</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#47</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AC-07</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RV-2026-05</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Correct stale tests and type errors</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2026-09-28</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5ddf8a6, 736ea61</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AC-08</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RV-2026-05</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Run the suites automatically on every push (CI)</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CI runs 37561379960 (pass) / 37561804619 (fails on broken test)</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#50</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AC-09</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RV-2026-06</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Restore application login on the public instance</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Externally verified 401</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#29</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AC-10</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RV-2026-06</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Correct the audit pack and registers against the running system</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855bd80, 1d7f154</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#40</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AC-11</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RV-2026-07</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Logout revokes tokens; upload allow-list; small-talk routing; export key formats</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e0ed4d0 + 14 regression tests; run 4 pass</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#32–#35</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AC-12</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RV-2026-07</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Activity log identifies the caller before logout revokes the token</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3feb5db; run 4 AC-101.8 pass</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#32</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AC-13</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RV-2026-07</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Embedding service on CPU; healthcheck makes a real embedding</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DC-2026-005; f3aca50</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#59</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AC-14</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RV-2026-07</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Decide the GPU-sharing policy for the host</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2026-10-31</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Open</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#60</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AC-15</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RV-2026-07</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Sign the v1.4.0 and v1.4.1 release records</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2026-10-13</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Open</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#61</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AC-16</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RV-2026-08</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External login check every 6 hours</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run 37561803121</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#51</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AC-17</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RV-2026-08</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Record runtime-setting changes (SOP-06 §10.1, drift check)</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f3aca50</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#52</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AC-18</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RV-2026-08</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Confirm the 2026-08-07 / 08-16 / 09-15 knowledge-base operations were internal; check Cloudflare analytics</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Kishan Haravu Pradeep</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2026-10-13</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Open</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#53 follow-up</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AC-19</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RV-2026-08</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Record the real client address (CF-Connecting-IP) in the activity log; retain proxy logs</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2026-10-31</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Open</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bl>
    <w:p>
      <w:pPr>
        <w:spacing w:after="120"/>
      </w:pPr>
    </w:p>
    <w:p>
      <w:pPr>
        <w:pStyle w:val="Heading1"/>
      </w:pPr>
      <w:r>
        <w:t xml:space="preserve">6. Summary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984"/>
        <w:gridCol w:w="2630"/>
        <w:gridCol w:w="2769"/>
        <w:gridCol w:w="2577"/>
      </w:tblGrid>
      <w:tr>
        <w:trPr>
          <w:tblHeader/>
        </w:trPr>
        <w:tc>
          <w:tcPr>
            <w:tcW w:type="dxa" w:w="4984"/>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Measure</w:t>
            </w:r>
          </w:p>
        </w:tc>
        <w:tc>
          <w:tcPr>
            <w:tcW w:type="dxa" w:w="263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Client and design</w:t>
            </w:r>
          </w:p>
        </w:tc>
        <w:tc>
          <w:tcPr>
            <w:tcW w:type="dxa" w:w="2769"/>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Engineering and quality</w:t>
            </w:r>
          </w:p>
        </w:tc>
        <w:tc>
          <w:tcPr>
            <w:tcW w:type="dxa" w:w="2577"/>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Total</w:t>
            </w:r>
          </w:p>
        </w:tc>
      </w:tr>
      <w:tr>
        <w:tc>
          <w:tcPr>
            <w:tcW w:type="dxa" w:w="498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Reviews recorded</w:t>
            </w:r>
          </w:p>
        </w:tc>
        <w:tc>
          <w:tcPr>
            <w:tcW w:type="dxa" w:w="263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9</w:t>
            </w:r>
          </w:p>
        </w:tc>
        <w:tc>
          <w:tcPr>
            <w:tcW w:type="dxa" w:w="276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8</w:t>
            </w:r>
          </w:p>
        </w:tc>
        <w:tc>
          <w:tcPr>
            <w:tcW w:type="dxa" w:w="257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17</w:t>
            </w:r>
          </w:p>
        </w:tc>
      </w:tr>
      <w:tr>
        <w:tc>
          <w:tcPr>
            <w:tcW w:type="dxa" w:w="498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Actions raised</w:t>
            </w:r>
          </w:p>
        </w:tc>
        <w:tc>
          <w:tcPr>
            <w:tcW w:type="dxa" w:w="263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15</w:t>
            </w:r>
          </w:p>
        </w:tc>
        <w:tc>
          <w:tcPr>
            <w:tcW w:type="dxa" w:w="276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40</w:t>
            </w:r>
          </w:p>
        </w:tc>
        <w:tc>
          <w:tcPr>
            <w:tcW w:type="dxa" w:w="257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55</w:t>
            </w:r>
          </w:p>
        </w:tc>
      </w:tr>
      <w:tr>
        <w:tc>
          <w:tcPr>
            <w:tcW w:type="dxa" w:w="498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Actions closed with evidence</w:t>
            </w:r>
          </w:p>
        </w:tc>
        <w:tc>
          <w:tcPr>
            <w:tcW w:type="dxa" w:w="263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14</w:t>
            </w:r>
          </w:p>
        </w:tc>
        <w:tc>
          <w:tcPr>
            <w:tcW w:type="dxa" w:w="276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34</w:t>
            </w:r>
          </w:p>
        </w:tc>
        <w:tc>
          <w:tcPr>
            <w:tcW w:type="dxa" w:w="257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48 (87 %)</w:t>
            </w:r>
          </w:p>
        </w:tc>
      </w:tr>
      <w:tr>
        <w:tc>
          <w:tcPr>
            <w:tcW w:type="dxa" w:w="498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Actions open, each with owner and due date</w:t>
            </w:r>
          </w:p>
        </w:tc>
        <w:tc>
          <w:tcPr>
            <w:tcW w:type="dxa" w:w="263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w:t>
            </w:r>
          </w:p>
        </w:tc>
        <w:tc>
          <w:tcPr>
            <w:tcW w:type="dxa" w:w="276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6</w:t>
            </w:r>
          </w:p>
        </w:tc>
        <w:tc>
          <w:tcPr>
            <w:tcW w:type="dxa" w:w="257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7</w:t>
            </w:r>
          </w:p>
        </w:tc>
      </w:tr>
      <w:tr>
        <w:tc>
          <w:tcPr>
            <w:tcW w:type="dxa" w:w="498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Findings refuted on verification (not actioned)</w:t>
            </w:r>
          </w:p>
        </w:tc>
        <w:tc>
          <w:tcPr>
            <w:tcW w:type="dxa" w:w="263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c>
          <w:tcPr>
            <w:tcW w:type="dxa" w:w="276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18 (RV-2026-03)</w:t>
            </w:r>
          </w:p>
        </w:tc>
        <w:tc>
          <w:tcPr>
            <w:tcW w:type="dxa" w:w="257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18</w:t>
            </w:r>
          </w:p>
        </w:tc>
      </w:tr>
    </w:tbl>
    <w:p>
      <w:pPr>
        <w:spacing w:after="120"/>
      </w:pPr>
    </w:p>
    <w:p>
      <w:pPr>
        <w:pStyle w:val="Heading1"/>
      </w:pPr>
      <w:r>
        <w:t xml:space="preserve">7. Where the evidence is</w:t>
      </w:r>
    </w:p>
    <w:p>
      <w:pPr>
        <w:pStyle w:val="ListParagraph"/>
        <w:numPr>
          <w:ilvl w:val="0"/>
          <w:numId w:val="2"/>
        </w:numPr>
        <w:spacing w:after="60"/>
      </w:pPr>
      <w:r>
        <w:t xml:space="preserve">Project board (actions as tickets): https://github.com/users/RW2523/projects/2</w:t>
      </w:r>
    </w:p>
    <w:p>
      <w:pPr>
        <w:pStyle w:val="ListParagraph"/>
        <w:numPr>
          <w:ilvl w:val="0"/>
          <w:numId w:val="2"/>
        </w:numPr>
        <w:spacing w:after="60"/>
      </w:pPr>
      <w:r>
        <w:t xml:space="preserve">REG-10 Review Feedback and Action Log; REG-04 Nonconformity and CAPA Log — </w:t>
      </w:r>
      <w:r>
        <w:rPr>
          <w:rFonts w:ascii="Consolas" w:cs="Consolas" w:eastAsia="Consolas" w:hAnsi="Consolas"/>
          <w:sz w:val="19"/>
          <w:szCs w:val="19"/>
        </w:rPr>
        <w:t xml:space="preserve">docs/qms/registers/</w:t>
      </w:r>
    </w:p>
    <w:p>
      <w:pPr>
        <w:pStyle w:val="ListParagraph"/>
        <w:numPr>
          <w:ilvl w:val="0"/>
          <w:numId w:val="2"/>
        </w:numPr>
        <w:spacing w:after="60"/>
      </w:pPr>
      <w:r>
        <w:t xml:space="preserve">Commits named above — https://github.com/RW2523/echomind-enterprise/commits/main (all branches for 2026-03 RAG work)</w:t>
      </w:r>
    </w:p>
    <w:p>
      <w:pPr>
        <w:pStyle w:val="ListParagraph"/>
        <w:numPr>
          <w:ilvl w:val="0"/>
          <w:numId w:val="2"/>
        </w:numPr>
        <w:spacing w:after="60"/>
      </w:pPr>
      <w:r>
        <w:t xml:space="preserve">Test execution records — </w:t>
      </w:r>
      <w:r>
        <w:rPr>
          <w:rFonts w:ascii="Consolas" w:cs="Consolas" w:eastAsia="Consolas" w:hAnsi="Consolas"/>
          <w:sz w:val="19"/>
          <w:szCs w:val="19"/>
        </w:rPr>
        <w:t xml:space="preserve">docs/qms/evidence-2026/15_Testing/Execution_Records/</w:t>
      </w:r>
    </w:p>
    <w:p>
      <w:pPr>
        <w:pStyle w:val="ListParagraph"/>
        <w:numPr>
          <w:ilvl w:val="0"/>
          <w:numId w:val="2"/>
        </w:numPr>
        <w:spacing w:after="60"/>
      </w:pPr>
      <w:r>
        <w:t xml:space="preserve">Voice architecture evidence — EM26-17 §4 and the QASC 2026 paper (</w:t>
      </w:r>
      <w:r>
        <w:rPr>
          <w:rFonts w:ascii="Consolas" w:cs="Consolas" w:eastAsia="Consolas" w:hAnsi="Consolas"/>
          <w:sz w:val="19"/>
          <w:szCs w:val="19"/>
        </w:rPr>
        <w:t xml:space="preserve">docs/paper/</w:t>
      </w:r>
      <w:r>
        <w:t xml:space="preserve">)</w:t>
      </w:r>
    </w:p>
    <w:p>
      <w:pPr>
        <w:pStyle w:val="Heading1"/>
      </w:pPr>
      <w:r>
        <w:t xml:space="preserve">8. Records and retention</w:t>
      </w:r>
    </w:p>
    <w:p>
      <w:pPr>
        <w:spacing w:after="100"/>
      </w:pPr>
      <w:r>
        <w:t xml:space="preserve">Controlled in git; tickets on GitHub. Retention: 7 years.</w:t>
      </w:r>
    </w:p>
    <w:p>
      <w:pPr>
        <w:pStyle w:val="Heading1"/>
      </w:pPr>
      <w:r>
        <w:t xml:space="preserve">Verification and approval</w:t>
      </w:r>
    </w:p>
    <w:p>
      <w:pPr>
        <w:spacing w:after="100"/>
        <w:rPr>
          <w:i/>
          <w:iCs/>
          <w:color w:val="555555"/>
          <w:sz w:val="17"/>
          <w:szCs w:val="17"/>
        </w:rPr>
      </w:pPr>
      <w:r>
        <w:rPr>
          <w:i/>
          <w:iCs/>
          <w:color w:val="555555"/>
          <w:sz w:val="17"/>
          <w:szCs w:val="17"/>
        </w:rPr>
        <w:t xml:space="preserve">Signatures are the typed names of the role holders. Revision 1.0 was reviewed and approved by each of them on 2026-10-07 (docs/qms/records/approvals/2026-10-07_AR-2026-001_document_approval.md). Revision 1.1 is signed here when the reviewer, QA and the Managing Director confirm it (SOP-01 §6).</w:t>
      </w:r>
    </w:p>
    <w:p>
      <w:pPr>
        <w:pStyle w:val="Heading2"/>
      </w:pPr>
      <w:r>
        <w:t xml:space="preserve">Revision history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800"/>
        <w:gridCol w:w="1246"/>
        <w:gridCol w:w="3600"/>
        <w:gridCol w:w="3738"/>
        <w:gridCol w:w="2576"/>
      </w:tblGrid>
      <w:tr>
        <w:trPr>
          <w:tblHeader/>
        </w:trPr>
        <w:tc>
          <w:tcPr>
            <w:tcW w:type="dxa" w:w="18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Date</w:t>
            </w:r>
          </w:p>
        </w:tc>
        <w:tc>
          <w:tcPr>
            <w:tcW w:type="dxa" w:w="1246"/>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Version</w:t>
            </w:r>
          </w:p>
        </w:tc>
        <w:tc>
          <w:tcPr>
            <w:tcW w:type="dxa" w:w="36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Owner</w:t>
            </w:r>
          </w:p>
        </w:tc>
        <w:tc>
          <w:tcPr>
            <w:tcW w:type="dxa" w:w="3738"/>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Reviewer</w:t>
            </w:r>
          </w:p>
        </w:tc>
        <w:tc>
          <w:tcPr>
            <w:tcW w:type="dxa" w:w="2576"/>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Change</w:t>
            </w:r>
          </w:p>
        </w:tc>
      </w:tr>
      <w:tr>
        <w:tc>
          <w:tcPr>
            <w:tcW w:type="dxa" w:w="18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c>
          <w:tcPr>
            <w:tcW w:type="dxa" w:w="124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1.0</w:t>
            </w:r>
          </w:p>
        </w:tc>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 (Lead Engineer)</w:t>
            </w:r>
          </w:p>
        </w:tc>
        <w:tc>
          <w:tcPr>
            <w:tcW w:type="dxa" w:w="373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 (EchoMind Project Lead)</w:t>
            </w:r>
          </w:p>
        </w:tc>
        <w:tc>
          <w:tcPr>
            <w:tcW w:type="dxa" w:w="25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First issue; approved AR-2026-001</w:t>
            </w:r>
          </w:p>
        </w:tc>
      </w:tr>
      <w:tr>
        <w:tc>
          <w:tcPr>
            <w:tcW w:type="dxa" w:w="18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2026-10-10</w:t>
            </w:r>
          </w:p>
        </w:tc>
        <w:tc>
          <w:tcPr>
            <w:tcW w:type="dxa" w:w="124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1.1</w:t>
            </w:r>
          </w:p>
        </w:tc>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 (Lead Engineer)</w:t>
            </w:r>
          </w:p>
        </w:tc>
        <w:tc>
          <w:tcPr>
            <w:tcW w:type="dxa" w:w="373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 (EchoMind Project Lead)</w:t>
            </w:r>
          </w:p>
        </w:tc>
        <w:tc>
          <w:tcPr>
            <w:tcW w:type="dxa" w:w="25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Project history 2025–2026 and client/design reviews CR-2026-01…09 added</w:t>
            </w:r>
          </w:p>
        </w:tc>
      </w:tr>
    </w:tbl>
    <w:p>
      <w:pPr>
        <w:spacing w:after="120"/>
      </w:pP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600"/>
        <w:gridCol w:w="3876"/>
        <w:gridCol w:w="3323"/>
        <w:gridCol w:w="2161"/>
      </w:tblGrid>
      <w:tr>
        <w:trPr>
          <w:tblHeader/>
        </w:trPr>
        <w:tc>
          <w:tcPr>
            <w:tcW w:type="dxa" w:w="36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Role</w:t>
            </w:r>
          </w:p>
        </w:tc>
        <w:tc>
          <w:tcPr>
            <w:tcW w:type="dxa" w:w="3876"/>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Name</w:t>
            </w:r>
          </w:p>
        </w:tc>
        <w:tc>
          <w:tcPr>
            <w:tcW w:type="dxa" w:w="3323"/>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Signature</w:t>
            </w:r>
          </w:p>
        </w:tc>
        <w:tc>
          <w:tcPr>
            <w:tcW w:type="dxa" w:w="2161"/>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Date</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Prepared by — Lead Engineer</w:t>
            </w:r>
          </w:p>
        </w:tc>
        <w:tc>
          <w:tcPr>
            <w:tcW w:type="dxa" w:w="3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33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216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2026-10-10</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Reviewed by — EchoMind Project Lead</w:t>
            </w:r>
          </w:p>
        </w:tc>
        <w:tc>
          <w:tcPr>
            <w:tcW w:type="dxa" w:w="3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w:t>
            </w:r>
          </w:p>
        </w:tc>
        <w:tc>
          <w:tcPr>
            <w:tcW w:type="dxa" w:w="33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 1.0 signed 2026-10-07; rev 1.1 to confirm</w:t>
            </w:r>
          </w:p>
        </w:tc>
        <w:tc>
          <w:tcPr>
            <w:tcW w:type="dxa" w:w="2161"/>
            <w:tcBorders>
              <w:top w:val="single" w:color="BFC7D5" w:sz="4"/>
              <w:left w:val="single" w:color="BFC7D5" w:sz="4"/>
              <w:bottom w:val="single" w:color="BFC7D5" w:sz="4"/>
              <w:right w:val="single" w:color="BFC7D5" w:sz="4"/>
            </w:tcBorders>
            <w:tcMar>
              <w:top w:type="dxa" w:w="60"/>
              <w:left w:type="dxa" w:w="90"/>
              <w:bottom w:type="dxa" w:w="60"/>
              <w:right w:type="dxa" w:w="90"/>
            </w:tcMar>
          </w:tcP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Quality assurance — QA / MR</w:t>
            </w:r>
          </w:p>
        </w:tc>
        <w:tc>
          <w:tcPr>
            <w:tcW w:type="dxa" w:w="3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w:t>
            </w:r>
          </w:p>
        </w:tc>
        <w:tc>
          <w:tcPr>
            <w:tcW w:type="dxa" w:w="33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 1.0 signed 2026-10-07; rev 1.1 to confirm</w:t>
            </w:r>
          </w:p>
        </w:tc>
        <w:tc>
          <w:tcPr>
            <w:tcW w:type="dxa" w:w="2161"/>
            <w:tcBorders>
              <w:top w:val="single" w:color="BFC7D5" w:sz="4"/>
              <w:left w:val="single" w:color="BFC7D5" w:sz="4"/>
              <w:bottom w:val="single" w:color="BFC7D5" w:sz="4"/>
              <w:right w:val="single" w:color="BFC7D5" w:sz="4"/>
            </w:tcBorders>
            <w:tcMar>
              <w:top w:type="dxa" w:w="60"/>
              <w:left w:type="dxa" w:w="90"/>
              <w:bottom w:type="dxa" w:w="60"/>
              <w:right w:type="dxa" w:w="90"/>
            </w:tcMar>
          </w:tcP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Approved by — Managing Director</w:t>
            </w:r>
          </w:p>
        </w:tc>
        <w:tc>
          <w:tcPr>
            <w:tcW w:type="dxa" w:w="3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w:t>
            </w:r>
          </w:p>
        </w:tc>
        <w:tc>
          <w:tcPr>
            <w:tcW w:type="dxa" w:w="33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 1.0 signed 2026-10-07; rev 1.1 to confirm</w:t>
            </w:r>
          </w:p>
        </w:tc>
        <w:tc>
          <w:tcPr>
            <w:tcW w:type="dxa" w:w="2161"/>
            <w:tcBorders>
              <w:top w:val="single" w:color="BFC7D5" w:sz="4"/>
              <w:left w:val="single" w:color="BFC7D5" w:sz="4"/>
              <w:bottom w:val="single" w:color="BFC7D5" w:sz="4"/>
              <w:right w:val="single" w:color="BFC7D5" w:sz="4"/>
            </w:tcBorders>
            <w:tcMar>
              <w:top w:type="dxa" w:w="60"/>
              <w:left w:type="dxa" w:w="90"/>
              <w:bottom w:type="dxa" w:w="60"/>
              <w:right w:type="dxa" w:w="90"/>
            </w:tcMar>
          </w:tcPr>
          <w:p/>
        </w:tc>
      </w:tr>
    </w:tbl>
    <w:sectPr>
      <w:headerReference w:type="default" r:id="rId6"/>
      <w:footerReference w:type="default" r:id="rId7"/>
      <w:pgSz w:w="15840" w:h="12240" w:orient="landscape"/>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2960"/>
      </w:tabs>
    </w:pPr>
    <w:r>
      <w:rPr>
        <w:color w:val="8A94A6"/>
        <w:sz w:val="15"/>
        <w:szCs w:val="15"/>
      </w:rPr>
      <w:t xml:space="preserve">Controlled in docs/qms (git). Uncontrolled when printed.</w:t>
    </w:r>
    <w:r>
      <w:rPr>
        <w:color w:val="8A94A6"/>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5" w:sz="4" w:space="4"/>
      </w:pBdr>
      <w:tabs>
        <w:tab w:val="right" w:pos="12960"/>
      </w:tabs>
    </w:pPr>
    <w:r>
      <w:rPr>
        <w:color w:val="6B7A90"/>
        <w:sz w:val="16"/>
        <w:szCs w:val="16"/>
      </w:rPr>
      <w:t xml:space="preserve">Ajace Inc. — EchoMind Enterprise</w:t>
    </w:r>
    <w:r>
      <w:rPr>
        <w:b/>
        <w:bCs/>
        <w:color w:val="6B7A90"/>
        <w:sz w:val="16"/>
        <w:szCs w:val="16"/>
      </w:rPr>
      <w:t xml:space="preserve">	EM26-18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A5F"/>
      <w:sz w:val="26"/>
      <w:szCs w:val="26"/>
    </w:rPr>
  </w:style>
  <w:style w:type="paragraph" w:styleId="Heading2">
    <w:name w:val="Heading 2"/>
    <w:basedOn w:val="Normal"/>
    <w:next w:val="Normal"/>
    <w:qFormat/>
    <w:pPr>
      <w:spacing w:after="80" w:before="200"/>
      <w:outlineLvl w:val="1"/>
    </w:pPr>
    <w:rPr>
      <w:rFonts w:ascii="Calibri" w:cs="Calibri" w:eastAsia="Calibri" w:hAnsi="Calibri"/>
      <w:b/>
      <w:bCs/>
      <w:color w:val="34507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AJACE Deliverable Review Feedback and Action Log — EchoMind Enterprise</dc:title>
  <dc:creator>Ajace Inc. — EchoMind QMS</dc:creator>
  <cp:lastModifiedBy>Un-named</cp:lastModifiedBy>
  <cp:revision>1</cp:revision>
  <dcterms:created xsi:type="dcterms:W3CDTF">2026-10-10T18:40:29.210Z</dcterms:created>
  <dcterms:modified xsi:type="dcterms:W3CDTF">2026-10-10T18:40:29.210Z</dcterms:modified>
</cp:coreProperties>
</file>

<file path=docProps/custom.xml><?xml version="1.0" encoding="utf-8"?>
<Properties xmlns="http://schemas.openxmlformats.org/officeDocument/2006/custom-properties" xmlns:vt="http://schemas.openxmlformats.org/officeDocument/2006/docPropsVTypes"/>
</file>