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FRM-04 — Supplier / External Provider Evaluation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FRM-04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8.4.1, 8.4.2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When to use this form</w:t>
      </w:r>
    </w:p>
    <w:p>
      <w:pPr>
        <w:pStyle w:val="BodyText"/>
        <w:bidi w:val="0"/>
        <w:jc w:val="left"/>
        <w:rPr/>
      </w:pPr>
      <w:r>
        <w:rPr/>
        <w:t xml:space="preserve">Before an externally provided product, service or component is relied on in EchoMind Enterprise or in its build, and at each re-evaluation date thereafter. Covers open-weight models, container base images, software packages, hosted services and distribution channels. One record per provider or component. Summarised in </w:t>
      </w:r>
      <w:r>
        <w:rPr>
          <w:rStyle w:val="SourceText"/>
        </w:rPr>
        <w:t>registers/REG-02_External_Documents_and_Providers.md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Evaluation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525"/>
        <w:gridCol w:w="8813"/>
      </w:tblGrid>
      <w:tr>
        <w:trPr>
          <w:tblHeader w:val="true"/>
        </w:trPr>
        <w:tc>
          <w:tcPr>
            <w:tcW w:w="252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81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25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Evaluation reference</w:t>
            </w:r>
          </w:p>
        </w:tc>
        <w:tc>
          <w:tcPr>
            <w:tcW w:w="88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SUP-________-____</w:t>
            </w:r>
          </w:p>
        </w:tc>
      </w:tr>
      <w:tr>
        <w:trPr/>
        <w:tc>
          <w:tcPr>
            <w:tcW w:w="25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Provider / component</w:t>
            </w:r>
          </w:p>
        </w:tc>
        <w:tc>
          <w:tcPr>
            <w:tcW w:w="88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5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88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Model ☐ Base image ☐ Package / library ☐ Hosted service ☐ Distribution mirror ☐ Other: </w:t>
            </w: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25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Used for</w:t>
            </w:r>
          </w:p>
        </w:tc>
        <w:tc>
          <w:tcPr>
            <w:tcW w:w="88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5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 or pin in use</w:t>
            </w:r>
          </w:p>
        </w:tc>
        <w:tc>
          <w:tcPr>
            <w:tcW w:w="88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5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Pin mechanism (file and line)</w:t>
            </w:r>
          </w:p>
        </w:tc>
        <w:tc>
          <w:tcPr>
            <w:tcW w:w="88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5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Evaluated by (role)</w:t>
            </w:r>
          </w:p>
        </w:tc>
        <w:tc>
          <w:tcPr>
            <w:tcW w:w="88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52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of evaluation</w:t>
            </w:r>
          </w:p>
        </w:tc>
        <w:tc>
          <w:tcPr>
            <w:tcW w:w="881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 Licence and obligations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104"/>
        <w:gridCol w:w="5234"/>
      </w:tblGrid>
      <w:tr>
        <w:trPr>
          <w:tblHeader w:val="true"/>
        </w:trPr>
        <w:tc>
          <w:tcPr>
            <w:tcW w:w="610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523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6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Licence name and version</w:t>
            </w:r>
          </w:p>
        </w:tc>
        <w:tc>
          <w:tcPr>
            <w:tcW w:w="52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Licence source (URL or path to retained copy)</w:t>
            </w:r>
          </w:p>
        </w:tc>
        <w:tc>
          <w:tcPr>
            <w:tcW w:w="52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Permits commercial use</w:t>
            </w:r>
          </w:p>
        </w:tc>
        <w:tc>
          <w:tcPr>
            <w:tcW w:w="52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☐ No ☐ Conditional: </w:t>
            </w: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6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Permits on-premises redistribution to a customer</w:t>
            </w:r>
          </w:p>
        </w:tc>
        <w:tc>
          <w:tcPr>
            <w:tcW w:w="52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☐ No ☐ Conditional: </w:t>
            </w: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6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Attribution / NOTICE obligation</w:t>
            </w:r>
          </w:p>
        </w:tc>
        <w:tc>
          <w:tcPr>
            <w:tcW w:w="52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Copyleft or share-alike obligation</w:t>
            </w:r>
          </w:p>
        </w:tc>
        <w:tc>
          <w:tcPr>
            <w:tcW w:w="52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None ☐ Yes: </w:t>
            </w: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6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 restrictions (field-of-use, acceptable-use, export)</w:t>
            </w:r>
          </w:p>
        </w:tc>
        <w:tc>
          <w:tcPr>
            <w:tcW w:w="52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10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Obligations discharged where and how</w:t>
            </w:r>
          </w:p>
        </w:tc>
        <w:tc>
          <w:tcPr>
            <w:tcW w:w="523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 Criticality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795"/>
        <w:gridCol w:w="7544"/>
      </w:tblGrid>
      <w:tr>
        <w:trPr>
          <w:tblHeader w:val="true"/>
        </w:trPr>
        <w:tc>
          <w:tcPr>
            <w:tcW w:w="379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75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37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Criticality</w:t>
            </w:r>
          </w:p>
        </w:tc>
        <w:tc>
          <w:tcPr>
            <w:tcW w:w="75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Critical — product does not function without it ☐ Important — a feature is lost ☐ Low — replaceable</w:t>
            </w:r>
          </w:p>
        </w:tc>
      </w:tr>
      <w:tr>
        <w:trPr/>
        <w:tc>
          <w:tcPr>
            <w:tcW w:w="37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Effect of this component failing or being withdrawn</w:t>
            </w:r>
          </w:p>
        </w:tc>
        <w:tc>
          <w:tcPr>
            <w:tcW w:w="75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379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Known alternative</w:t>
            </w:r>
          </w:p>
        </w:tc>
        <w:tc>
          <w:tcPr>
            <w:tcW w:w="75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 Selection criteria and assessment (8.4.1)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254"/>
        <w:gridCol w:w="2135"/>
        <w:gridCol w:w="2131"/>
        <w:gridCol w:w="1819"/>
      </w:tblGrid>
      <w:tr>
        <w:trPr>
          <w:tblHeader w:val="true"/>
        </w:trPr>
        <w:tc>
          <w:tcPr>
            <w:tcW w:w="525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Criterion</w:t>
            </w:r>
          </w:p>
        </w:tc>
        <w:tc>
          <w:tcPr>
            <w:tcW w:w="213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213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Assessment</w:t>
            </w:r>
          </w:p>
        </w:tc>
        <w:tc>
          <w:tcPr>
            <w:tcW w:w="181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Met?</w:t>
            </w:r>
          </w:p>
        </w:tc>
      </w:tr>
      <w:tr>
        <w:trPr/>
        <w:tc>
          <w:tcPr>
            <w:tcW w:w="52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Fitness for the intended use</w:t>
            </w:r>
          </w:p>
        </w:tc>
        <w:tc>
          <w:tcPr>
            <w:tcW w:w="21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8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  <w:tr>
        <w:trPr/>
        <w:tc>
          <w:tcPr>
            <w:tcW w:w="52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Licence compatibility with on-premises commercial deployment</w:t>
            </w:r>
          </w:p>
        </w:tc>
        <w:tc>
          <w:tcPr>
            <w:tcW w:w="21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8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  <w:tr>
        <w:trPr/>
        <w:tc>
          <w:tcPr>
            <w:tcW w:w="52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 stability — released version, not a moving branch</w:t>
            </w:r>
          </w:p>
        </w:tc>
        <w:tc>
          <w:tcPr>
            <w:tcW w:w="21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8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  <w:tr>
        <w:trPr/>
        <w:tc>
          <w:tcPr>
            <w:tcW w:w="52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Offline operability — no runtime call outside the customer perimeter</w:t>
            </w:r>
          </w:p>
        </w:tc>
        <w:tc>
          <w:tcPr>
            <w:tcW w:w="21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8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  <w:tr>
        <w:trPr/>
        <w:tc>
          <w:tcPr>
            <w:tcW w:w="52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Security posture — known vulnerabilities, provenance of artefacts</w:t>
            </w:r>
          </w:p>
        </w:tc>
        <w:tc>
          <w:tcPr>
            <w:tcW w:w="21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8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  <w:tr>
        <w:trPr/>
        <w:tc>
          <w:tcPr>
            <w:tcW w:w="52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Maintenance and support — activity, release cadence, responsiveness</w:t>
            </w:r>
          </w:p>
        </w:tc>
        <w:tc>
          <w:tcPr>
            <w:tcW w:w="21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13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8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  <w:tr>
        <w:trPr/>
        <w:tc>
          <w:tcPr>
            <w:tcW w:w="525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Other</w:t>
            </w:r>
          </w:p>
        </w:tc>
        <w:tc>
          <w:tcPr>
            <w:tcW w:w="213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13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81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 Verification performed before use (8.4.3 / 8.6)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61"/>
        <w:gridCol w:w="5163"/>
        <w:gridCol w:w="1912"/>
        <w:gridCol w:w="3902"/>
      </w:tblGrid>
      <w:tr>
        <w:trPr>
          <w:tblHeader w:val="true"/>
        </w:trPr>
        <w:tc>
          <w:tcPr>
            <w:tcW w:w="36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516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Verification</w:t>
            </w:r>
          </w:p>
        </w:tc>
        <w:tc>
          <w:tcPr>
            <w:tcW w:w="191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Result</w:t>
            </w:r>
          </w:p>
        </w:tc>
        <w:tc>
          <w:tcPr>
            <w:tcW w:w="390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 (path / SHA / report)</w:t>
            </w:r>
          </w:p>
        </w:tc>
      </w:tr>
      <w:tr>
        <w:trPr/>
        <w:tc>
          <w:tcPr>
            <w:tcW w:w="36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51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19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</w:t>
            </w:r>
          </w:p>
        </w:tc>
        <w:tc>
          <w:tcPr>
            <w:tcW w:w="39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36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51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19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</w:t>
            </w:r>
          </w:p>
        </w:tc>
        <w:tc>
          <w:tcPr>
            <w:tcW w:w="39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36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516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191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</w:t>
            </w:r>
          </w:p>
        </w:tc>
        <w:tc>
          <w:tcPr>
            <w:tcW w:w="390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 Risks and mitigations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18"/>
        <w:gridCol w:w="2916"/>
        <w:gridCol w:w="3092"/>
        <w:gridCol w:w="3638"/>
        <w:gridCol w:w="1374"/>
      </w:tblGrid>
      <w:tr>
        <w:trPr>
          <w:tblHeader w:val="true"/>
        </w:trPr>
        <w:tc>
          <w:tcPr>
            <w:tcW w:w="31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291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Risk</w:t>
            </w:r>
          </w:p>
        </w:tc>
        <w:tc>
          <w:tcPr>
            <w:tcW w:w="309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Likelihood / impact / score</w:t>
            </w:r>
          </w:p>
        </w:tc>
        <w:tc>
          <w:tcPr>
            <w:tcW w:w="363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Mitigation in place (cite by path)</w:t>
            </w:r>
          </w:p>
        </w:tc>
        <w:tc>
          <w:tcPr>
            <w:tcW w:w="137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rStyle w:val="SourceText"/>
                <w:color w:val="FFFFFF"/>
              </w:rPr>
              <w:t>REG-03</w:t>
            </w:r>
            <w:r>
              <w:rPr>
                <w:color w:val="FFFFFF"/>
              </w:rPr>
              <w:t xml:space="preserve"> ref</w:t>
            </w:r>
          </w:p>
        </w:tc>
      </w:tr>
      <w:tr>
        <w:trPr/>
        <w:tc>
          <w:tcPr>
            <w:tcW w:w="31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9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30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</w:t>
            </w:r>
            <w:r>
              <w:rPr/>
              <w:t xml:space="preserve"> / </w:t>
            </w:r>
            <w:r>
              <w:rPr>
                <w:rStyle w:val="SourceText"/>
              </w:rPr>
              <w:t>____</w:t>
            </w:r>
            <w:r>
              <w:rPr/>
              <w:t xml:space="preserve"> / </w:t>
            </w:r>
            <w:r>
              <w:rPr>
                <w:rStyle w:val="SourceText"/>
              </w:rPr>
              <w:t>____</w:t>
            </w:r>
          </w:p>
        </w:tc>
        <w:tc>
          <w:tcPr>
            <w:tcW w:w="36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3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31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91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309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</w:t>
            </w:r>
            <w:r>
              <w:rPr/>
              <w:t xml:space="preserve"> / </w:t>
            </w:r>
            <w:r>
              <w:rPr>
                <w:rStyle w:val="SourceText"/>
              </w:rPr>
              <w:t>____</w:t>
            </w:r>
            <w:r>
              <w:rPr/>
              <w:t xml:space="preserve"> / </w:t>
            </w:r>
            <w:r>
              <w:rPr>
                <w:rStyle w:val="SourceText"/>
              </w:rPr>
              <w:t>____</w:t>
            </w:r>
          </w:p>
        </w:tc>
        <w:tc>
          <w:tcPr>
            <w:tcW w:w="363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37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 Decision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631"/>
        <w:gridCol w:w="6707"/>
      </w:tblGrid>
      <w:tr>
        <w:trPr>
          <w:tblHeader w:val="true"/>
        </w:trPr>
        <w:tc>
          <w:tcPr>
            <w:tcW w:w="463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70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6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Decision</w:t>
            </w:r>
          </w:p>
        </w:tc>
        <w:tc>
          <w:tcPr>
            <w:tcW w:w="67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Approved for use ☐ Approved with conditions ☐ Not approved</w:t>
            </w:r>
          </w:p>
        </w:tc>
      </w:tr>
      <w:tr>
        <w:trPr/>
        <w:tc>
          <w:tcPr>
            <w:tcW w:w="46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Conditions</w:t>
            </w:r>
          </w:p>
        </w:tc>
        <w:tc>
          <w:tcPr>
            <w:tcW w:w="67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6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 (role)</w:t>
            </w:r>
          </w:p>
        </w:tc>
        <w:tc>
          <w:tcPr>
            <w:tcW w:w="67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6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67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463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Re-evaluation due</w:t>
            </w:r>
          </w:p>
        </w:tc>
        <w:tc>
          <w:tcPr>
            <w:tcW w:w="67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463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Re-evaluation trigger (in addition to the date)</w:t>
            </w:r>
          </w:p>
        </w:tc>
        <w:tc>
          <w:tcPr>
            <w:tcW w:w="670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Completion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Version stability is a real criterion here, not a formality.</w:t>
      </w:r>
      <w:r>
        <w:rPr/>
        <w:t xml:space="preserve"> A dependency installed from a moving branch rather than a release can change under the build with no action by anyone; </w:t>
      </w:r>
      <w:r>
        <w:rPr>
          <w:rStyle w:val="SourceText"/>
        </w:rPr>
        <w:t>backend/Dockerfile:23</w:t>
      </w:r>
      <w:r>
        <w:rPr/>
        <w:t xml:space="preserve"> installed </w:t>
      </w:r>
      <w:r>
        <w:rPr>
          <w:rStyle w:val="SourceText"/>
        </w:rPr>
        <w:t>nemo_toolkit[asr]</w:t>
      </w:r>
      <w:r>
        <w:rPr/>
        <w:t xml:space="preserve"> from </w:t>
      </w:r>
      <w:r>
        <w:rPr>
          <w:rStyle w:val="SourceText"/>
        </w:rPr>
        <w:t>git+…NeMo.git@main</w:t>
      </w:r>
      <w:r>
        <w:rPr/>
        <w:t xml:space="preserve"> until it was pinned to a commit in </w:t>
      </w:r>
      <w:r>
        <w:rPr>
          <w:rStyle w:val="SourceText"/>
        </w:rPr>
        <w:t>51fd3bc</w:t>
      </w:r>
      <w:r>
        <w:rPr/>
        <w:t xml:space="preserve">, and that had already produced a real build and runtime outage (commit </w:t>
      </w:r>
      <w:r>
        <w:rPr>
          <w:rStyle w:val="SourceText"/>
        </w:rPr>
        <w:t>724fb98</w:t>
      </w:r>
      <w:r>
        <w:rPr/>
        <w:t xml:space="preserve">). Where a moving reference cannot be avoided, mark the criterion </w:t>
      </w:r>
      <w:r>
        <w:rPr>
          <w:rStyle w:val="Emphasis"/>
        </w:rPr>
        <w:t>Partial</w:t>
      </w:r>
      <w:r>
        <w:rPr/>
        <w:t xml:space="preserve"> and record the compensating control in §5.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Offline operability matters more than for most products.</w:t>
      </w:r>
      <w:r>
        <w:rPr/>
        <w:t xml:space="preserve"> Any component that reaches outside the customer perimeter at runtime undermines the reason the product exists. Test it, do not assume it — a model or library may fetch on first use.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Record the licence obligation </w:t>
      </w:r>
      <w:r>
        <w:rPr>
          <w:rStyle w:val="Emphasis"/>
        </w:rPr>
        <w:t>and</w:t>
      </w:r>
      <w:r>
        <w:rPr>
          <w:rStyle w:val="Strong"/>
        </w:rPr>
        <w:t xml:space="preserve"> how it is discharged.</w:t>
      </w:r>
      <w:r>
        <w:rPr/>
        <w:t xml:space="preserve"> "Apache-2.0" alone is not a completed §1; the NOTICE obligation still has to land somewhere.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Criticality drives re-evaluation frequency.</w:t>
      </w:r>
      <w:r>
        <w:rPr/>
        <w:t xml:space="preserve"> Critical components: at least annually and on every version change. Low: at the scheduled date.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Re-evaluations are new records, not edits to this one, so the history is visible.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