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SOP-05 — Design and Development Control</w:t>
      </w:r>
    </w:p>
    <w:tbl>
      <w:tblPr>
        <w:tblW w:w="4967" w:type="dxa"/>
        <w:jc w:val="left"/>
        <w:tblInd w:w="0" w:type="dxa"/>
        <w:tblLayout w:type="fixed"/>
        <w:tblCellMar>
          <w:top w:w="28" w:type="dxa"/>
          <w:left w:w="28" w:type="dxa"/>
          <w:bottom w:w="28" w:type="dxa"/>
          <w:right w:w="28" w:type="dxa"/>
        </w:tblCellMar>
      </w:tblPr>
      <w:tblGrid>
        <w:gridCol w:w="1951"/>
        <w:gridCol w:w="3016"/>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3016"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3016" w:type="dxa"/>
            <w:tcBorders/>
            <w:vAlign w:val="center"/>
          </w:tcPr>
          <w:p>
            <w:pPr>
              <w:pStyle w:val="TableContents"/>
              <w:bidi w:val="0"/>
              <w:spacing w:before="0" w:after="283"/>
              <w:jc w:val="left"/>
              <w:rPr/>
            </w:pPr>
            <w:r>
              <w:rPr/>
              <w:t>SOP-05</w:t>
            </w:r>
          </w:p>
        </w:tc>
      </w:tr>
      <w:tr>
        <w:trPr/>
        <w:tc>
          <w:tcPr>
            <w:tcW w:w="1951" w:type="dxa"/>
            <w:tcBorders/>
            <w:vAlign w:val="center"/>
          </w:tcPr>
          <w:p>
            <w:pPr>
              <w:pStyle w:val="TableContents"/>
              <w:bidi w:val="0"/>
              <w:spacing w:before="0" w:after="283"/>
              <w:jc w:val="left"/>
              <w:rPr/>
            </w:pPr>
            <w:r>
              <w:rPr/>
              <w:t>Revision</w:t>
            </w:r>
          </w:p>
        </w:tc>
        <w:tc>
          <w:tcPr>
            <w:tcW w:w="3016"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3016"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3016" w:type="dxa"/>
            <w:tcBorders/>
            <w:vAlign w:val="center"/>
          </w:tcPr>
          <w:p>
            <w:pPr>
              <w:pStyle w:val="TableContents"/>
              <w:bidi w:val="0"/>
              <w:spacing w:before="0" w:after="283"/>
              <w:jc w:val="left"/>
              <w:rPr/>
            </w:pPr>
            <w:r>
              <w:rPr/>
              <w:t>Lead Engineer</w:t>
            </w:r>
          </w:p>
        </w:tc>
      </w:tr>
      <w:tr>
        <w:trPr/>
        <w:tc>
          <w:tcPr>
            <w:tcW w:w="1951" w:type="dxa"/>
            <w:tcBorders/>
            <w:vAlign w:val="center"/>
          </w:tcPr>
          <w:p>
            <w:pPr>
              <w:pStyle w:val="TableContents"/>
              <w:bidi w:val="0"/>
              <w:spacing w:before="0" w:after="283"/>
              <w:jc w:val="left"/>
              <w:rPr/>
            </w:pPr>
            <w:r>
              <w:rPr/>
              <w:t>Approved by</w:t>
            </w:r>
          </w:p>
        </w:tc>
        <w:tc>
          <w:tcPr>
            <w:tcW w:w="3016"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3016"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3016" w:type="dxa"/>
            <w:tcBorders/>
            <w:vAlign w:val="center"/>
          </w:tcPr>
          <w:p>
            <w:pPr>
              <w:pStyle w:val="TableContents"/>
              <w:bidi w:val="0"/>
              <w:spacing w:before="0" w:after="283"/>
              <w:jc w:val="left"/>
              <w:rPr/>
            </w:pPr>
            <w:r>
              <w:rPr/>
              <w:t>8.3.1, 8.3.2, 8.3.3, 8.3.4, 8.3.5, 8.3.6</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controls and records the design and development of EchoMind Enterprise, so that what is built meets the requirements determined for it, and so that the evidence of that is retained and can be produced.</w:t>
      </w:r>
    </w:p>
    <w:p>
      <w:pPr>
        <w:pStyle w:val="Heading2"/>
        <w:bidi w:val="0"/>
        <w:jc w:val="left"/>
        <w:rPr/>
      </w:pPr>
      <w:r>
        <w:rPr/>
        <w:t>2. Scope</w:t>
      </w:r>
    </w:p>
    <w:p>
      <w:pPr>
        <w:pStyle w:val="BodyText"/>
        <w:bidi w:val="0"/>
        <w:jc w:val="left"/>
        <w:rPr/>
      </w:pPr>
      <w:r>
        <w:rPr/>
        <w:t>The design and development of the EchoMind Enterprise platform in all its parts — the backend services, the retrieval and generation pipeline, live transcription, the voice assistant, document generation, the front end, and the deployment configuration — together with the per-customer customisation of those parts.</w:t>
      </w:r>
    </w:p>
    <w:p>
      <w:pPr>
        <w:pStyle w:val="BodyText"/>
        <w:bidi w:val="0"/>
        <w:jc w:val="left"/>
        <w:rPr/>
      </w:pPr>
      <w:r>
        <w:rPr/>
        <w:t>It covers design work performed with the assistance of AI coding tools, which is a material part of how this product is built and is treated explicitly in §7.</w:t>
      </w:r>
    </w:p>
    <w:p>
      <w:pPr>
        <w:pStyle w:val="Heading2"/>
        <w:bidi w:val="0"/>
        <w:jc w:val="left"/>
        <w:rPr/>
      </w:pPr>
      <w:r>
        <w:rPr/>
        <w:t>3. Responsibilities</w:t>
      </w:r>
    </w:p>
    <w:tbl>
      <w:tblPr>
        <w:tblW w:w="5133" w:type="dxa"/>
        <w:jc w:val="left"/>
        <w:tblInd w:w="0" w:type="dxa"/>
        <w:tblLayout w:type="fixed"/>
        <w:tblCellMar>
          <w:top w:w="28" w:type="dxa"/>
          <w:left w:w="28" w:type="dxa"/>
          <w:bottom w:w="28" w:type="dxa"/>
          <w:right w:w="28" w:type="dxa"/>
        </w:tblCellMar>
      </w:tblPr>
      <w:tblGrid>
        <w:gridCol w:w="1218"/>
        <w:gridCol w:w="3915"/>
      </w:tblGrid>
      <w:tr>
        <w:trPr>
          <w:tblHeader w:val="true"/>
        </w:trPr>
        <w:tc>
          <w:tcPr>
            <w:tcW w:w="1218" w:type="dxa"/>
            <w:tcBorders/>
            <w:vAlign w:val="center"/>
          </w:tcPr>
          <w:p>
            <w:pPr>
              <w:pStyle w:val="TableHeading"/>
              <w:suppressLineNumbers/>
              <w:shd w:fill="1F3A5F" w:val="clear"/>
              <w:bidi w:val="0"/>
              <w:spacing w:before="0" w:after="283"/>
              <w:jc w:val="center"/>
              <w:rPr/>
            </w:pPr>
            <w:r>
              <w:rPr/>
              <w:t>Role</w:t>
            </w:r>
          </w:p>
        </w:tc>
        <w:tc>
          <w:tcPr>
            <w:tcW w:w="3915" w:type="dxa"/>
            <w:tcBorders/>
            <w:vAlign w:val="center"/>
          </w:tcPr>
          <w:p>
            <w:pPr>
              <w:pStyle w:val="TableHeading"/>
              <w:suppressLineNumbers/>
              <w:shd w:fill="1F3A5F" w:val="clear"/>
              <w:bidi w:val="0"/>
              <w:spacing w:before="0" w:after="283"/>
              <w:jc w:val="center"/>
              <w:rPr/>
            </w:pPr>
            <w:r>
              <w:rPr/>
              <w:t>Responsibility</w:t>
            </w:r>
          </w:p>
        </w:tc>
      </w:tr>
      <w:tr>
        <w:trPr/>
        <w:tc>
          <w:tcPr>
            <w:tcW w:w="1218" w:type="dxa"/>
            <w:tcBorders/>
            <w:vAlign w:val="center"/>
          </w:tcPr>
          <w:p>
            <w:pPr>
              <w:pStyle w:val="TableContents"/>
              <w:bidi w:val="0"/>
              <w:spacing w:before="0" w:after="283"/>
              <w:jc w:val="left"/>
              <w:rPr/>
            </w:pPr>
            <w:r>
              <w:rPr/>
              <w:t>Lead Engineer</w:t>
            </w:r>
          </w:p>
        </w:tc>
        <w:tc>
          <w:tcPr>
            <w:tcW w:w="3915" w:type="dxa"/>
            <w:tcBorders/>
            <w:vAlign w:val="center"/>
          </w:tcPr>
          <w:p>
            <w:pPr>
              <w:pStyle w:val="TableContents"/>
              <w:bidi w:val="0"/>
              <w:spacing w:before="0" w:after="283"/>
              <w:jc w:val="left"/>
              <w:rPr/>
            </w:pPr>
            <w:r>
              <w:rPr/>
              <w:t>Owns this procedure. Plans each piece of design work, states its inputs, performs and records verification and validation, and produces the design outputs. Is accountable for every line committed, including AI-generated lines.</w:t>
            </w:r>
          </w:p>
        </w:tc>
      </w:tr>
      <w:tr>
        <w:trPr/>
        <w:tc>
          <w:tcPr>
            <w:tcW w:w="1218" w:type="dxa"/>
            <w:tcBorders/>
            <w:vAlign w:val="center"/>
          </w:tcPr>
          <w:p>
            <w:pPr>
              <w:pStyle w:val="TableContents"/>
              <w:bidi w:val="0"/>
              <w:spacing w:before="0" w:after="283"/>
              <w:jc w:val="left"/>
              <w:rPr/>
            </w:pPr>
            <w:r>
              <w:rPr/>
              <w:t>Managing Director</w:t>
            </w:r>
          </w:p>
        </w:tc>
        <w:tc>
          <w:tcPr>
            <w:tcW w:w="3915" w:type="dxa"/>
            <w:tcBorders/>
            <w:vAlign w:val="center"/>
          </w:tcPr>
          <w:p>
            <w:pPr>
              <w:pStyle w:val="TableContents"/>
              <w:bidi w:val="0"/>
              <w:spacing w:before="0" w:after="283"/>
              <w:jc w:val="left"/>
              <w:rPr/>
            </w:pPr>
            <w:r>
              <w:rPr/>
              <w:t>Approves the transition of a design output to release. Confirms that customer, statutory and regulatory inputs are complete before build starts. Chairs design reviews.</w:t>
            </w:r>
          </w:p>
        </w:tc>
      </w:tr>
      <w:tr>
        <w:trPr/>
        <w:tc>
          <w:tcPr>
            <w:tcW w:w="1218" w:type="dxa"/>
            <w:tcBorders/>
            <w:vAlign w:val="center"/>
          </w:tcPr>
          <w:p>
            <w:pPr>
              <w:pStyle w:val="TableContents"/>
              <w:bidi w:val="0"/>
              <w:spacing w:before="0" w:after="283"/>
              <w:jc w:val="left"/>
              <w:rPr/>
            </w:pPr>
            <w:r>
              <w:rPr/>
              <w:t>Anyone contributing code</w:t>
            </w:r>
          </w:p>
        </w:tc>
        <w:tc>
          <w:tcPr>
            <w:tcW w:w="3915" w:type="dxa"/>
            <w:tcBorders/>
            <w:vAlign w:val="center"/>
          </w:tcPr>
          <w:p>
            <w:pPr>
              <w:pStyle w:val="TableContents"/>
              <w:bidi w:val="0"/>
              <w:spacing w:before="0" w:after="283"/>
              <w:jc w:val="left"/>
              <w:rPr/>
            </w:pPr>
            <w:r>
              <w:rPr/>
              <w:t>Applies this procedure to their own changes without exception, including small ones.</w:t>
            </w:r>
          </w:p>
        </w:tc>
      </w:tr>
    </w:tbl>
    <w:p>
      <w:pPr>
        <w:pStyle w:val="BodyText"/>
        <w:bidi w:val="0"/>
        <w:jc w:val="left"/>
        <w:rPr/>
      </w:pPr>
      <w:r>
        <w:rPr/>
        <w:t>With one person holding all roles, the acts of designing, reviewing and approving are performed by the same person. §11 states what an auditor should take from that.</w:t>
      </w:r>
    </w:p>
    <w:p>
      <w:pPr>
        <w:pStyle w:val="Heading2"/>
        <w:bidi w:val="0"/>
        <w:jc w:val="left"/>
        <w:rPr/>
      </w:pPr>
      <w:r>
        <w:rPr/>
        <w:t>4. Design and development planning (8.3.2)</w:t>
      </w:r>
    </w:p>
    <w:p>
      <w:pPr>
        <w:pStyle w:val="BodyText"/>
        <w:bidi w:val="0"/>
        <w:jc w:val="left"/>
        <w:rPr/>
      </w:pPr>
      <w:r>
        <w:rPr/>
        <w:t xml:space="preserve">Before work starts on anything beyond a trivial correction, the Lead Engineer determines and records the items below. For a small change, the record is the commit body. For a substantial change — a new capability, a change to the retrieval pipeline, a change to the deployment model, or a customer-specific customisation — the record is a design plan entered in </w:t>
      </w:r>
      <w:r>
        <w:rPr>
          <w:rStyle w:val="SourceText"/>
        </w:rPr>
        <w:t>registers/REG-07_Design_and_Change_Register.md</w:t>
      </w:r>
      <w:r>
        <w:rPr/>
        <w:t>.</w:t>
      </w:r>
    </w:p>
    <w:tbl>
      <w:tblPr>
        <w:tblW w:w="5133" w:type="dxa"/>
        <w:jc w:val="left"/>
        <w:tblInd w:w="0" w:type="dxa"/>
        <w:tblLayout w:type="fixed"/>
        <w:tblCellMar>
          <w:top w:w="28" w:type="dxa"/>
          <w:left w:w="28" w:type="dxa"/>
          <w:bottom w:w="28" w:type="dxa"/>
          <w:right w:w="28" w:type="dxa"/>
        </w:tblCellMar>
      </w:tblPr>
      <w:tblGrid>
        <w:gridCol w:w="1942"/>
        <w:gridCol w:w="3191"/>
      </w:tblGrid>
      <w:tr>
        <w:trPr>
          <w:tblHeader w:val="true"/>
        </w:trPr>
        <w:tc>
          <w:tcPr>
            <w:tcW w:w="1942" w:type="dxa"/>
            <w:tcBorders/>
            <w:vAlign w:val="center"/>
          </w:tcPr>
          <w:p>
            <w:pPr>
              <w:pStyle w:val="TableHeading"/>
              <w:suppressLineNumbers/>
              <w:shd w:fill="1F3A5F" w:val="clear"/>
              <w:bidi w:val="0"/>
              <w:spacing w:before="0" w:after="283"/>
              <w:jc w:val="center"/>
              <w:rPr/>
            </w:pPr>
            <w:r>
              <w:rPr/>
              <w:t>8.3.2 item</w:t>
            </w:r>
          </w:p>
        </w:tc>
        <w:tc>
          <w:tcPr>
            <w:tcW w:w="3191" w:type="dxa"/>
            <w:tcBorders/>
            <w:vAlign w:val="center"/>
          </w:tcPr>
          <w:p>
            <w:pPr>
              <w:pStyle w:val="TableHeading"/>
              <w:suppressLineNumbers/>
              <w:shd w:fill="1F3A5F" w:val="clear"/>
              <w:bidi w:val="0"/>
              <w:spacing w:before="0" w:after="283"/>
              <w:jc w:val="center"/>
              <w:rPr/>
            </w:pPr>
            <w:r>
              <w:rPr/>
              <w:t>How it is determined here</w:t>
            </w:r>
          </w:p>
        </w:tc>
      </w:tr>
      <w:tr>
        <w:trPr/>
        <w:tc>
          <w:tcPr>
            <w:tcW w:w="1942" w:type="dxa"/>
            <w:tcBorders/>
            <w:vAlign w:val="center"/>
          </w:tcPr>
          <w:p>
            <w:pPr>
              <w:pStyle w:val="TableContents"/>
              <w:bidi w:val="0"/>
              <w:spacing w:before="0" w:after="283"/>
              <w:jc w:val="left"/>
              <w:rPr/>
            </w:pPr>
            <w:r>
              <w:rPr/>
              <w:t>(a) Nature, duration and complexity</w:t>
            </w:r>
          </w:p>
        </w:tc>
        <w:tc>
          <w:tcPr>
            <w:tcW w:w="3191" w:type="dxa"/>
            <w:tcBorders/>
            <w:vAlign w:val="center"/>
          </w:tcPr>
          <w:p>
            <w:pPr>
              <w:pStyle w:val="TableContents"/>
              <w:bidi w:val="0"/>
              <w:spacing w:before="0" w:after="283"/>
              <w:jc w:val="left"/>
              <w:rPr/>
            </w:pPr>
            <w:r>
              <w:rPr/>
              <w:t>Judged against the three change classes in §4.1</w:t>
            </w:r>
          </w:p>
        </w:tc>
      </w:tr>
      <w:tr>
        <w:trPr/>
        <w:tc>
          <w:tcPr>
            <w:tcW w:w="1942" w:type="dxa"/>
            <w:tcBorders/>
            <w:vAlign w:val="center"/>
          </w:tcPr>
          <w:p>
            <w:pPr>
              <w:pStyle w:val="TableContents"/>
              <w:bidi w:val="0"/>
              <w:spacing w:before="0" w:after="283"/>
              <w:jc w:val="left"/>
              <w:rPr/>
            </w:pPr>
            <w:r>
              <w:rPr/>
              <w:t>(b) Process stages, including design reviews</w:t>
            </w:r>
          </w:p>
        </w:tc>
        <w:tc>
          <w:tcPr>
            <w:tcW w:w="3191" w:type="dxa"/>
            <w:tcBorders/>
            <w:vAlign w:val="center"/>
          </w:tcPr>
          <w:p>
            <w:pPr>
              <w:pStyle w:val="TableContents"/>
              <w:bidi w:val="0"/>
              <w:spacing w:before="0" w:after="283"/>
              <w:jc w:val="left"/>
              <w:rPr/>
            </w:pPr>
            <w:r>
              <w:rPr/>
              <w:t>§4.2</w:t>
            </w:r>
          </w:p>
        </w:tc>
      </w:tr>
      <w:tr>
        <w:trPr/>
        <w:tc>
          <w:tcPr>
            <w:tcW w:w="1942" w:type="dxa"/>
            <w:tcBorders/>
            <w:vAlign w:val="center"/>
          </w:tcPr>
          <w:p>
            <w:pPr>
              <w:pStyle w:val="TableContents"/>
              <w:bidi w:val="0"/>
              <w:spacing w:before="0" w:after="283"/>
              <w:jc w:val="left"/>
              <w:rPr/>
            </w:pPr>
            <w:r>
              <w:rPr/>
              <w:t>(c) Verification and validation activities</w:t>
            </w:r>
          </w:p>
        </w:tc>
        <w:tc>
          <w:tcPr>
            <w:tcW w:w="3191" w:type="dxa"/>
            <w:tcBorders/>
            <w:vAlign w:val="center"/>
          </w:tcPr>
          <w:p>
            <w:pPr>
              <w:pStyle w:val="TableContents"/>
              <w:bidi w:val="0"/>
              <w:spacing w:before="0" w:after="283"/>
              <w:jc w:val="left"/>
              <w:rPr/>
            </w:pPr>
            <w:r>
              <w:rPr/>
              <w:t>§6, with the points at which each applies fixed in §4.2</w:t>
            </w:r>
          </w:p>
        </w:tc>
      </w:tr>
      <w:tr>
        <w:trPr/>
        <w:tc>
          <w:tcPr>
            <w:tcW w:w="1942" w:type="dxa"/>
            <w:tcBorders/>
            <w:vAlign w:val="center"/>
          </w:tcPr>
          <w:p>
            <w:pPr>
              <w:pStyle w:val="TableContents"/>
              <w:bidi w:val="0"/>
              <w:spacing w:before="0" w:after="283"/>
              <w:jc w:val="left"/>
              <w:rPr/>
            </w:pPr>
            <w:r>
              <w:rPr/>
              <w:t>(d) Responsibilities and authorities</w:t>
            </w:r>
          </w:p>
        </w:tc>
        <w:tc>
          <w:tcPr>
            <w:tcW w:w="3191" w:type="dxa"/>
            <w:tcBorders/>
            <w:vAlign w:val="center"/>
          </w:tcPr>
          <w:p>
            <w:pPr>
              <w:pStyle w:val="TableContents"/>
              <w:bidi w:val="0"/>
              <w:spacing w:before="0" w:after="283"/>
              <w:jc w:val="left"/>
              <w:rPr/>
            </w:pPr>
            <w:r>
              <w:rPr/>
              <w:t>§3</w:t>
            </w:r>
          </w:p>
        </w:tc>
      </w:tr>
      <w:tr>
        <w:trPr/>
        <w:tc>
          <w:tcPr>
            <w:tcW w:w="1942" w:type="dxa"/>
            <w:tcBorders/>
            <w:vAlign w:val="center"/>
          </w:tcPr>
          <w:p>
            <w:pPr>
              <w:pStyle w:val="TableContents"/>
              <w:bidi w:val="0"/>
              <w:spacing w:before="0" w:after="283"/>
              <w:jc w:val="left"/>
              <w:rPr/>
            </w:pPr>
            <w:r>
              <w:rPr/>
              <w:t>(e) Internal and external resource needs</w:t>
            </w:r>
          </w:p>
        </w:tc>
        <w:tc>
          <w:tcPr>
            <w:tcW w:w="3191" w:type="dxa"/>
            <w:tcBorders/>
            <w:vAlign w:val="center"/>
          </w:tcPr>
          <w:p>
            <w:pPr>
              <w:pStyle w:val="TableContents"/>
              <w:bidi w:val="0"/>
              <w:spacing w:before="0" w:after="283"/>
              <w:jc w:val="left"/>
              <w:rPr/>
            </w:pPr>
            <w:r>
              <w:rPr/>
              <w:t xml:space="preserve">GPU capacity on the reference platform; model weights; any new dependency, which must be assessed under </w:t>
            </w:r>
            <w:r>
              <w:rPr>
                <w:rStyle w:val="SourceText"/>
              </w:rPr>
              <w:t>SOP-02</w:t>
            </w:r>
            <w:r>
              <w:rPr/>
              <w:t xml:space="preserve"> before it is introduced</w:t>
            </w:r>
          </w:p>
        </w:tc>
      </w:tr>
      <w:tr>
        <w:trPr/>
        <w:tc>
          <w:tcPr>
            <w:tcW w:w="1942" w:type="dxa"/>
            <w:tcBorders/>
            <w:vAlign w:val="center"/>
          </w:tcPr>
          <w:p>
            <w:pPr>
              <w:pStyle w:val="TableContents"/>
              <w:bidi w:val="0"/>
              <w:spacing w:before="0" w:after="283"/>
              <w:jc w:val="left"/>
              <w:rPr/>
            </w:pPr>
            <w:r>
              <w:rPr/>
              <w:t>(f) Interfaces between the people involved</w:t>
            </w:r>
          </w:p>
        </w:tc>
        <w:tc>
          <w:tcPr>
            <w:tcW w:w="3191" w:type="dxa"/>
            <w:tcBorders/>
            <w:vAlign w:val="center"/>
          </w:tcPr>
          <w:p>
            <w:pPr>
              <w:pStyle w:val="TableContents"/>
              <w:bidi w:val="0"/>
              <w:spacing w:before="0" w:after="283"/>
              <w:jc w:val="left"/>
              <w:rPr/>
            </w:pPr>
            <w:r>
              <w:rPr/>
              <w:t>Not currently material (one person); becomes material on the first additional contributor</w:t>
            </w:r>
          </w:p>
        </w:tc>
      </w:tr>
      <w:tr>
        <w:trPr/>
        <w:tc>
          <w:tcPr>
            <w:tcW w:w="1942" w:type="dxa"/>
            <w:tcBorders/>
            <w:vAlign w:val="center"/>
          </w:tcPr>
          <w:p>
            <w:pPr>
              <w:pStyle w:val="TableContents"/>
              <w:bidi w:val="0"/>
              <w:spacing w:before="0" w:after="283"/>
              <w:jc w:val="left"/>
              <w:rPr/>
            </w:pPr>
            <w:r>
              <w:rPr/>
              <w:t>(g) Involvement of customers and users</w:t>
            </w:r>
          </w:p>
        </w:tc>
        <w:tc>
          <w:tcPr>
            <w:tcW w:w="3191" w:type="dxa"/>
            <w:tcBorders/>
            <w:vAlign w:val="center"/>
          </w:tcPr>
          <w:p>
            <w:pPr>
              <w:pStyle w:val="TableContents"/>
              <w:bidi w:val="0"/>
              <w:spacing w:before="0" w:after="283"/>
              <w:jc w:val="left"/>
              <w:rPr/>
            </w:pPr>
            <w:r>
              <w:rPr/>
              <w:t xml:space="preserve">Through requirements captured under </w:t>
            </w:r>
            <w:r>
              <w:rPr>
                <w:rStyle w:val="SourceText"/>
              </w:rPr>
              <w:t>SOP-04</w:t>
            </w:r>
            <w:r>
              <w:rPr/>
              <w:t xml:space="preserve"> §4, and through the golden-question sets that encode expected behaviour per vertical pack</w:t>
            </w:r>
          </w:p>
        </w:tc>
      </w:tr>
      <w:tr>
        <w:trPr/>
        <w:tc>
          <w:tcPr>
            <w:tcW w:w="1942" w:type="dxa"/>
            <w:tcBorders/>
            <w:vAlign w:val="center"/>
          </w:tcPr>
          <w:p>
            <w:pPr>
              <w:pStyle w:val="TableContents"/>
              <w:bidi w:val="0"/>
              <w:spacing w:before="0" w:after="283"/>
              <w:jc w:val="left"/>
              <w:rPr/>
            </w:pPr>
            <w:r>
              <w:rPr/>
              <w:t>(h) Requirements for subsequent provision</w:t>
            </w:r>
          </w:p>
        </w:tc>
        <w:tc>
          <w:tcPr>
            <w:tcW w:w="3191" w:type="dxa"/>
            <w:tcBorders/>
            <w:vAlign w:val="center"/>
          </w:tcPr>
          <w:p>
            <w:pPr>
              <w:pStyle w:val="TableContents"/>
              <w:bidi w:val="0"/>
              <w:spacing w:before="0" w:after="283"/>
              <w:jc w:val="left"/>
              <w:rPr/>
            </w:pPr>
            <w:r>
              <w:rPr/>
              <w:t xml:space="preserve">Deployment and operating documentation — </w:t>
            </w:r>
            <w:r>
              <w:rPr>
                <w:rStyle w:val="SourceText"/>
              </w:rPr>
              <w:t>OFFLINE_DEPLOYMENT.md</w:t>
            </w:r>
            <w:r>
              <w:rPr/>
              <w:t xml:space="preserve">, </w:t>
            </w:r>
            <w:r>
              <w:rPr>
                <w:rStyle w:val="SourceText"/>
              </w:rPr>
              <w:t>docs/PUBLIC_DEPLOYMENT.md</w:t>
            </w:r>
            <w:r>
              <w:rPr/>
              <w:t xml:space="preserve">, </w:t>
            </w:r>
            <w:r>
              <w:rPr>
                <w:rStyle w:val="SourceText"/>
              </w:rPr>
              <w:t>docs/USER_MANUAL.md</w:t>
            </w:r>
          </w:p>
        </w:tc>
      </w:tr>
      <w:tr>
        <w:trPr/>
        <w:tc>
          <w:tcPr>
            <w:tcW w:w="1942" w:type="dxa"/>
            <w:tcBorders/>
            <w:vAlign w:val="center"/>
          </w:tcPr>
          <w:p>
            <w:pPr>
              <w:pStyle w:val="TableContents"/>
              <w:bidi w:val="0"/>
              <w:spacing w:before="0" w:after="283"/>
              <w:jc w:val="left"/>
              <w:rPr/>
            </w:pPr>
            <w:r>
              <w:rPr/>
              <w:t>(i) Level of control expected by customers and interested parties</w:t>
            </w:r>
          </w:p>
        </w:tc>
        <w:tc>
          <w:tcPr>
            <w:tcW w:w="3191" w:type="dxa"/>
            <w:tcBorders/>
            <w:vAlign w:val="center"/>
          </w:tcPr>
          <w:p>
            <w:pPr>
              <w:pStyle w:val="TableContents"/>
              <w:bidi w:val="0"/>
              <w:spacing w:before="0" w:after="283"/>
              <w:jc w:val="left"/>
              <w:rPr/>
            </w:pPr>
            <w:r>
              <w:rPr/>
              <w:t>Regulated-sector customers expect grounding, isolation and data residency to be demonstrable, not asserted — hence the evaluation gate in §6.2</w:t>
            </w:r>
          </w:p>
        </w:tc>
      </w:tr>
      <w:tr>
        <w:trPr/>
        <w:tc>
          <w:tcPr>
            <w:tcW w:w="1942" w:type="dxa"/>
            <w:tcBorders/>
            <w:vAlign w:val="center"/>
          </w:tcPr>
          <w:p>
            <w:pPr>
              <w:pStyle w:val="TableContents"/>
              <w:bidi w:val="0"/>
              <w:spacing w:before="0" w:after="283"/>
              <w:jc w:val="left"/>
              <w:rPr/>
            </w:pPr>
            <w:r>
              <w:rPr/>
              <w:t>(j) Documented information needed to demonstrate requirements were met</w:t>
            </w:r>
          </w:p>
        </w:tc>
        <w:tc>
          <w:tcPr>
            <w:tcW w:w="3191" w:type="dxa"/>
            <w:tcBorders/>
            <w:vAlign w:val="center"/>
          </w:tcPr>
          <w:p>
            <w:pPr>
              <w:pStyle w:val="TableContents"/>
              <w:bidi w:val="0"/>
              <w:spacing w:before="0" w:after="283"/>
              <w:jc w:val="left"/>
              <w:rPr/>
            </w:pPr>
            <w:r>
              <w:rPr/>
              <w:t>§10</w:t>
            </w:r>
          </w:p>
        </w:tc>
      </w:tr>
    </w:tbl>
    <w:p>
      <w:pPr>
        <w:pStyle w:val="Heading3"/>
        <w:bidi w:val="0"/>
        <w:jc w:val="left"/>
        <w:rPr/>
      </w:pPr>
      <w:r>
        <w:rPr/>
        <w:t>4.1 Change classes</w:t>
      </w:r>
    </w:p>
    <w:tbl>
      <w:tblPr>
        <w:tblW w:w="5133" w:type="dxa"/>
        <w:jc w:val="left"/>
        <w:tblInd w:w="0" w:type="dxa"/>
        <w:tblLayout w:type="fixed"/>
        <w:tblCellMar>
          <w:top w:w="28" w:type="dxa"/>
          <w:left w:w="28" w:type="dxa"/>
          <w:bottom w:w="28" w:type="dxa"/>
          <w:right w:w="28" w:type="dxa"/>
        </w:tblCellMar>
      </w:tblPr>
      <w:tblGrid>
        <w:gridCol w:w="1488"/>
        <w:gridCol w:w="1939"/>
        <w:gridCol w:w="1706"/>
      </w:tblGrid>
      <w:tr>
        <w:trPr>
          <w:tblHeader w:val="true"/>
        </w:trPr>
        <w:tc>
          <w:tcPr>
            <w:tcW w:w="1488" w:type="dxa"/>
            <w:tcBorders/>
            <w:vAlign w:val="center"/>
          </w:tcPr>
          <w:p>
            <w:pPr>
              <w:pStyle w:val="TableHeading"/>
              <w:suppressLineNumbers/>
              <w:shd w:fill="1F3A5F" w:val="clear"/>
              <w:bidi w:val="0"/>
              <w:spacing w:before="0" w:after="283"/>
              <w:jc w:val="center"/>
              <w:rPr/>
            </w:pPr>
            <w:r>
              <w:rPr/>
              <w:t>Class</w:t>
            </w:r>
          </w:p>
        </w:tc>
        <w:tc>
          <w:tcPr>
            <w:tcW w:w="1939" w:type="dxa"/>
            <w:tcBorders/>
            <w:vAlign w:val="center"/>
          </w:tcPr>
          <w:p>
            <w:pPr>
              <w:pStyle w:val="TableHeading"/>
              <w:suppressLineNumbers/>
              <w:shd w:fill="1F3A5F" w:val="clear"/>
              <w:bidi w:val="0"/>
              <w:spacing w:before="0" w:after="283"/>
              <w:jc w:val="center"/>
              <w:rPr/>
            </w:pPr>
            <w:r>
              <w:rPr/>
              <w:t>Definition</w:t>
            </w:r>
          </w:p>
        </w:tc>
        <w:tc>
          <w:tcPr>
            <w:tcW w:w="1706" w:type="dxa"/>
            <w:tcBorders/>
            <w:vAlign w:val="center"/>
          </w:tcPr>
          <w:p>
            <w:pPr>
              <w:pStyle w:val="TableHeading"/>
              <w:suppressLineNumbers/>
              <w:shd w:fill="1F3A5F" w:val="clear"/>
              <w:bidi w:val="0"/>
              <w:spacing w:before="0" w:after="283"/>
              <w:jc w:val="center"/>
              <w:rPr/>
            </w:pPr>
            <w:r>
              <w:rPr/>
              <w:t>Planning record required</w:t>
            </w:r>
          </w:p>
        </w:tc>
      </w:tr>
      <w:tr>
        <w:trPr/>
        <w:tc>
          <w:tcPr>
            <w:tcW w:w="1488" w:type="dxa"/>
            <w:tcBorders/>
            <w:vAlign w:val="center"/>
          </w:tcPr>
          <w:p>
            <w:pPr>
              <w:pStyle w:val="TableContents"/>
              <w:bidi w:val="0"/>
              <w:spacing w:before="0" w:after="283"/>
              <w:jc w:val="left"/>
              <w:rPr/>
            </w:pPr>
            <w:r>
              <w:rPr>
                <w:rStyle w:val="Strong"/>
              </w:rPr>
              <w:t>A — Corrective</w:t>
            </w:r>
          </w:p>
        </w:tc>
        <w:tc>
          <w:tcPr>
            <w:tcW w:w="1939" w:type="dxa"/>
            <w:tcBorders/>
            <w:vAlign w:val="center"/>
          </w:tcPr>
          <w:p>
            <w:pPr>
              <w:pStyle w:val="TableContents"/>
              <w:bidi w:val="0"/>
              <w:spacing w:before="0" w:after="283"/>
              <w:jc w:val="left"/>
              <w:rPr/>
            </w:pPr>
            <w:r>
              <w:rPr/>
              <w:t>Fixes defective behaviour without changing intended behaviour</w:t>
            </w:r>
          </w:p>
        </w:tc>
        <w:tc>
          <w:tcPr>
            <w:tcW w:w="1706" w:type="dxa"/>
            <w:tcBorders/>
            <w:vAlign w:val="center"/>
          </w:tcPr>
          <w:p>
            <w:pPr>
              <w:pStyle w:val="TableContents"/>
              <w:bidi w:val="0"/>
              <w:spacing w:before="0" w:after="283"/>
              <w:jc w:val="left"/>
              <w:rPr/>
            </w:pPr>
            <w:r>
              <w:rPr/>
              <w:t>Commit body stating cause, fix and verification</w:t>
            </w:r>
          </w:p>
        </w:tc>
      </w:tr>
      <w:tr>
        <w:trPr/>
        <w:tc>
          <w:tcPr>
            <w:tcW w:w="1488" w:type="dxa"/>
            <w:tcBorders/>
            <w:vAlign w:val="center"/>
          </w:tcPr>
          <w:p>
            <w:pPr>
              <w:pStyle w:val="TableContents"/>
              <w:bidi w:val="0"/>
              <w:spacing w:before="0" w:after="283"/>
              <w:jc w:val="left"/>
              <w:rPr/>
            </w:pPr>
            <w:r>
              <w:rPr>
                <w:rStyle w:val="Strong"/>
              </w:rPr>
              <w:t>B — Substantive</w:t>
            </w:r>
          </w:p>
        </w:tc>
        <w:tc>
          <w:tcPr>
            <w:tcW w:w="1939" w:type="dxa"/>
            <w:tcBorders/>
            <w:vAlign w:val="center"/>
          </w:tcPr>
          <w:p>
            <w:pPr>
              <w:pStyle w:val="TableContents"/>
              <w:bidi w:val="0"/>
              <w:spacing w:before="0" w:after="283"/>
              <w:jc w:val="left"/>
              <w:rPr/>
            </w:pPr>
            <w:r>
              <w:rPr/>
              <w:t>Changes intended behaviour, the retrieval or generation path, the data model, the deployment topology, or any dependency</w:t>
            </w:r>
          </w:p>
        </w:tc>
        <w:tc>
          <w:tcPr>
            <w:tcW w:w="1706" w:type="dxa"/>
            <w:tcBorders/>
            <w:vAlign w:val="center"/>
          </w:tcPr>
          <w:p>
            <w:pPr>
              <w:pStyle w:val="TableContents"/>
              <w:bidi w:val="0"/>
              <w:spacing w:before="0" w:after="283"/>
              <w:jc w:val="left"/>
              <w:rPr/>
            </w:pPr>
            <w:r>
              <w:rPr/>
              <w:t xml:space="preserve">Design plan entry in </w:t>
            </w:r>
            <w:r>
              <w:rPr>
                <w:rStyle w:val="SourceText"/>
              </w:rPr>
              <w:t>registers/REG-07</w:t>
            </w:r>
            <w:r>
              <w:rPr/>
              <w:t>, plus a design review under §5</w:t>
            </w:r>
          </w:p>
        </w:tc>
      </w:tr>
      <w:tr>
        <w:trPr/>
        <w:tc>
          <w:tcPr>
            <w:tcW w:w="1488" w:type="dxa"/>
            <w:tcBorders/>
            <w:vAlign w:val="center"/>
          </w:tcPr>
          <w:p>
            <w:pPr>
              <w:pStyle w:val="TableContents"/>
              <w:bidi w:val="0"/>
              <w:spacing w:before="0" w:after="283"/>
              <w:jc w:val="left"/>
              <w:rPr/>
            </w:pPr>
            <w:r>
              <w:rPr>
                <w:rStyle w:val="Strong"/>
              </w:rPr>
              <w:t>C — Customer customisation</w:t>
            </w:r>
          </w:p>
        </w:tc>
        <w:tc>
          <w:tcPr>
            <w:tcW w:w="1939" w:type="dxa"/>
            <w:tcBorders/>
            <w:vAlign w:val="center"/>
          </w:tcPr>
          <w:p>
            <w:pPr>
              <w:pStyle w:val="TableContents"/>
              <w:bidi w:val="0"/>
              <w:spacing w:before="0" w:after="283"/>
              <w:jc w:val="left"/>
              <w:rPr/>
            </w:pPr>
            <w:r>
              <w:rPr/>
              <w:t>Configures or extends the platform for a named customer</w:t>
            </w:r>
          </w:p>
        </w:tc>
        <w:tc>
          <w:tcPr>
            <w:tcW w:w="1706" w:type="dxa"/>
            <w:tcBorders/>
            <w:vAlign w:val="center"/>
          </w:tcPr>
          <w:p>
            <w:pPr>
              <w:pStyle w:val="TableContents"/>
              <w:bidi w:val="0"/>
              <w:spacing w:before="0" w:after="283"/>
              <w:jc w:val="left"/>
              <w:rPr/>
            </w:pPr>
            <w:r>
              <w:rPr/>
              <w:t xml:space="preserve">Design plan entry linked to the requirements review record from </w:t>
            </w:r>
            <w:r>
              <w:rPr>
                <w:rStyle w:val="SourceText"/>
              </w:rPr>
              <w:t>SOP-04</w:t>
            </w:r>
            <w:r>
              <w:rPr/>
              <w:t xml:space="preserve"> §5</w:t>
            </w:r>
          </w:p>
        </w:tc>
      </w:tr>
    </w:tbl>
    <w:p>
      <w:pPr>
        <w:pStyle w:val="BodyText"/>
        <w:bidi w:val="0"/>
        <w:jc w:val="left"/>
        <w:rPr/>
      </w:pPr>
      <w:r>
        <w:rPr/>
        <w:t>A change that weakens grounding, abstention, tenant isolation, or the offline property of the deployment is always Class B, however small the diff.</w:t>
      </w:r>
    </w:p>
    <w:p>
      <w:pPr>
        <w:pStyle w:val="Heading3"/>
        <w:bidi w:val="0"/>
        <w:jc w:val="left"/>
        <w:rPr/>
      </w:pPr>
      <w:r>
        <w:rPr/>
        <w:t>4.2 Stages and control points</w:t>
      </w:r>
    </w:p>
    <w:tbl>
      <w:tblPr>
        <w:tblW w:w="5133" w:type="dxa"/>
        <w:jc w:val="left"/>
        <w:tblInd w:w="0" w:type="dxa"/>
        <w:tblLayout w:type="fixed"/>
        <w:tblCellMar>
          <w:top w:w="28" w:type="dxa"/>
          <w:left w:w="28" w:type="dxa"/>
          <w:bottom w:w="28" w:type="dxa"/>
          <w:right w:w="28" w:type="dxa"/>
        </w:tblCellMar>
      </w:tblPr>
      <w:tblGrid>
        <w:gridCol w:w="1083"/>
        <w:gridCol w:w="1995"/>
        <w:gridCol w:w="2055"/>
      </w:tblGrid>
      <w:tr>
        <w:trPr>
          <w:tblHeader w:val="true"/>
        </w:trPr>
        <w:tc>
          <w:tcPr>
            <w:tcW w:w="1083" w:type="dxa"/>
            <w:tcBorders/>
            <w:vAlign w:val="center"/>
          </w:tcPr>
          <w:p>
            <w:pPr>
              <w:pStyle w:val="TableHeading"/>
              <w:suppressLineNumbers/>
              <w:shd w:fill="1F3A5F" w:val="clear"/>
              <w:bidi w:val="0"/>
              <w:spacing w:before="0" w:after="283"/>
              <w:jc w:val="center"/>
              <w:rPr/>
            </w:pPr>
            <w:r>
              <w:rPr/>
              <w:t>Stage</w:t>
            </w:r>
          </w:p>
        </w:tc>
        <w:tc>
          <w:tcPr>
            <w:tcW w:w="1995" w:type="dxa"/>
            <w:tcBorders/>
            <w:vAlign w:val="center"/>
          </w:tcPr>
          <w:p>
            <w:pPr>
              <w:pStyle w:val="TableHeading"/>
              <w:suppressLineNumbers/>
              <w:shd w:fill="1F3A5F" w:val="clear"/>
              <w:bidi w:val="0"/>
              <w:spacing w:before="0" w:after="283"/>
              <w:jc w:val="center"/>
              <w:rPr/>
            </w:pPr>
            <w:r>
              <w:rPr/>
              <w:t>Exit condition</w:t>
            </w:r>
          </w:p>
        </w:tc>
        <w:tc>
          <w:tcPr>
            <w:tcW w:w="2055" w:type="dxa"/>
            <w:tcBorders/>
            <w:vAlign w:val="center"/>
          </w:tcPr>
          <w:p>
            <w:pPr>
              <w:pStyle w:val="TableHeading"/>
              <w:suppressLineNumbers/>
              <w:shd w:fill="1F3A5F" w:val="clear"/>
              <w:bidi w:val="0"/>
              <w:spacing w:before="0" w:after="283"/>
              <w:jc w:val="center"/>
              <w:rPr/>
            </w:pPr>
            <w:r>
              <w:rPr/>
              <w:t>Control applied</w:t>
            </w:r>
          </w:p>
        </w:tc>
      </w:tr>
      <w:tr>
        <w:trPr/>
        <w:tc>
          <w:tcPr>
            <w:tcW w:w="1083" w:type="dxa"/>
            <w:tcBorders/>
            <w:vAlign w:val="center"/>
          </w:tcPr>
          <w:p>
            <w:pPr>
              <w:pStyle w:val="TableContents"/>
              <w:bidi w:val="0"/>
              <w:spacing w:before="0" w:after="283"/>
              <w:jc w:val="left"/>
              <w:rPr/>
            </w:pPr>
            <w:r>
              <w:rPr/>
              <w:t>1. Inputs stated</w:t>
            </w:r>
          </w:p>
        </w:tc>
        <w:tc>
          <w:tcPr>
            <w:tcW w:w="1995" w:type="dxa"/>
            <w:tcBorders/>
            <w:vAlign w:val="center"/>
          </w:tcPr>
          <w:p>
            <w:pPr>
              <w:pStyle w:val="TableContents"/>
              <w:bidi w:val="0"/>
              <w:spacing w:before="0" w:after="283"/>
              <w:jc w:val="left"/>
              <w:rPr/>
            </w:pPr>
            <w:r>
              <w:rPr/>
              <w:t>The inputs in §5 are written down and are unambiguous, complete and not in conflict</w:t>
            </w:r>
          </w:p>
        </w:tc>
        <w:tc>
          <w:tcPr>
            <w:tcW w:w="2055" w:type="dxa"/>
            <w:tcBorders/>
            <w:vAlign w:val="center"/>
          </w:tcPr>
          <w:p>
            <w:pPr>
              <w:pStyle w:val="TableContents"/>
              <w:bidi w:val="0"/>
              <w:spacing w:before="0" w:after="283"/>
              <w:jc w:val="left"/>
              <w:rPr/>
            </w:pPr>
            <w:r>
              <w:rPr/>
              <w:t>Design review (Class B and C)</w:t>
            </w:r>
          </w:p>
        </w:tc>
      </w:tr>
      <w:tr>
        <w:trPr/>
        <w:tc>
          <w:tcPr>
            <w:tcW w:w="1083" w:type="dxa"/>
            <w:tcBorders/>
            <w:vAlign w:val="center"/>
          </w:tcPr>
          <w:p>
            <w:pPr>
              <w:pStyle w:val="TableContents"/>
              <w:bidi w:val="0"/>
              <w:spacing w:before="0" w:after="283"/>
              <w:jc w:val="left"/>
              <w:rPr/>
            </w:pPr>
            <w:r>
              <w:rPr/>
              <w:t>2. Design and build</w:t>
            </w:r>
          </w:p>
        </w:tc>
        <w:tc>
          <w:tcPr>
            <w:tcW w:w="1995" w:type="dxa"/>
            <w:tcBorders/>
            <w:vAlign w:val="center"/>
          </w:tcPr>
          <w:p>
            <w:pPr>
              <w:pStyle w:val="TableContents"/>
              <w:bidi w:val="0"/>
              <w:spacing w:before="0" w:after="283"/>
              <w:jc w:val="left"/>
              <w:rPr/>
            </w:pPr>
            <w:r>
              <w:rPr/>
              <w:t>Working implementation exists</w:t>
            </w:r>
          </w:p>
        </w:tc>
        <w:tc>
          <w:tcPr>
            <w:tcW w:w="2055" w:type="dxa"/>
            <w:tcBorders/>
            <w:vAlign w:val="center"/>
          </w:tcPr>
          <w:p>
            <w:pPr>
              <w:pStyle w:val="TableContents"/>
              <w:bidi w:val="0"/>
              <w:spacing w:before="0" w:after="283"/>
              <w:jc w:val="left"/>
              <w:rPr/>
            </w:pPr>
            <w:r>
              <w:rPr/>
              <w:t>AI-output verification (§7) applies continuously</w:t>
            </w:r>
          </w:p>
        </w:tc>
      </w:tr>
      <w:tr>
        <w:trPr/>
        <w:tc>
          <w:tcPr>
            <w:tcW w:w="1083" w:type="dxa"/>
            <w:tcBorders/>
            <w:vAlign w:val="center"/>
          </w:tcPr>
          <w:p>
            <w:pPr>
              <w:pStyle w:val="TableContents"/>
              <w:bidi w:val="0"/>
              <w:spacing w:before="0" w:after="283"/>
              <w:jc w:val="left"/>
              <w:rPr/>
            </w:pPr>
            <w:r>
              <w:rPr/>
              <w:t>3. Verification</w:t>
            </w:r>
          </w:p>
        </w:tc>
        <w:tc>
          <w:tcPr>
            <w:tcW w:w="1995" w:type="dxa"/>
            <w:tcBorders/>
            <w:vAlign w:val="center"/>
          </w:tcPr>
          <w:p>
            <w:pPr>
              <w:pStyle w:val="TableContents"/>
              <w:bidi w:val="0"/>
              <w:spacing w:before="0" w:after="283"/>
              <w:jc w:val="left"/>
              <w:rPr/>
            </w:pPr>
            <w:r>
              <w:rPr/>
              <w:t>The outputs meet the stated inputs</w:t>
            </w:r>
          </w:p>
        </w:tc>
        <w:tc>
          <w:tcPr>
            <w:tcW w:w="2055" w:type="dxa"/>
            <w:tcBorders/>
            <w:vAlign w:val="center"/>
          </w:tcPr>
          <w:p>
            <w:pPr>
              <w:pStyle w:val="TableContents"/>
              <w:bidi w:val="0"/>
              <w:spacing w:before="0" w:after="283"/>
              <w:jc w:val="left"/>
              <w:rPr/>
            </w:pPr>
            <w:r>
              <w:rPr/>
              <w:t>§6.1 — unit tests, golden-question suite, targeted measurement</w:t>
            </w:r>
          </w:p>
        </w:tc>
      </w:tr>
      <w:tr>
        <w:trPr/>
        <w:tc>
          <w:tcPr>
            <w:tcW w:w="1083" w:type="dxa"/>
            <w:tcBorders/>
            <w:vAlign w:val="center"/>
          </w:tcPr>
          <w:p>
            <w:pPr>
              <w:pStyle w:val="TableContents"/>
              <w:bidi w:val="0"/>
              <w:spacing w:before="0" w:after="283"/>
              <w:jc w:val="left"/>
              <w:rPr/>
            </w:pPr>
            <w:r>
              <w:rPr/>
              <w:t>4. Validation</w:t>
            </w:r>
          </w:p>
        </w:tc>
        <w:tc>
          <w:tcPr>
            <w:tcW w:w="1995" w:type="dxa"/>
            <w:tcBorders/>
            <w:vAlign w:val="center"/>
          </w:tcPr>
          <w:p>
            <w:pPr>
              <w:pStyle w:val="TableContents"/>
              <w:bidi w:val="0"/>
              <w:spacing w:before="0" w:after="283"/>
              <w:jc w:val="left"/>
              <w:rPr/>
            </w:pPr>
            <w:r>
              <w:rPr/>
              <w:t>The result meets the intended use in the customer's context</w:t>
            </w:r>
          </w:p>
        </w:tc>
        <w:tc>
          <w:tcPr>
            <w:tcW w:w="2055" w:type="dxa"/>
            <w:tcBorders/>
            <w:vAlign w:val="center"/>
          </w:tcPr>
          <w:p>
            <w:pPr>
              <w:pStyle w:val="TableContents"/>
              <w:bidi w:val="0"/>
              <w:spacing w:before="0" w:after="283"/>
              <w:jc w:val="left"/>
              <w:rPr/>
            </w:pPr>
            <w:r>
              <w:rPr/>
              <w:t>§6.2</w:t>
            </w:r>
          </w:p>
        </w:tc>
      </w:tr>
      <w:tr>
        <w:trPr/>
        <w:tc>
          <w:tcPr>
            <w:tcW w:w="1083" w:type="dxa"/>
            <w:tcBorders/>
            <w:vAlign w:val="center"/>
          </w:tcPr>
          <w:p>
            <w:pPr>
              <w:pStyle w:val="TableContents"/>
              <w:bidi w:val="0"/>
              <w:spacing w:before="0" w:after="283"/>
              <w:jc w:val="left"/>
              <w:rPr/>
            </w:pPr>
            <w:r>
              <w:rPr/>
              <w:t>5. Release</w:t>
            </w:r>
          </w:p>
        </w:tc>
        <w:tc>
          <w:tcPr>
            <w:tcW w:w="1995" w:type="dxa"/>
            <w:tcBorders/>
            <w:vAlign w:val="center"/>
          </w:tcPr>
          <w:p>
            <w:pPr>
              <w:pStyle w:val="TableContents"/>
              <w:bidi w:val="0"/>
              <w:spacing w:before="0" w:after="283"/>
              <w:jc w:val="left"/>
              <w:rPr/>
            </w:pPr>
            <w:r>
              <w:rPr/>
              <w:t>Managing Director approves</w:t>
            </w:r>
          </w:p>
        </w:tc>
        <w:tc>
          <w:tcPr>
            <w:tcW w:w="2055" w:type="dxa"/>
            <w:tcBorders/>
            <w:vAlign w:val="center"/>
          </w:tcPr>
          <w:p>
            <w:pPr>
              <w:pStyle w:val="TableContents"/>
              <w:bidi w:val="0"/>
              <w:spacing w:before="0" w:after="283"/>
              <w:jc w:val="left"/>
              <w:rPr/>
            </w:pPr>
            <w:r>
              <w:rPr/>
              <w:t xml:space="preserve">Release record in </w:t>
            </w:r>
            <w:r>
              <w:rPr>
                <w:rStyle w:val="SourceText"/>
              </w:rPr>
              <w:t>registers/REG-08_Release_and_Deployment_Register.md</w:t>
            </w:r>
          </w:p>
        </w:tc>
      </w:tr>
    </w:tbl>
    <w:p>
      <w:pPr>
        <w:pStyle w:val="Heading2"/>
        <w:bidi w:val="0"/>
        <w:jc w:val="left"/>
        <w:rPr/>
      </w:pPr>
      <w:r>
        <w:rPr/>
        <w:t>5. Design and development inputs (8.3.3)</w:t>
      </w:r>
    </w:p>
    <w:p>
      <w:pPr>
        <w:pStyle w:val="BodyText"/>
        <w:bidi w:val="0"/>
        <w:jc w:val="left"/>
        <w:rPr/>
      </w:pPr>
      <w:r>
        <w:rPr/>
        <w:t>Inputs are stated before build begins and are recorded in the design plan. ISO 9001:2015 8.3.3 requires the organisation to consider each of the following; for this product each has a concrete meaning, set out below.</w:t>
      </w:r>
    </w:p>
    <w:p>
      <w:pPr>
        <w:pStyle w:val="Heading3"/>
        <w:bidi w:val="0"/>
        <w:jc w:val="left"/>
        <w:rPr/>
      </w:pPr>
      <w:r>
        <w:rPr/>
        <w:t>5.1 Functional and performance requirements</w:t>
      </w:r>
    </w:p>
    <w:p>
      <w:pPr>
        <w:pStyle w:val="BodyText"/>
        <w:bidi w:val="0"/>
        <w:jc w:val="left"/>
        <w:rPr/>
      </w:pPr>
      <w:r>
        <w:rPr/>
        <w:t xml:space="preserve">Drawn from </w:t>
      </w:r>
      <w:r>
        <w:rPr>
          <w:rStyle w:val="SourceText"/>
        </w:rPr>
        <w:t>SOP-04</w:t>
      </w:r>
      <w:r>
        <w:rPr/>
        <w:t xml:space="preserve"> §4 for a customer engagement, and from the product baseline in </w:t>
      </w:r>
      <w:r>
        <w:rPr>
          <w:rStyle w:val="SourceText"/>
        </w:rPr>
        <w:t>docs/CAPABILITIES.md</w:t>
      </w:r>
      <w:r>
        <w:rPr/>
        <w:t xml:space="preserve"> (284 lines) otherwise. Where a performance requirement is stated it must be stated as a measurable figure with the conditions of measurement, because the harness in </w:t>
      </w:r>
      <w:r>
        <w:rPr>
          <w:rStyle w:val="SourceText"/>
        </w:rPr>
        <w:t>eval/paper/</w:t>
      </w:r>
      <w:r>
        <w:rPr/>
        <w:t xml:space="preserve"> records that unqualified performance intuitions have been wrong here: </w:t>
      </w:r>
      <w:r>
        <w:rPr>
          <w:rStyle w:val="SourceText"/>
        </w:rPr>
        <w:t>eval/paper/results/SUMMARY.json</w:t>
      </w:r>
      <w:r>
        <w:rPr/>
        <w:t xml:space="preserve"> (E1) records that retrieval accounted for 2.8% of grounded response time and generation for approximately 97%, contradicting the assumption in the paper text.</w:t>
      </w:r>
    </w:p>
    <w:p>
      <w:pPr>
        <w:pStyle w:val="Heading3"/>
        <w:bidi w:val="0"/>
        <w:jc w:val="left"/>
        <w:rPr/>
      </w:pPr>
      <w:r>
        <w:rPr/>
        <w:t>5.2 Information derived from previous similar design activities</w:t>
      </w:r>
    </w:p>
    <w:p>
      <w:pPr>
        <w:pStyle w:val="BodyText"/>
        <w:bidi w:val="0"/>
        <w:jc w:val="left"/>
        <w:rPr/>
      </w:pPr>
      <w:r>
        <w:rPr/>
        <w:t xml:space="preserve">The pipeline documentation is the accumulated record of previous design activity and is treated as an input, not as background reading: </w:t>
      </w:r>
      <w:r>
        <w:rPr>
          <w:rStyle w:val="SourceText"/>
        </w:rPr>
        <w:t>docs/RAG_FLOW.md</w:t>
      </w:r>
      <w:r>
        <w:rPr/>
        <w:t xml:space="preserve"> (281 lines), </w:t>
      </w:r>
      <w:r>
        <w:rPr>
          <w:rStyle w:val="SourceText"/>
        </w:rPr>
        <w:t>docs/RAG_AND_CHUNKING_EXPLAINED.md</w:t>
      </w:r>
      <w:r>
        <w:rPr/>
        <w:t xml:space="preserve"> (315 lines), </w:t>
      </w:r>
      <w:r>
        <w:rPr>
          <w:rStyle w:val="SourceText"/>
        </w:rPr>
        <w:t>docs/CHAT_AND_RAG_FLOW.md</w:t>
      </w:r>
      <w:r>
        <w:rPr/>
        <w:t xml:space="preserve"> (273 lines, per-message path and LLM call accounting), </w:t>
      </w:r>
      <w:r>
        <w:rPr>
          <w:rStyle w:val="SourceText"/>
        </w:rPr>
        <w:t>docs/CHAT_SESSION_AND_SUMMARY_FLOW.md</w:t>
      </w:r>
      <w:r>
        <w:rPr/>
        <w:t xml:space="preserve">, </w:t>
      </w:r>
      <w:r>
        <w:rPr>
          <w:rStyle w:val="SourceText"/>
        </w:rPr>
        <w:t>docs/CONVERSATION_AI_AND_WAKE_WORD_FLOW.md</w:t>
      </w:r>
      <w:r>
        <w:rPr/>
        <w:t xml:space="preserve"> (181 lines), </w:t>
      </w:r>
      <w:r>
        <w:rPr>
          <w:rStyle w:val="SourceText"/>
        </w:rPr>
        <w:t>docs/TRANSCRIPT_STORAGE_FLOW.md</w:t>
      </w:r>
      <w:r>
        <w:rPr/>
        <w:t xml:space="preserve"> (171 lines), </w:t>
      </w:r>
      <w:r>
        <w:rPr>
          <w:rStyle w:val="SourceText"/>
        </w:rPr>
        <w:t>backend/app/transcribe/PROTOCOL.md</w:t>
      </w:r>
      <w:r>
        <w:rPr/>
        <w:t xml:space="preserve"> (the WebSocket protocol specification) and </w:t>
      </w:r>
      <w:r>
        <w:rPr>
          <w:rStyle w:val="SourceText"/>
        </w:rPr>
        <w:t>docs/RAG_AUDIT.md</w:t>
      </w:r>
      <w:r>
        <w:rPr/>
        <w:t xml:space="preserve"> (183 lines, a self-audit dated February 2026).</w:t>
      </w:r>
    </w:p>
    <w:p>
      <w:pPr>
        <w:pStyle w:val="Heading3"/>
        <w:bidi w:val="0"/>
        <w:jc w:val="left"/>
        <w:rPr/>
      </w:pPr>
      <w:r>
        <w:rPr/>
        <w:t>5.3 Statutory, regulatory and standards inputs</w:t>
      </w:r>
    </w:p>
    <w:p>
      <w:pPr>
        <w:pStyle w:val="BodyText"/>
        <w:bidi w:val="0"/>
        <w:jc w:val="left"/>
        <w:rPr/>
      </w:pPr>
      <w:r>
        <w:rPr/>
        <w:t xml:space="preserve">Obligations applicable to Ajace AI, and those the delivered system must not put the customer in breach of — data protection, data residency, record retention, and professional-advice boundaries in the legal and healthcare packs. Captured per engagement under </w:t>
      </w:r>
      <w:r>
        <w:rPr>
          <w:rStyle w:val="SourceText"/>
        </w:rPr>
        <w:t>SOP-04</w:t>
      </w:r>
      <w:r>
        <w:rPr/>
        <w:t xml:space="preserve"> §4. ISO 9001:2015 itself applies through this QMS: the commitments in </w:t>
      </w:r>
      <w:r>
        <w:rPr>
          <w:rStyle w:val="SourceText"/>
        </w:rPr>
        <w:t>QP-01</w:t>
      </w:r>
      <w:r>
        <w:rPr/>
        <w:t xml:space="preserve"> §2.1 (grounding), §2.2 (data stays where the customer put it) and §2.3 (honest statement of capability) are binding design inputs and may not be traded away for a feature.</w:t>
      </w:r>
    </w:p>
    <w:p>
      <w:pPr>
        <w:pStyle w:val="Heading3"/>
        <w:bidi w:val="0"/>
        <w:jc w:val="left"/>
        <w:rPr/>
      </w:pPr>
      <w:r>
        <w:rPr/>
        <w:t>5.4 Consequences of failure — and what they require as inputs</w:t>
      </w:r>
    </w:p>
    <w:p>
      <w:pPr>
        <w:pStyle w:val="BodyText"/>
        <w:bidi w:val="0"/>
        <w:jc w:val="left"/>
        <w:rPr/>
      </w:pPr>
      <w:r>
        <w:rPr/>
        <w:t>This is the input category that matters most for this product, and it is stated in full.</w:t>
      </w:r>
    </w:p>
    <w:p>
      <w:pPr>
        <w:pStyle w:val="BodyText"/>
        <w:bidi w:val="0"/>
        <w:jc w:val="left"/>
        <w:rPr/>
      </w:pPr>
      <w:r>
        <w:rPr>
          <w:rStyle w:val="Strong"/>
        </w:rPr>
        <w:t>The consequence of failure for EchoMind Enterprise is an ungrounded or fabricated answer reaching a user in a regulated sector.</w:t>
      </w:r>
      <w:r>
        <w:rPr/>
        <w:t xml:space="preserve"> A clinician, a lawyer, an analyst in a defence or finance context acts on what the system tells them. A confident answer that is not supported by the customer's own material is worse than no answer, because it is indistinguishable from a correct one at the point of use. A secondary consequence of comparable severity is content crossing a tenant boundary between vertical packs.</w:t>
      </w:r>
    </w:p>
    <w:p>
      <w:pPr>
        <w:pStyle w:val="BodyText"/>
        <w:bidi w:val="0"/>
        <w:jc w:val="left"/>
        <w:rPr/>
      </w:pPr>
      <w:r>
        <w:rPr/>
        <w:t xml:space="preserve">Because that is the consequence, the following are </w:t>
      </w:r>
      <w:r>
        <w:rPr>
          <w:rStyle w:val="Strong"/>
        </w:rPr>
        <w:t>mandatory design inputs for any work touching retrieval, generation or the conversational path</w:t>
      </w:r>
      <w:r>
        <w:rPr/>
        <w:t>, and a design that does not satisfy them is not acceptable:</w:t>
      </w:r>
    </w:p>
    <w:tbl>
      <w:tblPr>
        <w:tblW w:w="5133" w:type="dxa"/>
        <w:jc w:val="left"/>
        <w:tblInd w:w="0" w:type="dxa"/>
        <w:tblLayout w:type="fixed"/>
        <w:tblCellMar>
          <w:top w:w="28" w:type="dxa"/>
          <w:left w:w="28" w:type="dxa"/>
          <w:bottom w:w="28" w:type="dxa"/>
          <w:right w:w="28" w:type="dxa"/>
        </w:tblCellMar>
      </w:tblPr>
      <w:tblGrid>
        <w:gridCol w:w="1546"/>
        <w:gridCol w:w="1381"/>
        <w:gridCol w:w="2206"/>
      </w:tblGrid>
      <w:tr>
        <w:trPr>
          <w:tblHeader w:val="true"/>
        </w:trPr>
        <w:tc>
          <w:tcPr>
            <w:tcW w:w="1546" w:type="dxa"/>
            <w:tcBorders/>
            <w:vAlign w:val="center"/>
          </w:tcPr>
          <w:p>
            <w:pPr>
              <w:pStyle w:val="TableHeading"/>
              <w:suppressLineNumbers/>
              <w:shd w:fill="1F3A5F" w:val="clear"/>
              <w:bidi w:val="0"/>
              <w:spacing w:before="0" w:after="283"/>
              <w:jc w:val="center"/>
              <w:rPr/>
            </w:pPr>
            <w:r>
              <w:rPr/>
              <w:t>Mandatory input</w:t>
            </w:r>
          </w:p>
        </w:tc>
        <w:tc>
          <w:tcPr>
            <w:tcW w:w="1381" w:type="dxa"/>
            <w:tcBorders/>
            <w:vAlign w:val="center"/>
          </w:tcPr>
          <w:p>
            <w:pPr>
              <w:pStyle w:val="TableHeading"/>
              <w:suppressLineNumbers/>
              <w:shd w:fill="1F3A5F" w:val="clear"/>
              <w:bidi w:val="0"/>
              <w:spacing w:before="0" w:after="283"/>
              <w:jc w:val="center"/>
              <w:rPr/>
            </w:pPr>
            <w:r>
              <w:rPr/>
              <w:t>What it requires</w:t>
            </w:r>
          </w:p>
        </w:tc>
        <w:tc>
          <w:tcPr>
            <w:tcW w:w="2206" w:type="dxa"/>
            <w:tcBorders/>
            <w:vAlign w:val="center"/>
          </w:tcPr>
          <w:p>
            <w:pPr>
              <w:pStyle w:val="TableHeading"/>
              <w:suppressLineNumbers/>
              <w:shd w:fill="1F3A5F" w:val="clear"/>
              <w:bidi w:val="0"/>
              <w:spacing w:before="0" w:after="283"/>
              <w:jc w:val="center"/>
              <w:rPr/>
            </w:pPr>
            <w:r>
              <w:rPr/>
              <w:t>Where the current implementation stands</w:t>
            </w:r>
          </w:p>
        </w:tc>
      </w:tr>
      <w:tr>
        <w:trPr/>
        <w:tc>
          <w:tcPr>
            <w:tcW w:w="1546" w:type="dxa"/>
            <w:tcBorders/>
            <w:vAlign w:val="center"/>
          </w:tcPr>
          <w:p>
            <w:pPr>
              <w:pStyle w:val="TableContents"/>
              <w:bidi w:val="0"/>
              <w:spacing w:before="0" w:after="283"/>
              <w:jc w:val="left"/>
              <w:rPr/>
            </w:pPr>
            <w:r>
              <w:rPr>
                <w:rStyle w:val="Strong"/>
              </w:rPr>
              <w:t>Grounding</w:t>
            </w:r>
          </w:p>
        </w:tc>
        <w:tc>
          <w:tcPr>
            <w:tcW w:w="1381" w:type="dxa"/>
            <w:tcBorders/>
            <w:vAlign w:val="center"/>
          </w:tcPr>
          <w:p>
            <w:pPr>
              <w:pStyle w:val="TableContents"/>
              <w:bidi w:val="0"/>
              <w:spacing w:before="0" w:after="283"/>
              <w:jc w:val="left"/>
              <w:rPr/>
            </w:pPr>
            <w:r>
              <w:rPr/>
              <w:t>An assertion about the customer's material must be supported by retrieved content and must carry attribution</w:t>
            </w:r>
          </w:p>
        </w:tc>
        <w:tc>
          <w:tcPr>
            <w:tcW w:w="2206" w:type="dxa"/>
            <w:tcBorders/>
            <w:vAlign w:val="center"/>
          </w:tcPr>
          <w:p>
            <w:pPr>
              <w:pStyle w:val="TableContents"/>
              <w:bidi w:val="0"/>
              <w:spacing w:before="0" w:after="283"/>
              <w:jc w:val="left"/>
              <w:rPr/>
            </w:pPr>
            <w:r>
              <w:rPr/>
              <w:t xml:space="preserve">Citation handling in </w:t>
            </w:r>
            <w:r>
              <w:rPr>
                <w:rStyle w:val="SourceText"/>
              </w:rPr>
              <w:t>backend/app/rag/citation_utils.py</w:t>
            </w:r>
            <w:r>
              <w:rPr/>
              <w:t xml:space="preserve">; strict-citation retry path at </w:t>
            </w:r>
            <w:r>
              <w:rPr>
                <w:rStyle w:val="SourceText"/>
              </w:rPr>
              <w:t>backend/app/rag/advanced.py:999</w:t>
            </w:r>
            <w:r>
              <w:rPr/>
              <w:t>, which falls through to insufficient context when a second attempt still produces no citations</w:t>
            </w:r>
          </w:p>
        </w:tc>
      </w:tr>
      <w:tr>
        <w:trPr/>
        <w:tc>
          <w:tcPr>
            <w:tcW w:w="1546" w:type="dxa"/>
            <w:tcBorders/>
            <w:vAlign w:val="center"/>
          </w:tcPr>
          <w:p>
            <w:pPr>
              <w:pStyle w:val="TableContents"/>
              <w:bidi w:val="0"/>
              <w:spacing w:before="0" w:after="283"/>
              <w:jc w:val="left"/>
              <w:rPr/>
            </w:pPr>
            <w:r>
              <w:rPr>
                <w:rStyle w:val="Strong"/>
              </w:rPr>
              <w:t>Abstention</w:t>
            </w:r>
          </w:p>
        </w:tc>
        <w:tc>
          <w:tcPr>
            <w:tcW w:w="1381" w:type="dxa"/>
            <w:tcBorders/>
            <w:vAlign w:val="center"/>
          </w:tcPr>
          <w:p>
            <w:pPr>
              <w:pStyle w:val="TableContents"/>
              <w:bidi w:val="0"/>
              <w:spacing w:before="0" w:after="283"/>
              <w:jc w:val="left"/>
              <w:rPr/>
            </w:pPr>
            <w:r>
              <w:rPr/>
              <w:t>Where retrieval is insufficient, the system says so deterministically rather than answering from the model's own parameters</w:t>
            </w:r>
          </w:p>
        </w:tc>
        <w:tc>
          <w:tcPr>
            <w:tcW w:w="2206" w:type="dxa"/>
            <w:tcBorders/>
            <w:vAlign w:val="center"/>
          </w:tcPr>
          <w:p>
            <w:pPr>
              <w:pStyle w:val="TableContents"/>
              <w:bidi w:val="0"/>
              <w:spacing w:before="0" w:after="283"/>
              <w:jc w:val="left"/>
              <w:rPr/>
            </w:pPr>
            <w:r>
              <w:rPr>
                <w:rStyle w:val="SourceText"/>
              </w:rPr>
              <w:t>backend/app/rag/advanced.py:74</w:t>
            </w:r>
            <w:r>
              <w:rPr/>
              <w:t xml:space="preserve"> — a deterministic insufficient-context message, with the comment stating its purpose: "no hallucination fallback to general chat"; source type </w:t>
            </w:r>
            <w:r>
              <w:rPr>
                <w:rStyle w:val="SourceText"/>
              </w:rPr>
              <w:t>"insufficient"</w:t>
            </w:r>
            <w:r>
              <w:rPr/>
              <w:t xml:space="preserve"> is a first-class outcome at </w:t>
            </w:r>
            <w:r>
              <w:rPr>
                <w:rStyle w:val="SourceText"/>
              </w:rPr>
              <w:t>backend/app/rag/advanced.py:1519</w:t>
            </w:r>
          </w:p>
        </w:tc>
      </w:tr>
      <w:tr>
        <w:trPr/>
        <w:tc>
          <w:tcPr>
            <w:tcW w:w="1546" w:type="dxa"/>
            <w:tcBorders/>
            <w:vAlign w:val="center"/>
          </w:tcPr>
          <w:p>
            <w:pPr>
              <w:pStyle w:val="TableContents"/>
              <w:bidi w:val="0"/>
              <w:spacing w:before="0" w:after="283"/>
              <w:jc w:val="left"/>
              <w:rPr/>
            </w:pPr>
            <w:r>
              <w:rPr>
                <w:rStyle w:val="Strong"/>
              </w:rPr>
              <w:t>No false abstention</w:t>
            </w:r>
          </w:p>
        </w:tc>
        <w:tc>
          <w:tcPr>
            <w:tcW w:w="1381" w:type="dxa"/>
            <w:tcBorders/>
            <w:vAlign w:val="center"/>
          </w:tcPr>
          <w:p>
            <w:pPr>
              <w:pStyle w:val="TableContents"/>
              <w:bidi w:val="0"/>
              <w:spacing w:before="0" w:after="283"/>
              <w:jc w:val="left"/>
              <w:rPr/>
            </w:pPr>
            <w:r>
              <w:rPr/>
              <w:t>Abstention must not be so aggressive that valid cited answers are rejected</w:t>
            </w:r>
          </w:p>
        </w:tc>
        <w:tc>
          <w:tcPr>
            <w:tcW w:w="2206" w:type="dxa"/>
            <w:tcBorders/>
            <w:vAlign w:val="center"/>
          </w:tcPr>
          <w:p>
            <w:pPr>
              <w:pStyle w:val="TableContents"/>
              <w:bidi w:val="0"/>
              <w:spacing w:before="0" w:after="283"/>
              <w:jc w:val="left"/>
              <w:rPr/>
            </w:pPr>
            <w:r>
              <w:rPr/>
              <w:t xml:space="preserve">Recorded as a real defect already encountered and fixed — </w:t>
            </w:r>
            <w:r>
              <w:rPr>
                <w:rStyle w:val="SourceText"/>
              </w:rPr>
              <w:t>backend/app/rag/advanced.py:919</w:t>
            </w:r>
            <w:r>
              <w:rPr/>
              <w:t xml:space="preserve"> notes that valid cited answers were previously rejected as "insufficient context"</w:t>
            </w:r>
          </w:p>
        </w:tc>
      </w:tr>
      <w:tr>
        <w:trPr/>
        <w:tc>
          <w:tcPr>
            <w:tcW w:w="1546" w:type="dxa"/>
            <w:tcBorders/>
            <w:vAlign w:val="center"/>
          </w:tcPr>
          <w:p>
            <w:pPr>
              <w:pStyle w:val="TableContents"/>
              <w:bidi w:val="0"/>
              <w:spacing w:before="0" w:after="283"/>
              <w:jc w:val="left"/>
              <w:rPr/>
            </w:pPr>
            <w:r>
              <w:rPr>
                <w:rStyle w:val="Strong"/>
              </w:rPr>
              <w:t>Tenant isolation</w:t>
            </w:r>
          </w:p>
        </w:tc>
        <w:tc>
          <w:tcPr>
            <w:tcW w:w="1381" w:type="dxa"/>
            <w:tcBorders/>
            <w:vAlign w:val="center"/>
          </w:tcPr>
          <w:p>
            <w:pPr>
              <w:pStyle w:val="TableContents"/>
              <w:bidi w:val="0"/>
              <w:spacing w:before="0" w:after="283"/>
              <w:jc w:val="left"/>
              <w:rPr/>
            </w:pPr>
            <w:r>
              <w:rPr/>
              <w:t>Every retrieval path must apply the namespace predicate; there must be no path that bypasses it</w:t>
            </w:r>
          </w:p>
        </w:tc>
        <w:tc>
          <w:tcPr>
            <w:tcW w:w="2206" w:type="dxa"/>
            <w:tcBorders/>
            <w:vAlign w:val="center"/>
          </w:tcPr>
          <w:p>
            <w:pPr>
              <w:pStyle w:val="TableContents"/>
              <w:bidi w:val="0"/>
              <w:spacing w:before="0" w:after="283"/>
              <w:jc w:val="left"/>
              <w:rPr/>
            </w:pPr>
            <w:r>
              <w:rPr>
                <w:rStyle w:val="SourceText"/>
              </w:rPr>
              <w:t>backend/app/rag/index.py:36</w:t>
            </w:r>
            <w:r>
              <w:rPr/>
              <w:t xml:space="preserve"> (</w:t>
            </w:r>
            <w:r>
              <w:rPr>
                <w:rStyle w:val="SourceText"/>
              </w:rPr>
              <w:t>_ns_ok</w:t>
            </w:r>
            <w:r>
              <w:rPr/>
              <w:t xml:space="preserve">), applied at </w:t>
            </w:r>
            <w:r>
              <w:rPr>
                <w:rStyle w:val="SourceText"/>
              </w:rPr>
              <w:t>:681</w:t>
            </w:r>
            <w:r>
              <w:rPr/>
              <w:t xml:space="preserve">, </w:t>
            </w:r>
            <w:r>
              <w:rPr>
                <w:rStyle w:val="SourceText"/>
              </w:rPr>
              <w:t>:855</w:t>
            </w:r>
            <w:r>
              <w:rPr/>
              <w:t xml:space="preserve">, </w:t>
            </w:r>
            <w:r>
              <w:rPr>
                <w:rStyle w:val="SourceText"/>
              </w:rPr>
              <w:t>:885</w:t>
            </w:r>
            <w:r>
              <w:rPr/>
              <w:t xml:space="preserve">, </w:t>
            </w:r>
            <w:r>
              <w:rPr>
                <w:rStyle w:val="SourceText"/>
              </w:rPr>
              <w:t>:920</w:t>
            </w:r>
            <w:r>
              <w:rPr/>
              <w:t xml:space="preserve">. Commit </w:t>
            </w:r>
            <w:r>
              <w:rPr>
                <w:rStyle w:val="SourceText"/>
              </w:rPr>
              <w:t>4e27109</w:t>
            </w:r>
            <w:r>
              <w:rPr/>
              <w:t xml:space="preserve"> records a path that bypassed it and returned 10/10 out-of-namespace chunks until fixed</w:t>
            </w:r>
          </w:p>
        </w:tc>
      </w:tr>
      <w:tr>
        <w:trPr/>
        <w:tc>
          <w:tcPr>
            <w:tcW w:w="1546" w:type="dxa"/>
            <w:tcBorders/>
            <w:vAlign w:val="center"/>
          </w:tcPr>
          <w:p>
            <w:pPr>
              <w:pStyle w:val="TableContents"/>
              <w:bidi w:val="0"/>
              <w:spacing w:before="0" w:after="283"/>
              <w:jc w:val="left"/>
              <w:rPr/>
            </w:pPr>
            <w:r>
              <w:rPr>
                <w:rStyle w:val="Strong"/>
              </w:rPr>
              <w:t>Prompt-injection resistance</w:t>
            </w:r>
          </w:p>
        </w:tc>
        <w:tc>
          <w:tcPr>
            <w:tcW w:w="1381" w:type="dxa"/>
            <w:tcBorders/>
            <w:vAlign w:val="center"/>
          </w:tcPr>
          <w:p>
            <w:pPr>
              <w:pStyle w:val="TableContents"/>
              <w:bidi w:val="0"/>
              <w:spacing w:before="0" w:after="283"/>
              <w:jc w:val="left"/>
              <w:rPr/>
            </w:pPr>
            <w:r>
              <w:rPr/>
              <w:t>Content retrieved from customer documents must not be able to redirect the system's instructions</w:t>
            </w:r>
          </w:p>
        </w:tc>
        <w:tc>
          <w:tcPr>
            <w:tcW w:w="2206" w:type="dxa"/>
            <w:tcBorders/>
            <w:vAlign w:val="center"/>
          </w:tcPr>
          <w:p>
            <w:pPr>
              <w:pStyle w:val="TableContents"/>
              <w:bidi w:val="0"/>
              <w:spacing w:before="0" w:after="283"/>
              <w:jc w:val="left"/>
              <w:rPr/>
            </w:pPr>
            <w:r>
              <w:rPr/>
              <w:t xml:space="preserve">Guards asserted by </w:t>
            </w:r>
            <w:r>
              <w:rPr>
                <w:rStyle w:val="SourceText"/>
              </w:rPr>
              <w:t>backend/tests/test_prompt_guards.py:10</w:t>
            </w:r>
            <w:r>
              <w:rPr/>
              <w:t xml:space="preserve">, </w:t>
            </w:r>
            <w:r>
              <w:rPr>
                <w:rStyle w:val="SourceText"/>
              </w:rPr>
              <w:t>:17</w:t>
            </w:r>
            <w:r>
              <w:rPr/>
              <w:t xml:space="preserve">, </w:t>
            </w:r>
            <w:r>
              <w:rPr>
                <w:rStyle w:val="SourceText"/>
              </w:rPr>
              <w:t>:23</w:t>
            </w:r>
            <w:r>
              <w:rPr/>
              <w:t xml:space="preserve">, </w:t>
            </w:r>
            <w:r>
              <w:rPr>
                <w:rStyle w:val="SourceText"/>
              </w:rPr>
              <w:t>:39</w:t>
            </w:r>
            <w:r>
              <w:rPr/>
              <w:t xml:space="preserve">; measured by </w:t>
            </w:r>
            <w:r>
              <w:rPr>
                <w:rStyle w:val="SourceText"/>
              </w:rPr>
              <w:t>eval/paper/e4_injection.py</w:t>
            </w:r>
          </w:p>
        </w:tc>
      </w:tr>
      <w:tr>
        <w:trPr/>
        <w:tc>
          <w:tcPr>
            <w:tcW w:w="1546" w:type="dxa"/>
            <w:tcBorders/>
            <w:vAlign w:val="center"/>
          </w:tcPr>
          <w:p>
            <w:pPr>
              <w:pStyle w:val="TableContents"/>
              <w:bidi w:val="0"/>
              <w:spacing w:before="0" w:after="283"/>
              <w:jc w:val="left"/>
              <w:rPr/>
            </w:pPr>
            <w:r>
              <w:rPr>
                <w:rStyle w:val="Strong"/>
              </w:rPr>
              <w:t>Persona boundaries</w:t>
            </w:r>
          </w:p>
        </w:tc>
        <w:tc>
          <w:tcPr>
            <w:tcW w:w="1381" w:type="dxa"/>
            <w:tcBorders/>
            <w:vAlign w:val="center"/>
          </w:tcPr>
          <w:p>
            <w:pPr>
              <w:pStyle w:val="TableContents"/>
              <w:bidi w:val="0"/>
              <w:spacing w:before="0" w:after="283"/>
              <w:jc w:val="left"/>
              <w:rPr/>
            </w:pPr>
            <w:r>
              <w:rPr/>
              <w:t>Sector personas must carry the disclaimers their sector requires, consistently</w:t>
            </w:r>
          </w:p>
        </w:tc>
        <w:tc>
          <w:tcPr>
            <w:tcW w:w="2206" w:type="dxa"/>
            <w:tcBorders/>
            <w:vAlign w:val="center"/>
          </w:tcPr>
          <w:p>
            <w:pPr>
              <w:pStyle w:val="TableContents"/>
              <w:bidi w:val="0"/>
              <w:spacing w:before="0" w:after="283"/>
              <w:jc w:val="left"/>
              <w:rPr/>
            </w:pPr>
            <w:r>
              <w:rPr>
                <w:rStyle w:val="SourceText"/>
              </w:rPr>
              <w:t>backend/tests/test_prompt_guards.py:29</w:t>
            </w:r>
            <w:r>
              <w:rPr/>
              <w:t xml:space="preserve"> asserts the lawyer disclaimer is consistent across variants; the conversational golden set asserts the converse — a greeting must carry no disclaimer (</w:t>
            </w:r>
            <w:r>
              <w:rPr>
                <w:rStyle w:val="SourceText"/>
              </w:rPr>
              <w:t>eval/README.md</w:t>
            </w:r>
            <w:r>
              <w:rPr/>
              <w:t>)</w:t>
            </w:r>
          </w:p>
        </w:tc>
      </w:tr>
      <w:tr>
        <w:trPr/>
        <w:tc>
          <w:tcPr>
            <w:tcW w:w="1546" w:type="dxa"/>
            <w:tcBorders/>
            <w:vAlign w:val="center"/>
          </w:tcPr>
          <w:p>
            <w:pPr>
              <w:pStyle w:val="TableContents"/>
              <w:bidi w:val="0"/>
              <w:spacing w:before="0" w:after="283"/>
              <w:jc w:val="left"/>
              <w:rPr/>
            </w:pPr>
            <w:r>
              <w:rPr>
                <w:rStyle w:val="Strong"/>
              </w:rPr>
              <w:t>Offline operation</w:t>
            </w:r>
          </w:p>
        </w:tc>
        <w:tc>
          <w:tcPr>
            <w:tcW w:w="1381" w:type="dxa"/>
            <w:tcBorders/>
            <w:vAlign w:val="center"/>
          </w:tcPr>
          <w:p>
            <w:pPr>
              <w:pStyle w:val="TableContents"/>
              <w:bidi w:val="0"/>
              <w:spacing w:before="0" w:after="283"/>
              <w:jc w:val="left"/>
              <w:rPr/>
            </w:pPr>
            <w:r>
              <w:rPr/>
              <w:t>No runtime dependency on an outbound network call</w:t>
            </w:r>
          </w:p>
        </w:tc>
        <w:tc>
          <w:tcPr>
            <w:tcW w:w="2206" w:type="dxa"/>
            <w:tcBorders/>
            <w:vAlign w:val="center"/>
          </w:tcPr>
          <w:p>
            <w:pPr>
              <w:pStyle w:val="TableContents"/>
              <w:bidi w:val="0"/>
              <w:spacing w:before="0" w:after="283"/>
              <w:jc w:val="left"/>
              <w:rPr/>
            </w:pPr>
            <w:r>
              <w:rPr>
                <w:rStyle w:val="SourceText"/>
              </w:rPr>
              <w:t>docker-compose.yml:170</w:t>
            </w:r>
            <w:r>
              <w:rPr/>
              <w:t xml:space="preserve"> disables the runtime Piper voice download from Hugging Face for offline deployments; ASR weights are pre-downloaded at build time (</w:t>
            </w:r>
            <w:r>
              <w:rPr>
                <w:rStyle w:val="SourceText"/>
              </w:rPr>
              <w:t>backend/Dockerfile:34-41</w:t>
            </w:r>
            <w:r>
              <w:rPr/>
              <w:t>)</w:t>
            </w:r>
          </w:p>
        </w:tc>
      </w:tr>
    </w:tbl>
    <w:p>
      <w:pPr>
        <w:pStyle w:val="Heading3"/>
        <w:bidi w:val="0"/>
        <w:jc w:val="left"/>
        <w:rPr/>
      </w:pPr>
      <w:r>
        <w:rPr/>
        <w:t>5.5 Adequacy of inputs</w:t>
      </w:r>
    </w:p>
    <w:p>
      <w:pPr>
        <w:pStyle w:val="BodyText"/>
        <w:bidi w:val="0"/>
        <w:jc w:val="left"/>
        <w:rPr/>
      </w:pPr>
      <w:r>
        <w:rPr/>
        <w:t xml:space="preserve">Inputs are reviewed for adequacy before build starts: they must be complete, unambiguous and not in conflict with one another. Conflicts between inputs — most commonly between a customer's desire for an always-helpful assistant and the abstention requirement in §5.4 — are resolved in favour of the mandatory inputs, and the resolution is recorded in the design plan and communicated to the customer under </w:t>
      </w:r>
      <w:r>
        <w:rPr>
          <w:rStyle w:val="SourceText"/>
        </w:rPr>
        <w:t>SOP-04</w:t>
      </w:r>
      <w:r>
        <w:rPr/>
        <w:t xml:space="preserve"> §6.</w:t>
      </w:r>
    </w:p>
    <w:p>
      <w:pPr>
        <w:pStyle w:val="Heading2"/>
        <w:bidi w:val="0"/>
        <w:jc w:val="left"/>
        <w:rPr/>
      </w:pPr>
      <w:r>
        <w:rPr/>
        <w:t>6. Design and development controls (8.3.4)</w:t>
      </w:r>
    </w:p>
    <w:p>
      <w:pPr>
        <w:pStyle w:val="BodyText"/>
        <w:bidi w:val="0"/>
        <w:jc w:val="left"/>
        <w:rPr/>
      </w:pPr>
      <w:r>
        <w:rPr/>
        <w:t>Three distinct activities, which must not be conflated.</w:t>
      </w:r>
    </w:p>
    <w:p>
      <w:pPr>
        <w:pStyle w:val="BodyText"/>
        <w:numPr>
          <w:ilvl w:val="0"/>
          <w:numId w:val="1"/>
        </w:numPr>
        <w:tabs>
          <w:tab w:val="clear" w:pos="1134"/>
          <w:tab w:val="left" w:pos="709" w:leader="none"/>
        </w:tabs>
        <w:bidi w:val="0"/>
        <w:spacing w:before="0" w:after="0"/>
        <w:ind w:hanging="283" w:left="709"/>
        <w:jc w:val="left"/>
        <w:rPr/>
      </w:pPr>
      <w:r>
        <w:rPr>
          <w:rStyle w:val="Strong"/>
        </w:rPr>
        <w:t>Review</w:t>
      </w:r>
      <w:r>
        <w:rPr/>
        <w:t xml:space="preserve"> asks: </w:t>
      </w:r>
      <w:r>
        <w:rPr>
          <w:rStyle w:val="Emphasis"/>
        </w:rPr>
        <w:t>is the design going to meet the requirements?</w:t>
      </w:r>
      <w:r>
        <w:rPr/>
        <w:t xml:space="preserve"> — a judgement, made by people. </w:t>
      </w:r>
    </w:p>
    <w:p>
      <w:pPr>
        <w:pStyle w:val="BodyText"/>
        <w:numPr>
          <w:ilvl w:val="0"/>
          <w:numId w:val="1"/>
        </w:numPr>
        <w:tabs>
          <w:tab w:val="clear" w:pos="1134"/>
          <w:tab w:val="left" w:pos="709" w:leader="none"/>
        </w:tabs>
        <w:bidi w:val="0"/>
        <w:spacing w:before="0" w:after="0"/>
        <w:ind w:hanging="283" w:left="709"/>
        <w:jc w:val="left"/>
        <w:rPr/>
      </w:pPr>
      <w:r>
        <w:rPr>
          <w:rStyle w:val="Strong"/>
        </w:rPr>
        <w:t>Verification</w:t>
      </w:r>
      <w:r>
        <w:rPr/>
        <w:t xml:space="preserve"> asks: </w:t>
      </w:r>
      <w:r>
        <w:rPr>
          <w:rStyle w:val="Emphasis"/>
        </w:rPr>
        <w:t>does the output meet the input?</w:t>
      </w:r>
      <w:r>
        <w:rPr/>
        <w:t xml:space="preserve"> — a measurement against the specification. </w:t>
      </w:r>
    </w:p>
    <w:p>
      <w:pPr>
        <w:pStyle w:val="BodyText"/>
        <w:numPr>
          <w:ilvl w:val="0"/>
          <w:numId w:val="1"/>
        </w:numPr>
        <w:tabs>
          <w:tab w:val="clear" w:pos="1134"/>
          <w:tab w:val="left" w:pos="709" w:leader="none"/>
        </w:tabs>
        <w:bidi w:val="0"/>
        <w:ind w:hanging="283" w:left="709"/>
        <w:jc w:val="left"/>
        <w:rPr/>
      </w:pPr>
      <w:r>
        <w:rPr>
          <w:rStyle w:val="Strong"/>
        </w:rPr>
        <w:t>Validation</w:t>
      </w:r>
      <w:r>
        <w:rPr/>
        <w:t xml:space="preserve"> asks: </w:t>
      </w:r>
      <w:r>
        <w:rPr>
          <w:rStyle w:val="Emphasis"/>
        </w:rPr>
        <w:t>does the result work for the intended use?</w:t>
      </w:r>
      <w:r>
        <w:rPr/>
        <w:t xml:space="preserve"> — a measurement against reality. </w:t>
      </w:r>
    </w:p>
    <w:p>
      <w:pPr>
        <w:pStyle w:val="Heading3"/>
        <w:bidi w:val="0"/>
        <w:jc w:val="left"/>
        <w:rPr/>
      </w:pPr>
      <w:r>
        <w:rPr/>
        <w:t>6.1 Verification</w:t>
      </w:r>
    </w:p>
    <w:tbl>
      <w:tblPr>
        <w:tblW w:w="5133" w:type="dxa"/>
        <w:jc w:val="left"/>
        <w:tblInd w:w="0" w:type="dxa"/>
        <w:tblLayout w:type="fixed"/>
        <w:tblCellMar>
          <w:top w:w="28" w:type="dxa"/>
          <w:left w:w="28" w:type="dxa"/>
          <w:bottom w:w="28" w:type="dxa"/>
          <w:right w:w="28" w:type="dxa"/>
        </w:tblCellMar>
      </w:tblPr>
      <w:tblGrid>
        <w:gridCol w:w="1450"/>
        <w:gridCol w:w="1330"/>
        <w:gridCol w:w="1307"/>
        <w:gridCol w:w="1046"/>
      </w:tblGrid>
      <w:tr>
        <w:trPr>
          <w:tblHeader w:val="true"/>
        </w:trPr>
        <w:tc>
          <w:tcPr>
            <w:tcW w:w="1450" w:type="dxa"/>
            <w:tcBorders/>
            <w:vAlign w:val="center"/>
          </w:tcPr>
          <w:p>
            <w:pPr>
              <w:pStyle w:val="TableHeading"/>
              <w:suppressLineNumbers/>
              <w:shd w:fill="1F3A5F" w:val="clear"/>
              <w:bidi w:val="0"/>
              <w:spacing w:before="0" w:after="283"/>
              <w:jc w:val="center"/>
              <w:rPr/>
            </w:pPr>
            <w:r>
              <w:rPr/>
              <w:t>Verification mechanism</w:t>
            </w:r>
          </w:p>
        </w:tc>
        <w:tc>
          <w:tcPr>
            <w:tcW w:w="1330" w:type="dxa"/>
            <w:tcBorders/>
            <w:vAlign w:val="center"/>
          </w:tcPr>
          <w:p>
            <w:pPr>
              <w:pStyle w:val="TableHeading"/>
              <w:suppressLineNumbers/>
              <w:shd w:fill="1F3A5F" w:val="clear"/>
              <w:bidi w:val="0"/>
              <w:spacing w:before="0" w:after="283"/>
              <w:jc w:val="center"/>
              <w:rPr/>
            </w:pPr>
            <w:r>
              <w:rPr/>
              <w:t>What it covers</w:t>
            </w:r>
          </w:p>
        </w:tc>
        <w:tc>
          <w:tcPr>
            <w:tcW w:w="1307" w:type="dxa"/>
            <w:tcBorders/>
            <w:vAlign w:val="center"/>
          </w:tcPr>
          <w:p>
            <w:pPr>
              <w:pStyle w:val="TableHeading"/>
              <w:suppressLineNumbers/>
              <w:shd w:fill="1F3A5F" w:val="clear"/>
              <w:bidi w:val="0"/>
              <w:spacing w:before="0" w:after="283"/>
              <w:jc w:val="center"/>
              <w:rPr/>
            </w:pPr>
            <w:r>
              <w:rPr/>
              <w:t>Where it lives</w:t>
            </w:r>
          </w:p>
        </w:tc>
        <w:tc>
          <w:tcPr>
            <w:tcW w:w="1046" w:type="dxa"/>
            <w:tcBorders/>
            <w:vAlign w:val="center"/>
          </w:tcPr>
          <w:p>
            <w:pPr>
              <w:pStyle w:val="TableHeading"/>
              <w:suppressLineNumbers/>
              <w:shd w:fill="1F3A5F" w:val="clear"/>
              <w:bidi w:val="0"/>
              <w:spacing w:before="0" w:after="283"/>
              <w:jc w:val="center"/>
              <w:rPr/>
            </w:pPr>
            <w:r>
              <w:rPr/>
              <w:t>Gate</w:t>
            </w:r>
          </w:p>
        </w:tc>
      </w:tr>
      <w:tr>
        <w:trPr/>
        <w:tc>
          <w:tcPr>
            <w:tcW w:w="1450" w:type="dxa"/>
            <w:tcBorders/>
            <w:vAlign w:val="center"/>
          </w:tcPr>
          <w:p>
            <w:pPr>
              <w:pStyle w:val="TableContents"/>
              <w:bidi w:val="0"/>
              <w:spacing w:before="0" w:after="283"/>
              <w:jc w:val="left"/>
              <w:rPr/>
            </w:pPr>
            <w:r>
              <w:rPr/>
              <w:t>Unit test suites</w:t>
            </w:r>
          </w:p>
        </w:tc>
        <w:tc>
          <w:tcPr>
            <w:tcW w:w="1330" w:type="dxa"/>
            <w:tcBorders/>
            <w:vAlign w:val="center"/>
          </w:tcPr>
          <w:p>
            <w:pPr>
              <w:pStyle w:val="TableContents"/>
              <w:bidi w:val="0"/>
              <w:spacing w:before="0" w:after="283"/>
              <w:jc w:val="left"/>
              <w:rPr/>
            </w:pPr>
            <w:r>
              <w:rPr/>
              <w:t>Normalisation, prompt guards, RAG behaviour, transcript audit fixes, document-generation images, and named fix sets</w:t>
            </w:r>
          </w:p>
        </w:tc>
        <w:tc>
          <w:tcPr>
            <w:tcW w:w="1307" w:type="dxa"/>
            <w:tcBorders/>
            <w:vAlign w:val="center"/>
          </w:tcPr>
          <w:p>
            <w:pPr>
              <w:pStyle w:val="TableContents"/>
              <w:bidi w:val="0"/>
              <w:spacing w:before="0" w:after="283"/>
              <w:jc w:val="left"/>
              <w:rPr/>
            </w:pPr>
            <w:r>
              <w:rPr>
                <w:rStyle w:val="SourceText"/>
              </w:rPr>
              <w:t>backend/tests/</w:t>
            </w:r>
            <w:r>
              <w:rPr/>
              <w:t xml:space="preserve"> — 40 test functions across 7 files</w:t>
            </w:r>
          </w:p>
        </w:tc>
        <w:tc>
          <w:tcPr>
            <w:tcW w:w="1046" w:type="dxa"/>
            <w:tcBorders/>
            <w:vAlign w:val="center"/>
          </w:tcPr>
          <w:p>
            <w:pPr>
              <w:pStyle w:val="TableContents"/>
              <w:bidi w:val="0"/>
              <w:spacing w:before="0" w:after="283"/>
              <w:jc w:val="left"/>
              <w:rPr/>
            </w:pPr>
            <w:r>
              <w:rPr/>
              <w:t>Run by the author; no automated gate (see §11)</w:t>
            </w:r>
          </w:p>
        </w:tc>
      </w:tr>
      <w:tr>
        <w:trPr/>
        <w:tc>
          <w:tcPr>
            <w:tcW w:w="1450" w:type="dxa"/>
            <w:tcBorders/>
            <w:vAlign w:val="center"/>
          </w:tcPr>
          <w:p>
            <w:pPr>
              <w:pStyle w:val="TableContents"/>
              <w:bidi w:val="0"/>
              <w:spacing w:before="0" w:after="283"/>
              <w:jc w:val="left"/>
              <w:rPr/>
            </w:pPr>
            <w:r>
              <w:rPr/>
              <w:t>Voice unit tests</w:t>
            </w:r>
          </w:p>
        </w:tc>
        <w:tc>
          <w:tcPr>
            <w:tcW w:w="1330" w:type="dxa"/>
            <w:tcBorders/>
            <w:vAlign w:val="center"/>
          </w:tcPr>
          <w:p>
            <w:pPr>
              <w:pStyle w:val="TableContents"/>
              <w:bidi w:val="0"/>
              <w:spacing w:before="0" w:after="283"/>
              <w:jc w:val="left"/>
              <w:rPr/>
            </w:pPr>
            <w:r>
              <w:rPr/>
              <w:t>Hold phrases, STT health, echo memory</w:t>
            </w:r>
          </w:p>
        </w:tc>
        <w:tc>
          <w:tcPr>
            <w:tcW w:w="1307" w:type="dxa"/>
            <w:tcBorders/>
            <w:vAlign w:val="center"/>
          </w:tcPr>
          <w:p>
            <w:pPr>
              <w:pStyle w:val="TableContents"/>
              <w:bidi w:val="0"/>
              <w:spacing w:before="0" w:after="283"/>
              <w:jc w:val="left"/>
              <w:rPr/>
            </w:pPr>
            <w:r>
              <w:rPr>
                <w:rStyle w:val="SourceText"/>
              </w:rPr>
              <w:t>voice/tests/</w:t>
            </w:r>
            <w:r>
              <w:rPr/>
              <w:t xml:space="preserve"> — 38 test functions across 3 files</w:t>
            </w:r>
          </w:p>
        </w:tc>
        <w:tc>
          <w:tcPr>
            <w:tcW w:w="1046" w:type="dxa"/>
            <w:tcBorders/>
            <w:vAlign w:val="center"/>
          </w:tcPr>
          <w:p>
            <w:pPr>
              <w:pStyle w:val="TableContents"/>
              <w:bidi w:val="0"/>
              <w:spacing w:before="0" w:after="283"/>
              <w:jc w:val="left"/>
              <w:rPr/>
            </w:pPr>
            <w:r>
              <w:rPr/>
              <w:t>As above</w:t>
            </w:r>
          </w:p>
        </w:tc>
      </w:tr>
      <w:tr>
        <w:trPr/>
        <w:tc>
          <w:tcPr>
            <w:tcW w:w="1450" w:type="dxa"/>
            <w:tcBorders/>
            <w:vAlign w:val="center"/>
          </w:tcPr>
          <w:p>
            <w:pPr>
              <w:pStyle w:val="TableContents"/>
              <w:bidi w:val="0"/>
              <w:spacing w:before="0" w:after="283"/>
              <w:jc w:val="left"/>
              <w:rPr/>
            </w:pPr>
            <w:r>
              <w:rPr/>
              <w:t>Golden-question regression suite</w:t>
            </w:r>
          </w:p>
        </w:tc>
        <w:tc>
          <w:tcPr>
            <w:tcW w:w="1330" w:type="dxa"/>
            <w:tcBorders/>
            <w:vAlign w:val="center"/>
          </w:tcPr>
          <w:p>
            <w:pPr>
              <w:pStyle w:val="TableContents"/>
              <w:bidi w:val="0"/>
              <w:spacing w:before="0" w:after="283"/>
              <w:jc w:val="left"/>
              <w:rPr/>
            </w:pPr>
            <w:r>
              <w:rPr/>
              <w:t>52 questions across the five vertical packs (7 each: bank, fmr, health, law, meetings, retail) plus 10 conversational items, scoring expected documents cited, expected facts present, forbidden strings absent, citation counts, and document precision</w:t>
            </w:r>
          </w:p>
        </w:tc>
        <w:tc>
          <w:tcPr>
            <w:tcW w:w="1307" w:type="dxa"/>
            <w:tcBorders/>
            <w:vAlign w:val="center"/>
          </w:tcPr>
          <w:p>
            <w:pPr>
              <w:pStyle w:val="TableContents"/>
              <w:bidi w:val="0"/>
              <w:spacing w:before="0" w:after="283"/>
              <w:jc w:val="left"/>
              <w:rPr/>
            </w:pPr>
            <w:r>
              <w:rPr>
                <w:rStyle w:val="SourceText"/>
              </w:rPr>
              <w:t>eval/run_eval.py</w:t>
            </w:r>
            <w:r>
              <w:rPr/>
              <w:t xml:space="preserve">, </w:t>
            </w:r>
            <w:r>
              <w:rPr>
                <w:rStyle w:val="SourceText"/>
              </w:rPr>
              <w:t>eval/golden/*.jsonl</w:t>
            </w:r>
            <w:r>
              <w:rPr/>
              <w:t xml:space="preserve">, </w:t>
            </w:r>
            <w:r>
              <w:rPr>
                <w:rStyle w:val="SourceText"/>
              </w:rPr>
              <w:t>eval/README.md</w:t>
            </w:r>
          </w:p>
        </w:tc>
        <w:tc>
          <w:tcPr>
            <w:tcW w:w="1046" w:type="dxa"/>
            <w:tcBorders/>
            <w:vAlign w:val="center"/>
          </w:tcPr>
          <w:p>
            <w:pPr>
              <w:pStyle w:val="TableContents"/>
              <w:bidi w:val="0"/>
              <w:spacing w:before="0" w:after="283"/>
              <w:jc w:val="left"/>
              <w:rPr/>
            </w:pPr>
            <w:r>
              <w:rPr>
                <w:rStyle w:val="Strong"/>
              </w:rPr>
              <w:t>Binary pass/fail.</w:t>
            </w:r>
            <w:r>
              <w:rPr/>
              <w:t xml:space="preserve"> </w:t>
            </w:r>
            <w:r>
              <w:rPr>
                <w:rStyle w:val="SourceText"/>
              </w:rPr>
              <w:t>eval/run_eval.py:281</w:t>
            </w:r>
            <w:r>
              <w:rPr/>
              <w:t xml:space="preserve"> returns </w:t>
            </w:r>
            <w:r>
              <w:rPr>
                <w:rStyle w:val="SourceText"/>
              </w:rPr>
              <w:t>0</w:t>
            </w:r>
            <w:r>
              <w:rPr/>
              <w:t xml:space="preserve"> only if every item passes, otherwise </w:t>
            </w:r>
            <w:r>
              <w:rPr>
                <w:rStyle w:val="SourceText"/>
              </w:rPr>
              <w:t>1</w:t>
            </w:r>
            <w:r>
              <w:rPr/>
              <w:t xml:space="preserve">. A JSON report is written to </w:t>
            </w:r>
            <w:r>
              <w:rPr>
                <w:rStyle w:val="SourceText"/>
              </w:rPr>
              <w:t>eval/reports/</w:t>
            </w:r>
          </w:p>
        </w:tc>
      </w:tr>
      <w:tr>
        <w:trPr/>
        <w:tc>
          <w:tcPr>
            <w:tcW w:w="1450" w:type="dxa"/>
            <w:tcBorders/>
            <w:vAlign w:val="center"/>
          </w:tcPr>
          <w:p>
            <w:pPr>
              <w:pStyle w:val="TableContents"/>
              <w:bidi w:val="0"/>
              <w:spacing w:before="0" w:after="283"/>
              <w:jc w:val="left"/>
              <w:rPr/>
            </w:pPr>
            <w:r>
              <w:rPr/>
              <w:t>Targeted measurement for the change at hand</w:t>
            </w:r>
          </w:p>
        </w:tc>
        <w:tc>
          <w:tcPr>
            <w:tcW w:w="1330" w:type="dxa"/>
            <w:tcBorders/>
            <w:vAlign w:val="center"/>
          </w:tcPr>
          <w:p>
            <w:pPr>
              <w:pStyle w:val="TableContents"/>
              <w:bidi w:val="0"/>
              <w:spacing w:before="0" w:after="283"/>
              <w:jc w:val="left"/>
              <w:rPr/>
            </w:pPr>
            <w:r>
              <w:rPr/>
              <w:t>Whatever demonstrates the specific claim of the change</w:t>
            </w:r>
          </w:p>
        </w:tc>
        <w:tc>
          <w:tcPr>
            <w:tcW w:w="1307" w:type="dxa"/>
            <w:tcBorders/>
            <w:vAlign w:val="center"/>
          </w:tcPr>
          <w:p>
            <w:pPr>
              <w:pStyle w:val="TableContents"/>
              <w:bidi w:val="0"/>
              <w:spacing w:before="0" w:after="283"/>
              <w:jc w:val="left"/>
              <w:rPr/>
            </w:pPr>
            <w:r>
              <w:rPr/>
              <w:t>Recorded in the commit body</w:t>
            </w:r>
          </w:p>
        </w:tc>
        <w:tc>
          <w:tcPr>
            <w:tcW w:w="1046" w:type="dxa"/>
            <w:tcBorders/>
            <w:vAlign w:val="center"/>
          </w:tcPr>
          <w:p>
            <w:pPr>
              <w:pStyle w:val="TableContents"/>
              <w:bidi w:val="0"/>
              <w:spacing w:before="0" w:after="283"/>
              <w:jc w:val="left"/>
              <w:rPr/>
            </w:pPr>
            <w:r>
              <w:rPr/>
              <w:t>Author judgement</w:t>
            </w:r>
          </w:p>
        </w:tc>
      </w:tr>
      <w:tr>
        <w:trPr/>
        <w:tc>
          <w:tcPr>
            <w:tcW w:w="1450" w:type="dxa"/>
            <w:tcBorders/>
            <w:vAlign w:val="center"/>
          </w:tcPr>
          <w:p>
            <w:pPr>
              <w:pStyle w:val="TableContents"/>
              <w:bidi w:val="0"/>
              <w:spacing w:before="0" w:after="283"/>
              <w:jc w:val="left"/>
              <w:rPr/>
            </w:pPr>
            <w:r>
              <w:rPr/>
              <w:t>Chunk coverage check</w:t>
            </w:r>
          </w:p>
        </w:tc>
        <w:tc>
          <w:tcPr>
            <w:tcW w:w="1330" w:type="dxa"/>
            <w:tcBorders/>
            <w:vAlign w:val="center"/>
          </w:tcPr>
          <w:p>
            <w:pPr>
              <w:pStyle w:val="TableContents"/>
              <w:bidi w:val="0"/>
              <w:spacing w:before="0" w:after="283"/>
              <w:jc w:val="left"/>
              <w:rPr/>
            </w:pPr>
            <w:r>
              <w:rPr/>
              <w:t>Ingestion completeness</w:t>
            </w:r>
          </w:p>
        </w:tc>
        <w:tc>
          <w:tcPr>
            <w:tcW w:w="1307" w:type="dxa"/>
            <w:tcBorders/>
            <w:vAlign w:val="center"/>
          </w:tcPr>
          <w:p>
            <w:pPr>
              <w:pStyle w:val="TableContents"/>
              <w:bidi w:val="0"/>
              <w:spacing w:before="0" w:after="283"/>
              <w:jc w:val="left"/>
              <w:rPr/>
            </w:pPr>
            <w:r>
              <w:rPr>
                <w:rStyle w:val="SourceText"/>
              </w:rPr>
              <w:t>eval/test_chunk_coverage.py</w:t>
            </w:r>
          </w:p>
        </w:tc>
        <w:tc>
          <w:tcPr>
            <w:tcW w:w="1046" w:type="dxa"/>
            <w:tcBorders/>
            <w:vAlign w:val="center"/>
          </w:tcPr>
          <w:p>
            <w:pPr>
              <w:pStyle w:val="TableContents"/>
              <w:bidi w:val="0"/>
              <w:spacing w:before="0" w:after="283"/>
              <w:jc w:val="left"/>
              <w:rPr/>
            </w:pPr>
            <w:r>
              <w:rPr/>
              <w:t>Run on demand</w:t>
            </w:r>
          </w:p>
        </w:tc>
      </w:tr>
      <w:tr>
        <w:trPr/>
        <w:tc>
          <w:tcPr>
            <w:tcW w:w="1450" w:type="dxa"/>
            <w:tcBorders/>
            <w:vAlign w:val="center"/>
          </w:tcPr>
          <w:p>
            <w:pPr>
              <w:pStyle w:val="TableContents"/>
              <w:bidi w:val="0"/>
              <w:spacing w:before="0" w:after="283"/>
              <w:jc w:val="left"/>
              <w:rPr/>
            </w:pPr>
            <w:r>
              <w:rPr/>
              <w:t>Voice end-to-end and cadence checks</w:t>
            </w:r>
          </w:p>
        </w:tc>
        <w:tc>
          <w:tcPr>
            <w:tcW w:w="1330" w:type="dxa"/>
            <w:tcBorders/>
            <w:vAlign w:val="center"/>
          </w:tcPr>
          <w:p>
            <w:pPr>
              <w:pStyle w:val="TableContents"/>
              <w:bidi w:val="0"/>
              <w:spacing w:before="0" w:after="283"/>
              <w:jc w:val="left"/>
              <w:rPr/>
            </w:pPr>
            <w:r>
              <w:rPr/>
              <w:t>Full-duplex behaviour and speech cadence</w:t>
            </w:r>
          </w:p>
        </w:tc>
        <w:tc>
          <w:tcPr>
            <w:tcW w:w="1307" w:type="dxa"/>
            <w:tcBorders/>
            <w:vAlign w:val="center"/>
          </w:tcPr>
          <w:p>
            <w:pPr>
              <w:pStyle w:val="TableContents"/>
              <w:bidi w:val="0"/>
              <w:spacing w:before="0" w:after="283"/>
              <w:jc w:val="left"/>
              <w:rPr/>
            </w:pPr>
            <w:r>
              <w:rPr>
                <w:rStyle w:val="SourceText"/>
              </w:rPr>
              <w:t>eval/voice_e2e_test.py</w:t>
            </w:r>
            <w:r>
              <w:rPr/>
              <w:t xml:space="preserve">, </w:t>
            </w:r>
            <w:r>
              <w:rPr>
                <w:rStyle w:val="SourceText"/>
              </w:rPr>
              <w:t>eval/voice_cadence_test.py</w:t>
            </w:r>
          </w:p>
        </w:tc>
        <w:tc>
          <w:tcPr>
            <w:tcW w:w="1046" w:type="dxa"/>
            <w:tcBorders/>
            <w:vAlign w:val="center"/>
          </w:tcPr>
          <w:p>
            <w:pPr>
              <w:pStyle w:val="TableContents"/>
              <w:bidi w:val="0"/>
              <w:spacing w:before="0" w:after="283"/>
              <w:jc w:val="left"/>
              <w:rPr/>
            </w:pPr>
            <w:r>
              <w:rPr/>
              <w:t>Run on demand</w:t>
            </w:r>
          </w:p>
        </w:tc>
      </w:tr>
    </w:tbl>
    <w:p>
      <w:pPr>
        <w:pStyle w:val="BodyText"/>
        <w:bidi w:val="0"/>
        <w:jc w:val="left"/>
        <w:rPr/>
      </w:pPr>
      <w:r>
        <w:rPr>
          <w:rStyle w:val="Strong"/>
        </w:rPr>
        <w:t>The golden-question suite is the primary verification instrument for the retrieval path</w:t>
      </w:r>
      <w:r>
        <w:rPr/>
        <w:t xml:space="preserve">, because it is the only mechanism that measures the mandatory inputs in §5.4 as a set rather than one at a time. Its use as a real gate is demonstrated by commit </w:t>
      </w:r>
      <w:r>
        <w:rPr>
          <w:rStyle w:val="SourceText"/>
        </w:rPr>
        <w:t>4e27109</w:t>
      </w:r>
      <w:r>
        <w:rPr/>
        <w:t>, which reports the regression it caught (50/52 → 42/52), the fix, and the post-fix score (49/52) together with a path audit (0/359 out-of-namespace hits).</w:t>
      </w:r>
    </w:p>
    <w:p>
      <w:pPr>
        <w:pStyle w:val="BodyText"/>
        <w:bidi w:val="0"/>
        <w:jc w:val="left"/>
        <w:rPr/>
      </w:pPr>
      <w:r>
        <w:rPr>
          <w:rStyle w:val="Strong"/>
        </w:rPr>
        <w:t>Adding a golden question is part of the design work</w:t>
      </w:r>
      <w:r>
        <w:rPr/>
        <w:t xml:space="preserve">, not an afterthought. Every </w:t>
      </w:r>
      <w:r>
        <w:rPr>
          <w:rStyle w:val="SourceText"/>
        </w:rPr>
        <w:t>expect_facts</w:t>
      </w:r>
      <w:r>
        <w:rPr/>
        <w:t xml:space="preserve"> variant must be a string that verifiably appears in the source document — </w:t>
      </w:r>
      <w:r>
        <w:rPr>
          <w:rStyle w:val="SourceText"/>
        </w:rPr>
        <w:t>eval/README.md</w:t>
      </w:r>
      <w:r>
        <w:rPr/>
        <w:t xml:space="preserve"> states the rule as "mine the corpus, don't guess".</w:t>
      </w:r>
    </w:p>
    <w:p>
      <w:pPr>
        <w:pStyle w:val="Heading3"/>
        <w:bidi w:val="0"/>
        <w:jc w:val="left"/>
        <w:rPr/>
      </w:pPr>
      <w:r>
        <w:rPr/>
        <w:t>6.2 Validation</w:t>
      </w:r>
    </w:p>
    <w:p>
      <w:pPr>
        <w:pStyle w:val="BodyText"/>
        <w:bidi w:val="0"/>
        <w:jc w:val="left"/>
        <w:rPr/>
      </w:pPr>
      <w:r>
        <w:rPr/>
        <w:t>Validation asks whether the result works for the intended use. Three mechanisms:</w:t>
      </w:r>
    </w:p>
    <w:tbl>
      <w:tblPr>
        <w:tblW w:w="5133" w:type="dxa"/>
        <w:jc w:val="left"/>
        <w:tblInd w:w="0" w:type="dxa"/>
        <w:tblLayout w:type="fixed"/>
        <w:tblCellMar>
          <w:top w:w="28" w:type="dxa"/>
          <w:left w:w="28" w:type="dxa"/>
          <w:bottom w:w="28" w:type="dxa"/>
          <w:right w:w="28" w:type="dxa"/>
        </w:tblCellMar>
      </w:tblPr>
      <w:tblGrid>
        <w:gridCol w:w="1239"/>
        <w:gridCol w:w="1966"/>
        <w:gridCol w:w="1928"/>
      </w:tblGrid>
      <w:tr>
        <w:trPr>
          <w:tblHeader w:val="true"/>
        </w:trPr>
        <w:tc>
          <w:tcPr>
            <w:tcW w:w="1239" w:type="dxa"/>
            <w:tcBorders/>
            <w:vAlign w:val="center"/>
          </w:tcPr>
          <w:p>
            <w:pPr>
              <w:pStyle w:val="TableHeading"/>
              <w:suppressLineNumbers/>
              <w:shd w:fill="1F3A5F" w:val="clear"/>
              <w:bidi w:val="0"/>
              <w:spacing w:before="0" w:after="283"/>
              <w:jc w:val="center"/>
              <w:rPr/>
            </w:pPr>
            <w:r>
              <w:rPr/>
              <w:t>Mechanism</w:t>
            </w:r>
          </w:p>
        </w:tc>
        <w:tc>
          <w:tcPr>
            <w:tcW w:w="1966" w:type="dxa"/>
            <w:tcBorders/>
            <w:vAlign w:val="center"/>
          </w:tcPr>
          <w:p>
            <w:pPr>
              <w:pStyle w:val="TableHeading"/>
              <w:suppressLineNumbers/>
              <w:shd w:fill="1F3A5F" w:val="clear"/>
              <w:bidi w:val="0"/>
              <w:spacing w:before="0" w:after="283"/>
              <w:jc w:val="center"/>
              <w:rPr/>
            </w:pPr>
            <w:r>
              <w:rPr/>
              <w:t>What it validates</w:t>
            </w:r>
          </w:p>
        </w:tc>
        <w:tc>
          <w:tcPr>
            <w:tcW w:w="1928" w:type="dxa"/>
            <w:tcBorders/>
            <w:vAlign w:val="center"/>
          </w:tcPr>
          <w:p>
            <w:pPr>
              <w:pStyle w:val="TableHeading"/>
              <w:suppressLineNumbers/>
              <w:shd w:fill="1F3A5F" w:val="clear"/>
              <w:bidi w:val="0"/>
              <w:spacing w:before="0" w:after="283"/>
              <w:jc w:val="center"/>
              <w:rPr/>
            </w:pPr>
            <w:r>
              <w:rPr/>
              <w:t>Evidence</w:t>
            </w:r>
          </w:p>
        </w:tc>
      </w:tr>
      <w:tr>
        <w:trPr/>
        <w:tc>
          <w:tcPr>
            <w:tcW w:w="1239" w:type="dxa"/>
            <w:tcBorders/>
            <w:vAlign w:val="center"/>
          </w:tcPr>
          <w:p>
            <w:pPr>
              <w:pStyle w:val="TableContents"/>
              <w:bidi w:val="0"/>
              <w:spacing w:before="0" w:after="283"/>
              <w:jc w:val="left"/>
              <w:rPr/>
            </w:pPr>
            <w:r>
              <w:rPr/>
              <w:t>Behaviour on real material in a running deployment</w:t>
            </w:r>
          </w:p>
        </w:tc>
        <w:tc>
          <w:tcPr>
            <w:tcW w:w="1966" w:type="dxa"/>
            <w:tcBorders/>
            <w:vAlign w:val="center"/>
          </w:tcPr>
          <w:p>
            <w:pPr>
              <w:pStyle w:val="TableContents"/>
              <w:bidi w:val="0"/>
              <w:spacing w:before="0" w:after="283"/>
              <w:jc w:val="left"/>
              <w:rPr/>
            </w:pPr>
            <w:r>
              <w:rPr/>
              <w:t>That the capability works end to end on the reference hardware, not only in tests</w:t>
            </w:r>
          </w:p>
        </w:tc>
        <w:tc>
          <w:tcPr>
            <w:tcW w:w="1928" w:type="dxa"/>
            <w:tcBorders/>
            <w:vAlign w:val="center"/>
          </w:tcPr>
          <w:p>
            <w:pPr>
              <w:pStyle w:val="TableContents"/>
              <w:bidi w:val="0"/>
              <w:spacing w:before="0" w:after="283"/>
              <w:jc w:val="left"/>
              <w:rPr/>
            </w:pPr>
            <w:r>
              <w:rPr/>
              <w:t xml:space="preserve">Recorded in the commit body — commit </w:t>
            </w:r>
            <w:r>
              <w:rPr>
                <w:rStyle w:val="SourceText"/>
              </w:rPr>
              <w:t>558eaae</w:t>
            </w:r>
            <w:r>
              <w:rPr/>
              <w:t xml:space="preserve"> is the pattern: "card mode 122 KB WAV, summary mode 541 KB WAV, and through the public site 83 KB WAV (RIFF header confirmed)"</w:t>
            </w:r>
          </w:p>
        </w:tc>
      </w:tr>
      <w:tr>
        <w:trPr/>
        <w:tc>
          <w:tcPr>
            <w:tcW w:w="1239" w:type="dxa"/>
            <w:tcBorders/>
            <w:vAlign w:val="center"/>
          </w:tcPr>
          <w:p>
            <w:pPr>
              <w:pStyle w:val="TableContents"/>
              <w:bidi w:val="0"/>
              <w:spacing w:before="0" w:after="283"/>
              <w:jc w:val="left"/>
              <w:rPr/>
            </w:pPr>
            <w:r>
              <w:rPr/>
              <w:t>The paper evaluation harness, E1–E10</w:t>
            </w:r>
          </w:p>
        </w:tc>
        <w:tc>
          <w:tcPr>
            <w:tcW w:w="1966" w:type="dxa"/>
            <w:tcBorders/>
            <w:vAlign w:val="center"/>
          </w:tcPr>
          <w:p>
            <w:pPr>
              <w:pStyle w:val="TableContents"/>
              <w:bidi w:val="0"/>
              <w:spacing w:before="0" w:after="283"/>
              <w:jc w:val="left"/>
              <w:rPr/>
            </w:pPr>
            <w:r>
              <w:rPr/>
              <w:t>The architectural claims of the design: latency decomposition (E1), retrieval scaling (E2), permission and path isolation (E3, E3b), injection resistance (E4), grounding (E5), outcome and interaction quality (E6, E7), process (E8), weighting (E9) and full ablation (E10)</w:t>
            </w:r>
          </w:p>
        </w:tc>
        <w:tc>
          <w:tcPr>
            <w:tcW w:w="1928" w:type="dxa"/>
            <w:tcBorders/>
            <w:vAlign w:val="center"/>
          </w:tcPr>
          <w:p>
            <w:pPr>
              <w:pStyle w:val="TableContents"/>
              <w:bidi w:val="0"/>
              <w:spacing w:before="0" w:after="283"/>
              <w:jc w:val="left"/>
              <w:rPr/>
            </w:pPr>
            <w:r>
              <w:rPr>
                <w:rStyle w:val="SourceText"/>
              </w:rPr>
              <w:t>eval/paper/</w:t>
            </w:r>
            <w:r>
              <w:rPr/>
              <w:t xml:space="preserve"> scripts; results in </w:t>
            </w:r>
            <w:r>
              <w:rPr>
                <w:rStyle w:val="SourceText"/>
              </w:rPr>
              <w:t>eval/paper/results/</w:t>
            </w:r>
            <w:r>
              <w:rPr/>
              <w:t xml:space="preserve"> including </w:t>
            </w:r>
            <w:r>
              <w:rPr>
                <w:rStyle w:val="SourceText"/>
              </w:rPr>
              <w:t>SUMMARY.json</w:t>
            </w:r>
            <w:r>
              <w:rPr/>
              <w:t xml:space="preserve"> and </w:t>
            </w:r>
            <w:r>
              <w:rPr>
                <w:rStyle w:val="SourceText"/>
              </w:rPr>
              <w:t>REGRESSION_AND_FIXES.json</w:t>
            </w:r>
          </w:p>
        </w:tc>
      </w:tr>
      <w:tr>
        <w:trPr/>
        <w:tc>
          <w:tcPr>
            <w:tcW w:w="1239" w:type="dxa"/>
            <w:tcBorders/>
            <w:vAlign w:val="center"/>
          </w:tcPr>
          <w:p>
            <w:pPr>
              <w:pStyle w:val="TableContents"/>
              <w:bidi w:val="0"/>
              <w:spacing w:before="0" w:after="283"/>
              <w:jc w:val="left"/>
              <w:rPr/>
            </w:pPr>
            <w:r>
              <w:rPr/>
              <w:t xml:space="preserve">Customer acceptance against the criteria agreed in </w:t>
            </w:r>
            <w:r>
              <w:rPr>
                <w:rStyle w:val="SourceText"/>
              </w:rPr>
              <w:t>SOP-04</w:t>
            </w:r>
            <w:r>
              <w:rPr/>
              <w:t xml:space="preserve"> §5</w:t>
            </w:r>
          </w:p>
        </w:tc>
        <w:tc>
          <w:tcPr>
            <w:tcW w:w="1966" w:type="dxa"/>
            <w:tcBorders/>
            <w:vAlign w:val="center"/>
          </w:tcPr>
          <w:p>
            <w:pPr>
              <w:pStyle w:val="TableContents"/>
              <w:bidi w:val="0"/>
              <w:spacing w:before="0" w:after="283"/>
              <w:jc w:val="left"/>
              <w:rPr/>
            </w:pPr>
            <w:r>
              <w:rPr/>
              <w:t>That the delivered customisation meets the customer's intended use</w:t>
            </w:r>
          </w:p>
        </w:tc>
        <w:tc>
          <w:tcPr>
            <w:tcW w:w="1928" w:type="dxa"/>
            <w:tcBorders/>
            <w:vAlign w:val="center"/>
          </w:tcPr>
          <w:p>
            <w:pPr>
              <w:pStyle w:val="TableContents"/>
              <w:bidi w:val="0"/>
              <w:spacing w:before="0" w:after="283"/>
              <w:jc w:val="left"/>
              <w:rPr/>
            </w:pPr>
            <w:r>
              <w:rPr/>
              <w:t>Customer acceptance record; none exists yet (</w:t>
            </w:r>
            <w:r>
              <w:rPr>
                <w:rStyle w:val="SourceText"/>
              </w:rPr>
              <w:t>SOP-04</w:t>
            </w:r>
            <w:r>
              <w:rPr/>
              <w:t xml:space="preserve"> §11)</w:t>
            </w:r>
          </w:p>
        </w:tc>
      </w:tr>
    </w:tbl>
    <w:p>
      <w:pPr>
        <w:pStyle w:val="BodyText"/>
        <w:bidi w:val="0"/>
        <w:jc w:val="left"/>
        <w:rPr/>
      </w:pPr>
      <w:r>
        <w:rPr>
          <w:rStyle w:val="Strong"/>
        </w:rPr>
        <w:t>Validation results are reported as measured, including when they contradict the design intent.</w:t>
      </w:r>
      <w:r>
        <w:rPr/>
        <w:t xml:space="preserve"> </w:t>
      </w:r>
      <w:r>
        <w:rPr>
          <w:rStyle w:val="SourceText"/>
        </w:rPr>
        <w:t>eval/paper/results/SUMMARY.json</w:t>
      </w:r>
      <w:r>
        <w:rPr/>
        <w:t xml:space="preserve"> is the standard: E1 is recorded as contradicting §7.2 of the paper; E3 is recorded as only partially supporting §6.1, because the content and wording side channels are closed but a timing channel is not; E2 is recorded as </w:t>
      </w:r>
      <w:r>
        <w:rPr>
          <w:rStyle w:val="SourceText"/>
        </w:rPr>
        <w:t>not_run</w:t>
      </w:r>
      <w:r>
        <w:rPr/>
        <w:t xml:space="preserve"> with the reason, rather than estimated. A validation result that is inconvenient is still the result.</w:t>
      </w:r>
    </w:p>
    <w:p>
      <w:pPr>
        <w:pStyle w:val="Heading3"/>
        <w:bidi w:val="0"/>
        <w:jc w:val="left"/>
        <w:rPr/>
      </w:pPr>
      <w:r>
        <w:rPr/>
        <w:t>6.3 What a design review is, in this organisation</w:t>
      </w:r>
    </w:p>
    <w:p>
      <w:pPr>
        <w:pStyle w:val="BodyText"/>
        <w:bidi w:val="0"/>
        <w:jc w:val="left"/>
        <w:rPr/>
      </w:pPr>
      <w:r>
        <w:rPr/>
        <w:t>A design review is a scheduled, recorded examination of a design against its stated inputs, held before the design is built (Class B and C work) and before release. It is not a code read-through and it is not the same as verification.</w:t>
      </w:r>
    </w:p>
    <w:p>
      <w:pPr>
        <w:pStyle w:val="BodyText"/>
        <w:bidi w:val="0"/>
        <w:jc w:val="left"/>
        <w:rPr/>
      </w:pPr>
      <w:r>
        <w:rPr/>
        <w:t>A design review must:</w:t>
      </w:r>
    </w:p>
    <w:p>
      <w:pPr>
        <w:pStyle w:val="BodyText"/>
        <w:numPr>
          <w:ilvl w:val="0"/>
          <w:numId w:val="2"/>
        </w:numPr>
        <w:tabs>
          <w:tab w:val="clear" w:pos="1134"/>
          <w:tab w:val="left" w:pos="709" w:leader="none"/>
        </w:tabs>
        <w:bidi w:val="0"/>
        <w:spacing w:before="0" w:after="0"/>
        <w:ind w:hanging="283" w:left="709"/>
        <w:jc w:val="left"/>
        <w:rPr/>
      </w:pPr>
      <w:r>
        <w:rPr/>
        <w:t xml:space="preserve">examine the design against every input stated in §5, including each mandatory input in §5.4; </w:t>
      </w:r>
    </w:p>
    <w:p>
      <w:pPr>
        <w:pStyle w:val="BodyText"/>
        <w:numPr>
          <w:ilvl w:val="0"/>
          <w:numId w:val="2"/>
        </w:numPr>
        <w:tabs>
          <w:tab w:val="clear" w:pos="1134"/>
          <w:tab w:val="left" w:pos="709" w:leader="none"/>
        </w:tabs>
        <w:bidi w:val="0"/>
        <w:spacing w:before="0" w:after="0"/>
        <w:ind w:hanging="283" w:left="709"/>
        <w:jc w:val="left"/>
        <w:rPr/>
      </w:pPr>
      <w:r>
        <w:rPr/>
        <w:t xml:space="preserve">identify problems and determine the necessary actions, with an owning role and a date; </w:t>
      </w:r>
    </w:p>
    <w:p>
      <w:pPr>
        <w:pStyle w:val="BodyText"/>
        <w:numPr>
          <w:ilvl w:val="0"/>
          <w:numId w:val="2"/>
        </w:numPr>
        <w:tabs>
          <w:tab w:val="clear" w:pos="1134"/>
          <w:tab w:val="left" w:pos="709" w:leader="none"/>
        </w:tabs>
        <w:bidi w:val="0"/>
        <w:spacing w:before="0" w:after="0"/>
        <w:ind w:hanging="283" w:left="709"/>
        <w:jc w:val="left"/>
        <w:rPr/>
      </w:pPr>
      <w:r>
        <w:rPr/>
        <w:t xml:space="preserve">state explicitly what could go wrong if the design is wrong, in terms of the consequence in §5.4; </w:t>
      </w:r>
    </w:p>
    <w:p>
      <w:pPr>
        <w:pStyle w:val="BodyText"/>
        <w:numPr>
          <w:ilvl w:val="0"/>
          <w:numId w:val="2"/>
        </w:numPr>
        <w:tabs>
          <w:tab w:val="clear" w:pos="1134"/>
          <w:tab w:val="left" w:pos="709" w:leader="none"/>
        </w:tabs>
        <w:bidi w:val="0"/>
        <w:spacing w:before="0" w:after="0"/>
        <w:ind w:hanging="283" w:left="709"/>
        <w:jc w:val="left"/>
        <w:rPr/>
      </w:pPr>
      <w:r>
        <w:rPr/>
        <w:t xml:space="preserve">reach one of three outcomes: </w:t>
      </w:r>
      <w:r>
        <w:rPr>
          <w:rStyle w:val="Strong"/>
        </w:rPr>
        <w:t>proceed</w:t>
      </w:r>
      <w:r>
        <w:rPr/>
        <w:t xml:space="preserve">, </w:t>
      </w:r>
      <w:r>
        <w:rPr>
          <w:rStyle w:val="Strong"/>
        </w:rPr>
        <w:t>proceed with the recorded actions</w:t>
      </w:r>
      <w:r>
        <w:rPr/>
        <w:t xml:space="preserve">, or </w:t>
      </w:r>
      <w:r>
        <w:rPr>
          <w:rStyle w:val="Strong"/>
        </w:rPr>
        <w:t>do not proceed</w:t>
      </w:r>
      <w:r>
        <w:rPr/>
        <w:t xml:space="preserve">; </w:t>
      </w:r>
    </w:p>
    <w:p>
      <w:pPr>
        <w:pStyle w:val="BodyText"/>
        <w:numPr>
          <w:ilvl w:val="0"/>
          <w:numId w:val="2"/>
        </w:numPr>
        <w:tabs>
          <w:tab w:val="clear" w:pos="1134"/>
          <w:tab w:val="left" w:pos="709" w:leader="none"/>
        </w:tabs>
        <w:bidi w:val="0"/>
        <w:ind w:hanging="283" w:left="709"/>
        <w:jc w:val="left"/>
        <w:rPr/>
      </w:pPr>
      <w:r>
        <w:rPr/>
        <w:t xml:space="preserve">leave a record. </w:t>
      </w:r>
    </w:p>
    <w:p>
      <w:pPr>
        <w:pStyle w:val="BodyText"/>
        <w:bidi w:val="0"/>
        <w:jc w:val="left"/>
        <w:rPr/>
      </w:pPr>
      <w:r>
        <w:rPr>
          <w:rStyle w:val="Strong"/>
        </w:rPr>
        <w:t xml:space="preserve">The record is </w:t>
      </w:r>
      <w:r>
        <w:rPr>
          <w:rStyle w:val="SourceText"/>
        </w:rPr>
        <w:t>forms/FRM-01_Design_Review_Record.md</w:t>
      </w:r>
      <w:r>
        <w:rPr/>
        <w:t xml:space="preserve">, completed at the time of the review and filed in </w:t>
      </w:r>
      <w:r>
        <w:rPr>
          <w:rStyle w:val="SourceText"/>
        </w:rPr>
        <w:t>registers/REG-07_Design_and_Change_Register.md</w:t>
      </w:r>
      <w:r>
        <w:rPr/>
        <w:t>. It names the participants, the date, the design under review, the inputs it was reviewed against, the problems found, the actions with owners and dates, and the outcome. It is not written retrospectively and it is not pre-filled.</w:t>
      </w:r>
    </w:p>
    <w:p>
      <w:pPr>
        <w:pStyle w:val="BodyText"/>
        <w:bidi w:val="0"/>
        <w:jc w:val="left"/>
        <w:rPr/>
      </w:pPr>
      <w:r>
        <w:rPr/>
        <w:t>Where the organisation has one person, the review is a self-review. It is still held, still recorded, and the record states plainly that it was a self-review — that is more useful to an auditor than a record that implies participants who were not there.</w:t>
      </w:r>
    </w:p>
    <w:p>
      <w:pPr>
        <w:pStyle w:val="Heading2"/>
        <w:bidi w:val="0"/>
        <w:jc w:val="left"/>
        <w:rPr/>
      </w:pPr>
      <w:r>
        <w:rPr/>
        <w:t>7. AI-assisted design and its mandatory verification control</w:t>
      </w:r>
    </w:p>
    <w:p>
      <w:pPr>
        <w:pStyle w:val="BodyText"/>
        <w:bidi w:val="0"/>
        <w:jc w:val="left"/>
        <w:rPr/>
      </w:pPr>
      <w:r>
        <w:rPr>
          <w:rStyle w:val="Strong"/>
        </w:rPr>
        <w:t>AI-assisted code generation is part of the design process at Ajace AI.</w:t>
      </w:r>
      <w:r>
        <w:rPr/>
        <w:t xml:space="preserve"> This is not a caveat; it is a statement of how the product is built. Many substantive commits in this repository carry a </w:t>
      </w:r>
      <w:r>
        <w:rPr>
          <w:rStyle w:val="SourceText"/>
        </w:rPr>
        <w:t>Co-Authored-By: Claude …</w:t>
      </w:r>
      <w:r>
        <w:rPr/>
        <w:t xml:space="preserve"> trailer, including </w:t>
      </w:r>
      <w:r>
        <w:rPr>
          <w:rStyle w:val="SourceText"/>
        </w:rPr>
        <w:t>558eaae</w:t>
      </w:r>
      <w:r>
        <w:rPr/>
        <w:t xml:space="preserve"> and </w:t>
      </w:r>
      <w:r>
        <w:rPr>
          <w:rStyle w:val="SourceText"/>
        </w:rPr>
        <w:t>4e27109</w:t>
      </w:r>
      <w:r>
        <w:rPr/>
        <w:t>, and the declaration is deliberate.</w:t>
      </w:r>
    </w:p>
    <w:p>
      <w:pPr>
        <w:pStyle w:val="BodyText"/>
        <w:bidi w:val="0"/>
        <w:jc w:val="left"/>
        <w:rPr/>
      </w:pPr>
      <w:r>
        <w:rPr>
          <w:rStyle w:val="Strong"/>
        </w:rPr>
        <w:t>The control:</w:t>
      </w:r>
    </w:p>
    <w:p>
      <w:pPr>
        <w:pStyle w:val="BlockQuotation"/>
        <w:bidi w:val="0"/>
        <w:jc w:val="left"/>
        <w:rPr/>
      </w:pPr>
      <w:r>
        <w:rPr/>
        <w:t>Verification of AI-generated output is a mandatory design control. It is not optional, it is not proportionate to the apparent size of the change, and it is not discharged by the code appearing to work. The human author reviews the change against the design inputs in §5 and records, in the commit body, what was verified and how.</w:t>
      </w:r>
    </w:p>
    <w:p>
      <w:pPr>
        <w:pStyle w:val="BodyText"/>
        <w:bidi w:val="0"/>
        <w:jc w:val="left"/>
        <w:rPr/>
      </w:pPr>
      <w:r>
        <w:rPr/>
        <w:t>Three specific requirements follow.</w:t>
      </w:r>
    </w:p>
    <w:p>
      <w:pPr>
        <w:pStyle w:val="BodyText"/>
        <w:numPr>
          <w:ilvl w:val="0"/>
          <w:numId w:val="3"/>
        </w:numPr>
        <w:tabs>
          <w:tab w:val="clear" w:pos="1134"/>
          <w:tab w:val="left" w:pos="709" w:leader="none"/>
        </w:tabs>
        <w:bidi w:val="0"/>
        <w:spacing w:before="0" w:after="0"/>
        <w:ind w:hanging="283" w:left="709"/>
        <w:jc w:val="left"/>
        <w:rPr/>
      </w:pPr>
      <w:r>
        <w:rPr>
          <w:rStyle w:val="Strong"/>
        </w:rPr>
        <w:t>Read every line before committing it.</w:t>
      </w:r>
      <w:r>
        <w:rPr/>
        <w:t xml:space="preserve"> An AI assistant produces plausible code; plausibility is precisely the failure mode this product exists to defend against, and the same standard applies to its own construction. </w:t>
      </w:r>
    </w:p>
    <w:p>
      <w:pPr>
        <w:pStyle w:val="BodyText"/>
        <w:numPr>
          <w:ilvl w:val="0"/>
          <w:numId w:val="3"/>
        </w:numPr>
        <w:tabs>
          <w:tab w:val="clear" w:pos="1134"/>
          <w:tab w:val="left" w:pos="709" w:leader="none"/>
        </w:tabs>
        <w:bidi w:val="0"/>
        <w:spacing w:before="0" w:after="0"/>
        <w:ind w:hanging="283" w:left="709"/>
        <w:jc w:val="left"/>
        <w:rPr/>
      </w:pPr>
      <w:r>
        <w:rPr>
          <w:rStyle w:val="Strong"/>
        </w:rPr>
        <w:t>Verify against the mandatory inputs, not only against the immediate task.</w:t>
      </w:r>
      <w:r>
        <w:rPr/>
        <w:t xml:space="preserve"> The defect in commit </w:t>
      </w:r>
      <w:r>
        <w:rPr>
          <w:rStyle w:val="SourceText"/>
        </w:rPr>
        <w:t>4e27109</w:t>
      </w:r>
      <w:r>
        <w:rPr/>
        <w:t xml:space="preserve"> was a single retrieval path that did not apply the namespace predicate the other paths applied. It worked, it passed casual inspection, and it silently broke tenant isolation. The question to ask of any generated change touching retrieval is: </w:t>
      </w:r>
      <w:r>
        <w:rPr>
          <w:rStyle w:val="Emphasis"/>
        </w:rPr>
        <w:t xml:space="preserve">does this path apply </w:t>
      </w:r>
      <w:r>
        <w:rPr>
          <w:rStyle w:val="SourceText"/>
        </w:rPr>
        <w:t>_ns_ok</w:t>
      </w:r>
      <w:r>
        <w:rPr>
          <w:rStyle w:val="Emphasis"/>
        </w:rPr>
        <w:t>?</w:t>
      </w:r>
      <w:r>
        <w:rPr/>
        <w:t xml:space="preserve"> </w:t>
      </w:r>
    </w:p>
    <w:p>
      <w:pPr>
        <w:pStyle w:val="BodyText"/>
        <w:numPr>
          <w:ilvl w:val="0"/>
          <w:numId w:val="3"/>
        </w:numPr>
        <w:tabs>
          <w:tab w:val="clear" w:pos="1134"/>
          <w:tab w:val="left" w:pos="709" w:leader="none"/>
        </w:tabs>
        <w:bidi w:val="0"/>
        <w:ind w:hanging="283" w:left="709"/>
        <w:jc w:val="left"/>
        <w:rPr/>
      </w:pPr>
      <w:r>
        <w:rPr>
          <w:rStyle w:val="Strong"/>
        </w:rPr>
        <w:t>Record the verification.</w:t>
      </w:r>
      <w:r>
        <w:rPr/>
        <w:t xml:space="preserve"> The commit body states what was checked and what the result was. A commit body that states only what was changed is not sufficient for a Class B change. </w:t>
      </w:r>
    </w:p>
    <w:p>
      <w:pPr>
        <w:pStyle w:val="BodyText"/>
        <w:bidi w:val="0"/>
        <w:jc w:val="left"/>
        <w:rPr/>
      </w:pPr>
      <w:r>
        <w:rPr>
          <w:rStyle w:val="Strong"/>
        </w:rPr>
        <w:t>Declaration.</w:t>
      </w:r>
      <w:r>
        <w:rPr/>
        <w:t xml:space="preserve"> Where AI assistance was material to a change, the </w:t>
      </w:r>
      <w:r>
        <w:rPr>
          <w:rStyle w:val="SourceText"/>
        </w:rPr>
        <w:t>Co-Authored-By</w:t>
      </w:r>
      <w:r>
        <w:rPr/>
        <w:t xml:space="preserve"> trailer is retained. Ajace AI does not remove it to make the development history appear wholly human-authored. Customers and auditors are entitled to know how the software was built.</w:t>
      </w:r>
    </w:p>
    <w:p>
      <w:pPr>
        <w:pStyle w:val="BodyText"/>
        <w:bidi w:val="0"/>
        <w:jc w:val="left"/>
        <w:rPr/>
      </w:pPr>
      <w:r>
        <w:rPr/>
        <w:t xml:space="preserve">The competence dimension of this — that reviewing generated output requires more competence in the area, not less — is in </w:t>
      </w:r>
      <w:r>
        <w:rPr>
          <w:rStyle w:val="SourceText"/>
        </w:rPr>
        <w:t>SOP-03</w:t>
      </w:r>
      <w:r>
        <w:rPr/>
        <w:t xml:space="preserve"> §7.</w:t>
      </w:r>
    </w:p>
    <w:p>
      <w:pPr>
        <w:pStyle w:val="Heading2"/>
        <w:bidi w:val="0"/>
        <w:jc w:val="left"/>
        <w:rPr/>
      </w:pPr>
      <w:r>
        <w:rPr/>
        <w:t>8. Design and development outputs (8.3.5)</w:t>
      </w:r>
    </w:p>
    <w:p>
      <w:pPr>
        <w:pStyle w:val="BodyText"/>
        <w:bidi w:val="0"/>
        <w:jc w:val="left"/>
        <w:rPr/>
      </w:pPr>
      <w:r>
        <w:rPr/>
        <w:t>Outputs are produced in a form that can be verified against inputs, and are approved before release.</w:t>
      </w:r>
    </w:p>
    <w:tbl>
      <w:tblPr>
        <w:tblW w:w="5133" w:type="dxa"/>
        <w:jc w:val="left"/>
        <w:tblInd w:w="0" w:type="dxa"/>
        <w:tblLayout w:type="fixed"/>
        <w:tblCellMar>
          <w:top w:w="28" w:type="dxa"/>
          <w:left w:w="28" w:type="dxa"/>
          <w:bottom w:w="28" w:type="dxa"/>
          <w:right w:w="28" w:type="dxa"/>
        </w:tblCellMar>
      </w:tblPr>
      <w:tblGrid>
        <w:gridCol w:w="1655"/>
        <w:gridCol w:w="3478"/>
      </w:tblGrid>
      <w:tr>
        <w:trPr>
          <w:tblHeader w:val="true"/>
        </w:trPr>
        <w:tc>
          <w:tcPr>
            <w:tcW w:w="1655" w:type="dxa"/>
            <w:tcBorders/>
            <w:vAlign w:val="center"/>
          </w:tcPr>
          <w:p>
            <w:pPr>
              <w:pStyle w:val="TableHeading"/>
              <w:suppressLineNumbers/>
              <w:shd w:fill="1F3A5F" w:val="clear"/>
              <w:bidi w:val="0"/>
              <w:spacing w:before="0" w:after="283"/>
              <w:jc w:val="center"/>
              <w:rPr/>
            </w:pPr>
            <w:r>
              <w:rPr/>
              <w:t>8.3.5 requirement</w:t>
            </w:r>
          </w:p>
        </w:tc>
        <w:tc>
          <w:tcPr>
            <w:tcW w:w="3478" w:type="dxa"/>
            <w:tcBorders/>
            <w:vAlign w:val="center"/>
          </w:tcPr>
          <w:p>
            <w:pPr>
              <w:pStyle w:val="TableHeading"/>
              <w:suppressLineNumbers/>
              <w:shd w:fill="1F3A5F" w:val="clear"/>
              <w:bidi w:val="0"/>
              <w:spacing w:before="0" w:after="283"/>
              <w:jc w:val="center"/>
              <w:rPr/>
            </w:pPr>
            <w:r>
              <w:rPr/>
              <w:t>Output in this organisation</w:t>
            </w:r>
          </w:p>
        </w:tc>
      </w:tr>
      <w:tr>
        <w:trPr/>
        <w:tc>
          <w:tcPr>
            <w:tcW w:w="1655" w:type="dxa"/>
            <w:tcBorders/>
            <w:vAlign w:val="center"/>
          </w:tcPr>
          <w:p>
            <w:pPr>
              <w:pStyle w:val="TableContents"/>
              <w:bidi w:val="0"/>
              <w:spacing w:before="0" w:after="283"/>
              <w:jc w:val="left"/>
              <w:rPr/>
            </w:pPr>
            <w:r>
              <w:rPr/>
              <w:t>(a) Meet the input requirements</w:t>
            </w:r>
          </w:p>
        </w:tc>
        <w:tc>
          <w:tcPr>
            <w:tcW w:w="3478" w:type="dxa"/>
            <w:tcBorders/>
            <w:vAlign w:val="center"/>
          </w:tcPr>
          <w:p>
            <w:pPr>
              <w:pStyle w:val="TableContents"/>
              <w:bidi w:val="0"/>
              <w:spacing w:before="0" w:after="283"/>
              <w:jc w:val="left"/>
              <w:rPr/>
            </w:pPr>
            <w:r>
              <w:rPr/>
              <w:t xml:space="preserve">Source code in </w:t>
            </w:r>
            <w:r>
              <w:rPr>
                <w:rStyle w:val="SourceText"/>
              </w:rPr>
              <w:t>backend/</w:t>
            </w:r>
            <w:r>
              <w:rPr/>
              <w:t xml:space="preserve">, </w:t>
            </w:r>
            <w:r>
              <w:rPr>
                <w:rStyle w:val="SourceText"/>
              </w:rPr>
              <w:t>voice/</w:t>
            </w:r>
            <w:r>
              <w:rPr/>
              <w:t xml:space="preserve">, </w:t>
            </w:r>
            <w:r>
              <w:rPr>
                <w:rStyle w:val="SourceText"/>
              </w:rPr>
              <w:t>frontend/</w:t>
            </w:r>
            <w:r>
              <w:rPr/>
              <w:t xml:space="preserve">; deployment configuration in </w:t>
            </w:r>
            <w:r>
              <w:rPr>
                <w:rStyle w:val="SourceText"/>
              </w:rPr>
              <w:t>docker-compose.yml</w:t>
            </w:r>
            <w:r>
              <w:rPr/>
              <w:t xml:space="preserve">, </w:t>
            </w:r>
            <w:r>
              <w:rPr>
                <w:rStyle w:val="SourceText"/>
              </w:rPr>
              <w:t>backend/Dockerfile</w:t>
            </w:r>
            <w:r>
              <w:rPr/>
              <w:t xml:space="preserve">, </w:t>
            </w:r>
            <w:r>
              <w:rPr>
                <w:rStyle w:val="SourceText"/>
              </w:rPr>
              <w:t>voice/Dockerfile</w:t>
            </w:r>
          </w:p>
        </w:tc>
      </w:tr>
      <w:tr>
        <w:trPr/>
        <w:tc>
          <w:tcPr>
            <w:tcW w:w="1655" w:type="dxa"/>
            <w:tcBorders/>
            <w:vAlign w:val="center"/>
          </w:tcPr>
          <w:p>
            <w:pPr>
              <w:pStyle w:val="TableContents"/>
              <w:bidi w:val="0"/>
              <w:spacing w:before="0" w:after="283"/>
              <w:jc w:val="left"/>
              <w:rPr/>
            </w:pPr>
            <w:r>
              <w:rPr/>
              <w:t>(b) Adequate for the subsequent processes for provision of products and services</w:t>
            </w:r>
          </w:p>
        </w:tc>
        <w:tc>
          <w:tcPr>
            <w:tcW w:w="3478" w:type="dxa"/>
            <w:tcBorders/>
            <w:vAlign w:val="center"/>
          </w:tcPr>
          <w:p>
            <w:pPr>
              <w:pStyle w:val="TableContents"/>
              <w:bidi w:val="0"/>
              <w:spacing w:before="0" w:after="283"/>
              <w:jc w:val="left"/>
              <w:rPr/>
            </w:pPr>
            <w:r>
              <w:rPr/>
              <w:t xml:space="preserve">Deployment documentation: </w:t>
            </w:r>
            <w:r>
              <w:rPr>
                <w:rStyle w:val="SourceText"/>
              </w:rPr>
              <w:t>OFFLINE_DEPLOYMENT.md</w:t>
            </w:r>
            <w:r>
              <w:rPr/>
              <w:t xml:space="preserve">, </w:t>
            </w:r>
            <w:r>
              <w:rPr>
                <w:rStyle w:val="SourceText"/>
              </w:rPr>
              <w:t>docs/PUBLIC_DEPLOYMENT.md</w:t>
            </w:r>
            <w:r>
              <w:rPr/>
              <w:t xml:space="preserve">, </w:t>
            </w:r>
            <w:r>
              <w:rPr>
                <w:rStyle w:val="SourceText"/>
              </w:rPr>
              <w:t>scripts/export_offline_bundle.sh</w:t>
            </w:r>
            <w:r>
              <w:rPr/>
              <w:t xml:space="preserve">, </w:t>
            </w:r>
            <w:r>
              <w:rPr>
                <w:rStyle w:val="SourceText"/>
              </w:rPr>
              <w:t>scripts/import_offline_bundle.sh</w:t>
            </w:r>
            <w:r>
              <w:rPr/>
              <w:t xml:space="preserve">, </w:t>
            </w:r>
            <w:r>
              <w:rPr>
                <w:rStyle w:val="SourceText"/>
              </w:rPr>
              <w:t>scripts/verify_offline_readiness.sh</w:t>
            </w:r>
          </w:p>
        </w:tc>
      </w:tr>
      <w:tr>
        <w:trPr/>
        <w:tc>
          <w:tcPr>
            <w:tcW w:w="1655" w:type="dxa"/>
            <w:tcBorders/>
            <w:vAlign w:val="center"/>
          </w:tcPr>
          <w:p>
            <w:pPr>
              <w:pStyle w:val="TableContents"/>
              <w:bidi w:val="0"/>
              <w:spacing w:before="0" w:after="283"/>
              <w:jc w:val="left"/>
              <w:rPr/>
            </w:pPr>
            <w:r>
              <w:rPr/>
              <w:t>(c) Include or reference monitoring and measuring requirements, and acceptance criteria</w:t>
            </w:r>
          </w:p>
        </w:tc>
        <w:tc>
          <w:tcPr>
            <w:tcW w:w="3478" w:type="dxa"/>
            <w:tcBorders/>
            <w:vAlign w:val="center"/>
          </w:tcPr>
          <w:p>
            <w:pPr>
              <w:pStyle w:val="TableContents"/>
              <w:bidi w:val="0"/>
              <w:spacing w:before="0" w:after="283"/>
              <w:jc w:val="left"/>
              <w:rPr/>
            </w:pPr>
            <w:r>
              <w:rPr/>
              <w:t xml:space="preserve">Golden-question sets in </w:t>
            </w:r>
            <w:r>
              <w:rPr>
                <w:rStyle w:val="SourceText"/>
              </w:rPr>
              <w:t>eval/golden/*.jsonl</w:t>
            </w:r>
            <w:r>
              <w:rPr/>
              <w:t xml:space="preserve"> are the acceptance criteria in executable form; the binary gate is </w:t>
            </w:r>
            <w:r>
              <w:rPr>
                <w:rStyle w:val="SourceText"/>
              </w:rPr>
              <w:t>eval/run_eval.py:281</w:t>
            </w:r>
            <w:r>
              <w:rPr/>
              <w:t xml:space="preserve">. Unit tests in </w:t>
            </w:r>
            <w:r>
              <w:rPr>
                <w:rStyle w:val="SourceText"/>
              </w:rPr>
              <w:t>backend/tests/</w:t>
            </w:r>
            <w:r>
              <w:rPr/>
              <w:t xml:space="preserve"> and </w:t>
            </w:r>
            <w:r>
              <w:rPr>
                <w:rStyle w:val="SourceText"/>
              </w:rPr>
              <w:t>voice/tests/</w:t>
            </w:r>
          </w:p>
        </w:tc>
      </w:tr>
      <w:tr>
        <w:trPr/>
        <w:tc>
          <w:tcPr>
            <w:tcW w:w="1655" w:type="dxa"/>
            <w:tcBorders/>
            <w:vAlign w:val="center"/>
          </w:tcPr>
          <w:p>
            <w:pPr>
              <w:pStyle w:val="TableContents"/>
              <w:bidi w:val="0"/>
              <w:spacing w:before="0" w:after="283"/>
              <w:jc w:val="left"/>
              <w:rPr/>
            </w:pPr>
            <w:r>
              <w:rPr/>
              <w:t>(d) Specify the characteristics essential for the intended purpose and safe and proper provision</w:t>
            </w:r>
          </w:p>
        </w:tc>
        <w:tc>
          <w:tcPr>
            <w:tcW w:w="3478" w:type="dxa"/>
            <w:tcBorders/>
            <w:vAlign w:val="center"/>
          </w:tcPr>
          <w:p>
            <w:pPr>
              <w:pStyle w:val="TableContents"/>
              <w:bidi w:val="0"/>
              <w:spacing w:before="0" w:after="283"/>
              <w:jc w:val="left"/>
              <w:rPr/>
            </w:pPr>
            <w:r>
              <w:rPr/>
              <w:t xml:space="preserve">The architecture documentation in </w:t>
            </w:r>
            <w:r>
              <w:rPr>
                <w:rStyle w:val="SourceText"/>
              </w:rPr>
              <w:t>docs/</w:t>
            </w:r>
            <w:r>
              <w:rPr/>
              <w:t xml:space="preserve"> listed in §5.2; the rationale comments carried inline where the configuration is easy to get wrong —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the operating documentation </w:t>
            </w:r>
            <w:r>
              <w:rPr>
                <w:rStyle w:val="SourceText"/>
              </w:rPr>
              <w:t>docs/USER_MANUAL.md</w:t>
            </w:r>
            <w:r>
              <w:rPr/>
              <w:t xml:space="preserve"> (1257 lines, 16 chapters)</w:t>
            </w:r>
          </w:p>
        </w:tc>
      </w:tr>
    </w:tbl>
    <w:p>
      <w:pPr>
        <w:pStyle w:val="BodyText"/>
        <w:bidi w:val="0"/>
        <w:jc w:val="left"/>
        <w:rPr/>
      </w:pPr>
      <w:r>
        <w:rPr/>
        <w:t xml:space="preserve">Outputs are approved before release by the Managing Director, recorded in </w:t>
      </w:r>
      <w:r>
        <w:rPr>
          <w:rStyle w:val="SourceText"/>
        </w:rPr>
        <w:t>registers/REG-08_Release_and_Deployment_Register.md</w:t>
      </w:r>
      <w:r>
        <w:rPr/>
        <w:t>.</w:t>
      </w:r>
    </w:p>
    <w:p>
      <w:pPr>
        <w:pStyle w:val="BodyText"/>
        <w:bidi w:val="0"/>
        <w:jc w:val="left"/>
        <w:rPr/>
      </w:pPr>
      <w:r>
        <w:rPr>
          <w:rStyle w:val="Strong"/>
        </w:rPr>
        <w:t>Documentation is an output, not a by-product.</w:t>
      </w:r>
      <w:r>
        <w:rPr/>
        <w:t xml:space="preserve"> A Class B change that alters observable behaviour and does not update the affected document in </w:t>
      </w:r>
      <w:r>
        <w:rPr>
          <w:rStyle w:val="SourceText"/>
        </w:rPr>
        <w:t>docs/</w:t>
      </w:r>
      <w:r>
        <w:rPr/>
        <w:t xml:space="preserve"> is incomplete, and the design review outcome for it is "proceed with the recorded actions" at best.</w:t>
      </w:r>
    </w:p>
    <w:p>
      <w:pPr>
        <w:pStyle w:val="Heading2"/>
        <w:bidi w:val="0"/>
        <w:jc w:val="left"/>
        <w:rPr/>
      </w:pPr>
      <w:r>
        <w:rPr/>
        <w:t>9. Design and development changes (8.3.6)</w:t>
      </w:r>
    </w:p>
    <w:p>
      <w:pPr>
        <w:pStyle w:val="BodyText"/>
        <w:bidi w:val="0"/>
        <w:jc w:val="left"/>
        <w:rPr/>
      </w:pPr>
      <w:r>
        <w:rPr/>
        <w:t>Changes made during, or subsequent to, the design and development of the platform are identified, reviewed and controlled to the extent necessary to ensure no adverse impact on conformity to requirements.</w:t>
      </w:r>
    </w:p>
    <w:tbl>
      <w:tblPr>
        <w:tblW w:w="5133" w:type="dxa"/>
        <w:jc w:val="left"/>
        <w:tblInd w:w="0" w:type="dxa"/>
        <w:tblLayout w:type="fixed"/>
        <w:tblCellMar>
          <w:top w:w="28" w:type="dxa"/>
          <w:left w:w="28" w:type="dxa"/>
          <w:bottom w:w="28" w:type="dxa"/>
          <w:right w:w="28" w:type="dxa"/>
        </w:tblCellMar>
      </w:tblPr>
      <w:tblGrid>
        <w:gridCol w:w="1167"/>
        <w:gridCol w:w="2244"/>
        <w:gridCol w:w="1722"/>
      </w:tblGrid>
      <w:tr>
        <w:trPr>
          <w:tblHeader w:val="true"/>
        </w:trPr>
        <w:tc>
          <w:tcPr>
            <w:tcW w:w="1167" w:type="dxa"/>
            <w:tcBorders/>
            <w:vAlign w:val="center"/>
          </w:tcPr>
          <w:p>
            <w:pPr>
              <w:pStyle w:val="TableHeading"/>
              <w:suppressLineNumbers/>
              <w:shd w:fill="1F3A5F" w:val="clear"/>
              <w:bidi w:val="0"/>
              <w:spacing w:before="0" w:after="283"/>
              <w:jc w:val="center"/>
              <w:rPr/>
            </w:pPr>
            <w:r>
              <w:rPr/>
              <w:t>Step</w:t>
            </w:r>
          </w:p>
        </w:tc>
        <w:tc>
          <w:tcPr>
            <w:tcW w:w="2244" w:type="dxa"/>
            <w:tcBorders/>
            <w:vAlign w:val="center"/>
          </w:tcPr>
          <w:p>
            <w:pPr>
              <w:pStyle w:val="TableHeading"/>
              <w:suppressLineNumbers/>
              <w:shd w:fill="1F3A5F" w:val="clear"/>
              <w:bidi w:val="0"/>
              <w:spacing w:before="0" w:after="283"/>
              <w:jc w:val="center"/>
              <w:rPr/>
            </w:pPr>
            <w:r>
              <w:rPr/>
              <w:t>Requirement</w:t>
            </w:r>
          </w:p>
        </w:tc>
        <w:tc>
          <w:tcPr>
            <w:tcW w:w="1722" w:type="dxa"/>
            <w:tcBorders/>
            <w:vAlign w:val="center"/>
          </w:tcPr>
          <w:p>
            <w:pPr>
              <w:pStyle w:val="TableHeading"/>
              <w:suppressLineNumbers/>
              <w:shd w:fill="1F3A5F" w:val="clear"/>
              <w:bidi w:val="0"/>
              <w:spacing w:before="0" w:after="283"/>
              <w:jc w:val="center"/>
              <w:rPr/>
            </w:pPr>
            <w:r>
              <w:rPr/>
              <w:t>Record</w:t>
            </w:r>
          </w:p>
        </w:tc>
      </w:tr>
      <w:tr>
        <w:trPr/>
        <w:tc>
          <w:tcPr>
            <w:tcW w:w="1167" w:type="dxa"/>
            <w:tcBorders/>
            <w:vAlign w:val="center"/>
          </w:tcPr>
          <w:p>
            <w:pPr>
              <w:pStyle w:val="TableContents"/>
              <w:bidi w:val="0"/>
              <w:spacing w:before="0" w:after="283"/>
              <w:jc w:val="left"/>
              <w:rPr/>
            </w:pPr>
            <w:r>
              <w:rPr/>
              <w:t>Identify</w:t>
            </w:r>
          </w:p>
        </w:tc>
        <w:tc>
          <w:tcPr>
            <w:tcW w:w="2244" w:type="dxa"/>
            <w:tcBorders/>
            <w:vAlign w:val="center"/>
          </w:tcPr>
          <w:p>
            <w:pPr>
              <w:pStyle w:val="TableContents"/>
              <w:bidi w:val="0"/>
              <w:spacing w:before="0" w:after="283"/>
              <w:jc w:val="left"/>
              <w:rPr/>
            </w:pPr>
            <w:r>
              <w:rPr/>
              <w:t>The change is classified A, B or C under §4.1 before work starts</w:t>
            </w:r>
          </w:p>
        </w:tc>
        <w:tc>
          <w:tcPr>
            <w:tcW w:w="1722" w:type="dxa"/>
            <w:tcBorders/>
            <w:vAlign w:val="center"/>
          </w:tcPr>
          <w:p>
            <w:pPr>
              <w:pStyle w:val="TableContents"/>
              <w:bidi w:val="0"/>
              <w:spacing w:before="0" w:after="283"/>
              <w:jc w:val="left"/>
              <w:rPr/>
            </w:pPr>
            <w:r>
              <w:rPr/>
              <w:t>Design plan or commit body</w:t>
            </w:r>
          </w:p>
        </w:tc>
      </w:tr>
      <w:tr>
        <w:trPr/>
        <w:tc>
          <w:tcPr>
            <w:tcW w:w="1167" w:type="dxa"/>
            <w:tcBorders/>
            <w:vAlign w:val="center"/>
          </w:tcPr>
          <w:p>
            <w:pPr>
              <w:pStyle w:val="TableContents"/>
              <w:bidi w:val="0"/>
              <w:spacing w:before="0" w:after="283"/>
              <w:jc w:val="left"/>
              <w:rPr/>
            </w:pPr>
            <w:r>
              <w:rPr/>
              <w:t>Review</w:t>
            </w:r>
          </w:p>
        </w:tc>
        <w:tc>
          <w:tcPr>
            <w:tcW w:w="2244" w:type="dxa"/>
            <w:tcBorders/>
            <w:vAlign w:val="center"/>
          </w:tcPr>
          <w:p>
            <w:pPr>
              <w:pStyle w:val="TableContents"/>
              <w:bidi w:val="0"/>
              <w:spacing w:before="0" w:after="283"/>
              <w:jc w:val="left"/>
              <w:rPr/>
            </w:pPr>
            <w:r>
              <w:rPr/>
              <w:t>Class B and C changes are reviewed under §6.3</w:t>
            </w:r>
          </w:p>
        </w:tc>
        <w:tc>
          <w:tcPr>
            <w:tcW w:w="1722" w:type="dxa"/>
            <w:tcBorders/>
            <w:vAlign w:val="center"/>
          </w:tcPr>
          <w:p>
            <w:pPr>
              <w:pStyle w:val="TableContents"/>
              <w:bidi w:val="0"/>
              <w:spacing w:before="0" w:after="283"/>
              <w:jc w:val="left"/>
              <w:rPr/>
            </w:pPr>
            <w:r>
              <w:rPr>
                <w:rStyle w:val="SourceText"/>
              </w:rPr>
              <w:t>forms/FRM-01_Design_Review_Record.md</w:t>
            </w:r>
          </w:p>
        </w:tc>
      </w:tr>
      <w:tr>
        <w:trPr/>
        <w:tc>
          <w:tcPr>
            <w:tcW w:w="1167" w:type="dxa"/>
            <w:tcBorders/>
            <w:vAlign w:val="center"/>
          </w:tcPr>
          <w:p>
            <w:pPr>
              <w:pStyle w:val="TableContents"/>
              <w:bidi w:val="0"/>
              <w:spacing w:before="0" w:after="283"/>
              <w:jc w:val="left"/>
              <w:rPr/>
            </w:pPr>
            <w:r>
              <w:rPr/>
              <w:t>Assess impact</w:t>
            </w:r>
          </w:p>
        </w:tc>
        <w:tc>
          <w:tcPr>
            <w:tcW w:w="2244" w:type="dxa"/>
            <w:tcBorders/>
            <w:vAlign w:val="center"/>
          </w:tcPr>
          <w:p>
            <w:pPr>
              <w:pStyle w:val="TableContents"/>
              <w:bidi w:val="0"/>
              <w:spacing w:before="0" w:after="283"/>
              <w:jc w:val="left"/>
              <w:rPr/>
            </w:pPr>
            <w:r>
              <w:rPr/>
              <w:t>What else depends on what is being changed, and what could regress</w:t>
            </w:r>
          </w:p>
        </w:tc>
        <w:tc>
          <w:tcPr>
            <w:tcW w:w="1722" w:type="dxa"/>
            <w:tcBorders/>
            <w:vAlign w:val="center"/>
          </w:tcPr>
          <w:p>
            <w:pPr>
              <w:pStyle w:val="TableContents"/>
              <w:bidi w:val="0"/>
              <w:spacing w:before="0" w:after="283"/>
              <w:jc w:val="left"/>
              <w:rPr/>
            </w:pPr>
            <w:r>
              <w:rPr/>
              <w:t>Commit body; for Class B, the design plan</w:t>
            </w:r>
          </w:p>
        </w:tc>
      </w:tr>
      <w:tr>
        <w:trPr/>
        <w:tc>
          <w:tcPr>
            <w:tcW w:w="1167" w:type="dxa"/>
            <w:tcBorders/>
            <w:vAlign w:val="center"/>
          </w:tcPr>
          <w:p>
            <w:pPr>
              <w:pStyle w:val="TableContents"/>
              <w:bidi w:val="0"/>
              <w:spacing w:before="0" w:after="283"/>
              <w:jc w:val="left"/>
              <w:rPr/>
            </w:pPr>
            <w:r>
              <w:rPr/>
              <w:t>Verify</w:t>
            </w:r>
          </w:p>
        </w:tc>
        <w:tc>
          <w:tcPr>
            <w:tcW w:w="2244" w:type="dxa"/>
            <w:tcBorders/>
            <w:vAlign w:val="center"/>
          </w:tcPr>
          <w:p>
            <w:pPr>
              <w:pStyle w:val="TableContents"/>
              <w:bidi w:val="0"/>
              <w:spacing w:before="0" w:after="283"/>
              <w:jc w:val="left"/>
              <w:rPr/>
            </w:pPr>
            <w:r>
              <w:rPr/>
              <w:t>§6.1 applies. For anything touching retrieval, generation or the conversational path, the golden-question suite is run and the result recorded</w:t>
            </w:r>
          </w:p>
        </w:tc>
        <w:tc>
          <w:tcPr>
            <w:tcW w:w="1722" w:type="dxa"/>
            <w:tcBorders/>
            <w:vAlign w:val="center"/>
          </w:tcPr>
          <w:p>
            <w:pPr>
              <w:pStyle w:val="TableContents"/>
              <w:bidi w:val="0"/>
              <w:spacing w:before="0" w:after="283"/>
              <w:jc w:val="left"/>
              <w:rPr/>
            </w:pPr>
            <w:r>
              <w:rPr>
                <w:rStyle w:val="SourceText"/>
              </w:rPr>
              <w:t>eval/reports/</w:t>
            </w:r>
            <w:r>
              <w:rPr/>
              <w:t>, commit body</w:t>
            </w:r>
          </w:p>
        </w:tc>
      </w:tr>
      <w:tr>
        <w:trPr/>
        <w:tc>
          <w:tcPr>
            <w:tcW w:w="1167" w:type="dxa"/>
            <w:tcBorders/>
            <w:vAlign w:val="center"/>
          </w:tcPr>
          <w:p>
            <w:pPr>
              <w:pStyle w:val="TableContents"/>
              <w:bidi w:val="0"/>
              <w:spacing w:before="0" w:after="283"/>
              <w:jc w:val="left"/>
              <w:rPr/>
            </w:pPr>
            <w:r>
              <w:rPr/>
              <w:t>Authorise</w:t>
            </w:r>
          </w:p>
        </w:tc>
        <w:tc>
          <w:tcPr>
            <w:tcW w:w="2244" w:type="dxa"/>
            <w:tcBorders/>
            <w:vAlign w:val="center"/>
          </w:tcPr>
          <w:p>
            <w:pPr>
              <w:pStyle w:val="TableContents"/>
              <w:bidi w:val="0"/>
              <w:spacing w:before="0" w:after="283"/>
              <w:jc w:val="left"/>
              <w:rPr/>
            </w:pPr>
            <w:r>
              <w:rPr/>
              <w:t>Class B and C changes are authorised by the Managing Director before release</w:t>
            </w:r>
          </w:p>
        </w:tc>
        <w:tc>
          <w:tcPr>
            <w:tcW w:w="1722" w:type="dxa"/>
            <w:tcBorders/>
            <w:vAlign w:val="center"/>
          </w:tcPr>
          <w:p>
            <w:pPr>
              <w:pStyle w:val="TableContents"/>
              <w:bidi w:val="0"/>
              <w:spacing w:before="0" w:after="283"/>
              <w:jc w:val="left"/>
              <w:rPr/>
            </w:pPr>
            <w:r>
              <w:rPr>
                <w:rStyle w:val="SourceText"/>
              </w:rPr>
              <w:t>registers/REG-08_Release_and_Deployment_Register.md</w:t>
            </w:r>
          </w:p>
        </w:tc>
      </w:tr>
      <w:tr>
        <w:trPr/>
        <w:tc>
          <w:tcPr>
            <w:tcW w:w="1167" w:type="dxa"/>
            <w:tcBorders/>
            <w:vAlign w:val="center"/>
          </w:tcPr>
          <w:p>
            <w:pPr>
              <w:pStyle w:val="TableContents"/>
              <w:bidi w:val="0"/>
              <w:spacing w:before="0" w:after="283"/>
              <w:jc w:val="left"/>
              <w:rPr/>
            </w:pPr>
            <w:r>
              <w:rPr/>
              <w:t>Record the actions taken to prevent adverse impact</w:t>
            </w:r>
          </w:p>
        </w:tc>
        <w:tc>
          <w:tcPr>
            <w:tcW w:w="2244" w:type="dxa"/>
            <w:tcBorders/>
            <w:vAlign w:val="center"/>
          </w:tcPr>
          <w:p>
            <w:pPr>
              <w:pStyle w:val="TableContents"/>
              <w:bidi w:val="0"/>
              <w:spacing w:before="0" w:after="283"/>
              <w:jc w:val="left"/>
              <w:rPr/>
            </w:pPr>
            <w:r>
              <w:rPr/>
              <w:t>Stated in the commit body</w:t>
            </w:r>
          </w:p>
        </w:tc>
        <w:tc>
          <w:tcPr>
            <w:tcW w:w="1722" w:type="dxa"/>
            <w:tcBorders/>
            <w:vAlign w:val="center"/>
          </w:tcPr>
          <w:p>
            <w:pPr>
              <w:pStyle w:val="TableContents"/>
              <w:bidi w:val="0"/>
              <w:spacing w:before="0" w:after="283"/>
              <w:jc w:val="left"/>
              <w:rPr/>
            </w:pPr>
            <w:r>
              <w:rPr/>
              <w:t>Git history (</w:t>
            </w:r>
            <w:r>
              <w:rPr>
                <w:rStyle w:val="SourceText"/>
              </w:rPr>
              <w:t>SOP-01</w:t>
            </w:r>
            <w:r>
              <w:rPr/>
              <w:t xml:space="preserve"> §3)</w:t>
            </w:r>
          </w:p>
        </w:tc>
      </w:tr>
    </w:tbl>
    <w:p>
      <w:pPr>
        <w:pStyle w:val="BodyText"/>
        <w:bidi w:val="0"/>
        <w:jc w:val="left"/>
        <w:rPr/>
      </w:pPr>
      <w:r>
        <w:rPr>
          <w:rStyle w:val="Strong"/>
        </w:rPr>
        <w:t>Where the change originates with the customer</w:t>
      </w:r>
      <w:r>
        <w:rPr/>
        <w:t xml:space="preserve">, </w:t>
      </w:r>
      <w:r>
        <w:rPr>
          <w:rStyle w:val="SourceText"/>
        </w:rPr>
        <w:t>SOP-04</w:t>
      </w:r>
      <w:r>
        <w:rPr/>
        <w:t xml:space="preserve"> §6 applies first; this section applies to the technical change that follows.</w:t>
      </w:r>
    </w:p>
    <w:p>
      <w:pPr>
        <w:pStyle w:val="BodyText"/>
        <w:bidi w:val="0"/>
        <w:jc w:val="left"/>
        <w:rPr/>
      </w:pPr>
      <w:r>
        <w:rPr>
          <w:rStyle w:val="Strong"/>
        </w:rPr>
        <w:t>Rollback.</w:t>
      </w:r>
      <w:r>
        <w:rPr/>
        <w:t xml:space="preserve"> Where a change carries a credible risk of regression, the rollback path is stated before the change is made. The existing practice is to state it inline — </w:t>
      </w:r>
      <w:r>
        <w:rPr>
          <w:rStyle w:val="SourceText"/>
        </w:rPr>
        <w:t>docker-compose.yml:10-11</w:t>
      </w:r>
      <w:r>
        <w:rPr/>
        <w:t xml:space="preserve"> and </w:t>
      </w:r>
      <w:r>
        <w:rPr>
          <w:rStyle w:val="SourceText"/>
        </w:rPr>
        <w:t>:72</w:t>
      </w:r>
      <w:r>
        <w:rPr/>
        <w:t xml:space="preserve"> both record the exact rollback to apply if the change regresses. This practice is adopted as a requirement for Class B changes.</w:t>
      </w:r>
    </w:p>
    <w:p>
      <w:pPr>
        <w:pStyle w:val="Heading2"/>
        <w:bidi w:val="0"/>
        <w:jc w:val="left"/>
        <w:rPr/>
      </w:pPr>
      <w:r>
        <w:rPr/>
        <w:t>10. Records</w:t>
      </w:r>
    </w:p>
    <w:tbl>
      <w:tblPr>
        <w:tblW w:w="5133" w:type="dxa"/>
        <w:jc w:val="left"/>
        <w:tblInd w:w="0" w:type="dxa"/>
        <w:tblLayout w:type="fixed"/>
        <w:tblCellMar>
          <w:top w:w="28" w:type="dxa"/>
          <w:left w:w="28" w:type="dxa"/>
          <w:bottom w:w="28" w:type="dxa"/>
          <w:right w:w="28" w:type="dxa"/>
        </w:tblCellMar>
      </w:tblPr>
      <w:tblGrid>
        <w:gridCol w:w="1804"/>
        <w:gridCol w:w="1932"/>
        <w:gridCol w:w="1397"/>
      </w:tblGrid>
      <w:tr>
        <w:trPr>
          <w:tblHeader w:val="true"/>
        </w:trPr>
        <w:tc>
          <w:tcPr>
            <w:tcW w:w="1804" w:type="dxa"/>
            <w:tcBorders/>
            <w:vAlign w:val="center"/>
          </w:tcPr>
          <w:p>
            <w:pPr>
              <w:pStyle w:val="TableHeading"/>
              <w:suppressLineNumbers/>
              <w:shd w:fill="1F3A5F" w:val="clear"/>
              <w:bidi w:val="0"/>
              <w:spacing w:before="0" w:after="283"/>
              <w:jc w:val="center"/>
              <w:rPr/>
            </w:pPr>
            <w:r>
              <w:rPr/>
              <w:t>Record</w:t>
            </w:r>
          </w:p>
        </w:tc>
        <w:tc>
          <w:tcPr>
            <w:tcW w:w="1932" w:type="dxa"/>
            <w:tcBorders/>
            <w:vAlign w:val="center"/>
          </w:tcPr>
          <w:p>
            <w:pPr>
              <w:pStyle w:val="TableHeading"/>
              <w:suppressLineNumbers/>
              <w:shd w:fill="1F3A5F" w:val="clear"/>
              <w:bidi w:val="0"/>
              <w:spacing w:before="0" w:after="283"/>
              <w:jc w:val="center"/>
              <w:rPr/>
            </w:pPr>
            <w:r>
              <w:rPr/>
              <w:t>Location</w:t>
            </w:r>
          </w:p>
        </w:tc>
        <w:tc>
          <w:tcPr>
            <w:tcW w:w="1397" w:type="dxa"/>
            <w:tcBorders/>
            <w:vAlign w:val="center"/>
          </w:tcPr>
          <w:p>
            <w:pPr>
              <w:pStyle w:val="TableHeading"/>
              <w:suppressLineNumbers/>
              <w:shd w:fill="1F3A5F" w:val="clear"/>
              <w:bidi w:val="0"/>
              <w:spacing w:before="0" w:after="283"/>
              <w:jc w:val="center"/>
              <w:rPr/>
            </w:pPr>
            <w:r>
              <w:rPr/>
              <w:t>Retention</w:t>
            </w:r>
          </w:p>
        </w:tc>
      </w:tr>
      <w:tr>
        <w:trPr/>
        <w:tc>
          <w:tcPr>
            <w:tcW w:w="1804" w:type="dxa"/>
            <w:tcBorders/>
            <w:vAlign w:val="center"/>
          </w:tcPr>
          <w:p>
            <w:pPr>
              <w:pStyle w:val="TableContents"/>
              <w:bidi w:val="0"/>
              <w:spacing w:before="0" w:after="283"/>
              <w:jc w:val="left"/>
              <w:rPr/>
            </w:pPr>
            <w:r>
              <w:rPr/>
              <w:t>Design plan, per Class B or C item</w:t>
            </w:r>
          </w:p>
        </w:tc>
        <w:tc>
          <w:tcPr>
            <w:tcW w:w="1932" w:type="dxa"/>
            <w:tcBorders/>
            <w:vAlign w:val="center"/>
          </w:tcPr>
          <w:p>
            <w:pPr>
              <w:pStyle w:val="TableContents"/>
              <w:bidi w:val="0"/>
              <w:spacing w:before="0" w:after="283"/>
              <w:jc w:val="left"/>
              <w:rPr/>
            </w:pPr>
            <w:r>
              <w:rPr>
                <w:rStyle w:val="SourceText"/>
              </w:rPr>
              <w:t>registers/REG-07_Design_and_Change_Register.md</w:t>
            </w:r>
          </w:p>
        </w:tc>
        <w:tc>
          <w:tcPr>
            <w:tcW w:w="1397" w:type="dxa"/>
            <w:tcBorders/>
            <w:vAlign w:val="center"/>
          </w:tcPr>
          <w:p>
            <w:pPr>
              <w:pStyle w:val="TableContents"/>
              <w:bidi w:val="0"/>
              <w:spacing w:before="0" w:after="283"/>
              <w:jc w:val="left"/>
              <w:rPr/>
            </w:pPr>
            <w:r>
              <w:rPr/>
              <w:t>Life of the product release + 3 years (SOP-01 §8)</w:t>
            </w:r>
          </w:p>
        </w:tc>
      </w:tr>
      <w:tr>
        <w:trPr/>
        <w:tc>
          <w:tcPr>
            <w:tcW w:w="1804" w:type="dxa"/>
            <w:tcBorders/>
            <w:vAlign w:val="center"/>
          </w:tcPr>
          <w:p>
            <w:pPr>
              <w:pStyle w:val="TableContents"/>
              <w:bidi w:val="0"/>
              <w:spacing w:before="0" w:after="283"/>
              <w:jc w:val="left"/>
              <w:rPr/>
            </w:pPr>
            <w:r>
              <w:rPr/>
              <w:t>Design review record</w:t>
            </w:r>
          </w:p>
        </w:tc>
        <w:tc>
          <w:tcPr>
            <w:tcW w:w="1932" w:type="dxa"/>
            <w:tcBorders/>
            <w:vAlign w:val="center"/>
          </w:tcPr>
          <w:p>
            <w:pPr>
              <w:pStyle w:val="TableContents"/>
              <w:bidi w:val="0"/>
              <w:spacing w:before="0" w:after="283"/>
              <w:jc w:val="left"/>
              <w:rPr/>
            </w:pPr>
            <w:r>
              <w:rPr>
                <w:rStyle w:val="SourceText"/>
              </w:rPr>
              <w:t>forms/FRM-01_Design_Review_Record.md</w:t>
            </w:r>
            <w:r>
              <w:rPr/>
              <w:t>, filed in REG-07</w:t>
            </w:r>
          </w:p>
        </w:tc>
        <w:tc>
          <w:tcPr>
            <w:tcW w:w="1397" w:type="dxa"/>
            <w:tcBorders/>
            <w:vAlign w:val="center"/>
          </w:tcPr>
          <w:p>
            <w:pPr>
              <w:pStyle w:val="TableContents"/>
              <w:bidi w:val="0"/>
              <w:spacing w:before="0" w:after="283"/>
              <w:jc w:val="left"/>
              <w:rPr/>
            </w:pPr>
            <w:r>
              <w:rPr/>
              <w:t>As above</w:t>
            </w:r>
          </w:p>
        </w:tc>
      </w:tr>
      <w:tr>
        <w:trPr/>
        <w:tc>
          <w:tcPr>
            <w:tcW w:w="1804" w:type="dxa"/>
            <w:tcBorders/>
            <w:vAlign w:val="center"/>
          </w:tcPr>
          <w:p>
            <w:pPr>
              <w:pStyle w:val="TableContents"/>
              <w:bidi w:val="0"/>
              <w:spacing w:before="0" w:after="283"/>
              <w:jc w:val="left"/>
              <w:rPr/>
            </w:pPr>
            <w:r>
              <w:rPr/>
              <w:t>Design inputs, as stated before build</w:t>
            </w:r>
          </w:p>
        </w:tc>
        <w:tc>
          <w:tcPr>
            <w:tcW w:w="1932" w:type="dxa"/>
            <w:tcBorders/>
            <w:vAlign w:val="center"/>
          </w:tcPr>
          <w:p>
            <w:pPr>
              <w:pStyle w:val="TableContents"/>
              <w:bidi w:val="0"/>
              <w:spacing w:before="0" w:after="283"/>
              <w:jc w:val="left"/>
              <w:rPr/>
            </w:pPr>
            <w:r>
              <w:rPr/>
              <w:t>Design plan; for Class A, the commit body</w:t>
            </w:r>
          </w:p>
        </w:tc>
        <w:tc>
          <w:tcPr>
            <w:tcW w:w="1397" w:type="dxa"/>
            <w:tcBorders/>
            <w:vAlign w:val="center"/>
          </w:tcPr>
          <w:p>
            <w:pPr>
              <w:pStyle w:val="TableContents"/>
              <w:bidi w:val="0"/>
              <w:spacing w:before="0" w:after="283"/>
              <w:jc w:val="left"/>
              <w:rPr/>
            </w:pPr>
            <w:r>
              <w:rPr/>
              <w:t>As above</w:t>
            </w:r>
          </w:p>
        </w:tc>
      </w:tr>
      <w:tr>
        <w:trPr/>
        <w:tc>
          <w:tcPr>
            <w:tcW w:w="1804" w:type="dxa"/>
            <w:tcBorders/>
            <w:vAlign w:val="center"/>
          </w:tcPr>
          <w:p>
            <w:pPr>
              <w:pStyle w:val="TableContents"/>
              <w:bidi w:val="0"/>
              <w:spacing w:before="0" w:after="283"/>
              <w:jc w:val="left"/>
              <w:rPr/>
            </w:pPr>
            <w:r>
              <w:rPr/>
              <w:t>Verification results — unit tests</w:t>
            </w:r>
          </w:p>
        </w:tc>
        <w:tc>
          <w:tcPr>
            <w:tcW w:w="1932" w:type="dxa"/>
            <w:tcBorders/>
            <w:vAlign w:val="center"/>
          </w:tcPr>
          <w:p>
            <w:pPr>
              <w:pStyle w:val="TableContents"/>
              <w:bidi w:val="0"/>
              <w:spacing w:before="0" w:after="283"/>
              <w:jc w:val="left"/>
              <w:rPr/>
            </w:pPr>
            <w:r>
              <w:rPr/>
              <w:t>Run output; failures resolved before commit</w:t>
            </w:r>
          </w:p>
        </w:tc>
        <w:tc>
          <w:tcPr>
            <w:tcW w:w="1397" w:type="dxa"/>
            <w:tcBorders/>
            <w:vAlign w:val="center"/>
          </w:tcPr>
          <w:p>
            <w:pPr>
              <w:pStyle w:val="TableContents"/>
              <w:bidi w:val="0"/>
              <w:spacing w:before="0" w:after="283"/>
              <w:jc w:val="left"/>
              <w:rPr/>
            </w:pPr>
            <w:r>
              <w:rPr/>
              <w:t>Not currently retained (see §11)</w:t>
            </w:r>
          </w:p>
        </w:tc>
      </w:tr>
      <w:tr>
        <w:trPr/>
        <w:tc>
          <w:tcPr>
            <w:tcW w:w="1804" w:type="dxa"/>
            <w:tcBorders/>
            <w:vAlign w:val="center"/>
          </w:tcPr>
          <w:p>
            <w:pPr>
              <w:pStyle w:val="TableContents"/>
              <w:bidi w:val="0"/>
              <w:spacing w:before="0" w:after="283"/>
              <w:jc w:val="left"/>
              <w:rPr/>
            </w:pPr>
            <w:r>
              <w:rPr/>
              <w:t>Verification results — golden-question suite</w:t>
            </w:r>
          </w:p>
        </w:tc>
        <w:tc>
          <w:tcPr>
            <w:tcW w:w="1932" w:type="dxa"/>
            <w:tcBorders/>
            <w:vAlign w:val="center"/>
          </w:tcPr>
          <w:p>
            <w:pPr>
              <w:pStyle w:val="TableContents"/>
              <w:bidi w:val="0"/>
              <w:spacing w:before="0" w:after="283"/>
              <w:jc w:val="left"/>
              <w:rPr/>
            </w:pPr>
            <w:r>
              <w:rPr>
                <w:rStyle w:val="SourceText"/>
              </w:rPr>
              <w:t>eval/reports/eval_&lt;run_id&gt;.json</w:t>
            </w:r>
            <w:r>
              <w:rPr/>
              <w:t xml:space="preserve">, written by </w:t>
            </w:r>
            <w:r>
              <w:rPr>
                <w:rStyle w:val="SourceText"/>
              </w:rPr>
              <w:t>eval/run_eval.py</w:t>
            </w:r>
          </w:p>
        </w:tc>
        <w:tc>
          <w:tcPr>
            <w:tcW w:w="1397" w:type="dxa"/>
            <w:tcBorders/>
            <w:vAlign w:val="center"/>
          </w:tcPr>
          <w:p>
            <w:pPr>
              <w:pStyle w:val="TableContents"/>
              <w:bidi w:val="0"/>
              <w:spacing w:before="0" w:after="283"/>
              <w:jc w:val="left"/>
              <w:rPr/>
            </w:pPr>
            <w:r>
              <w:rPr/>
              <w:t>Life of the release + 3 years</w:t>
            </w:r>
          </w:p>
        </w:tc>
      </w:tr>
      <w:tr>
        <w:trPr/>
        <w:tc>
          <w:tcPr>
            <w:tcW w:w="1804" w:type="dxa"/>
            <w:tcBorders/>
            <w:vAlign w:val="center"/>
          </w:tcPr>
          <w:p>
            <w:pPr>
              <w:pStyle w:val="TableContents"/>
              <w:bidi w:val="0"/>
              <w:spacing w:before="0" w:after="283"/>
              <w:jc w:val="left"/>
              <w:rPr/>
            </w:pPr>
            <w:r>
              <w:rPr/>
              <w:t>Validation results — paper harness</w:t>
            </w:r>
          </w:p>
        </w:tc>
        <w:tc>
          <w:tcPr>
            <w:tcW w:w="1932" w:type="dxa"/>
            <w:tcBorders/>
            <w:vAlign w:val="center"/>
          </w:tcPr>
          <w:p>
            <w:pPr>
              <w:pStyle w:val="TableContents"/>
              <w:bidi w:val="0"/>
              <w:spacing w:before="0" w:after="283"/>
              <w:jc w:val="left"/>
              <w:rPr/>
            </w:pPr>
            <w:r>
              <w:rPr>
                <w:rStyle w:val="SourceText"/>
              </w:rPr>
              <w:t>eval/paper/results/</w:t>
            </w:r>
            <w:r>
              <w:rPr/>
              <w:t xml:space="preserve">, including </w:t>
            </w:r>
            <w:r>
              <w:rPr>
                <w:rStyle w:val="SourceText"/>
              </w:rPr>
              <w:t>SUMMARY.json</w:t>
            </w:r>
            <w:r>
              <w:rPr/>
              <w:t xml:space="preserve"> and </w:t>
            </w:r>
            <w:r>
              <w:rPr>
                <w:rStyle w:val="SourceText"/>
              </w:rPr>
              <w:t>REGRESSION_AND_FIXES.json</w:t>
            </w:r>
          </w:p>
        </w:tc>
        <w:tc>
          <w:tcPr>
            <w:tcW w:w="1397" w:type="dxa"/>
            <w:tcBorders/>
            <w:vAlign w:val="center"/>
          </w:tcPr>
          <w:p>
            <w:pPr>
              <w:pStyle w:val="TableContents"/>
              <w:bidi w:val="0"/>
              <w:spacing w:before="0" w:after="283"/>
              <w:jc w:val="left"/>
              <w:rPr/>
            </w:pPr>
            <w:r>
              <w:rPr/>
              <w:t>As above</w:t>
            </w:r>
          </w:p>
        </w:tc>
      </w:tr>
      <w:tr>
        <w:trPr/>
        <w:tc>
          <w:tcPr>
            <w:tcW w:w="1804" w:type="dxa"/>
            <w:tcBorders/>
            <w:vAlign w:val="center"/>
          </w:tcPr>
          <w:p>
            <w:pPr>
              <w:pStyle w:val="TableContents"/>
              <w:bidi w:val="0"/>
              <w:spacing w:before="0" w:after="283"/>
              <w:jc w:val="left"/>
              <w:rPr/>
            </w:pPr>
            <w:r>
              <w:rPr/>
              <w:t>Rationale and verification for each change</w:t>
            </w:r>
          </w:p>
        </w:tc>
        <w:tc>
          <w:tcPr>
            <w:tcW w:w="1932" w:type="dxa"/>
            <w:tcBorders/>
            <w:vAlign w:val="center"/>
          </w:tcPr>
          <w:p>
            <w:pPr>
              <w:pStyle w:val="TableContents"/>
              <w:bidi w:val="0"/>
              <w:spacing w:before="0" w:after="283"/>
              <w:jc w:val="left"/>
              <w:rPr/>
            </w:pPr>
            <w:r>
              <w:rPr/>
              <w:t>Git commit body (</w:t>
            </w:r>
            <w:r>
              <w:rPr>
                <w:rStyle w:val="SourceText"/>
              </w:rPr>
              <w:t>git log</w:t>
            </w:r>
            <w:r>
              <w:rPr/>
              <w:t xml:space="preserve">) — the change record under </w:t>
            </w:r>
            <w:r>
              <w:rPr>
                <w:rStyle w:val="SourceText"/>
              </w:rPr>
              <w:t>SOP-01</w:t>
            </w:r>
            <w:r>
              <w:rPr/>
              <w:t xml:space="preserve"> §3</w:t>
            </w:r>
          </w:p>
        </w:tc>
        <w:tc>
          <w:tcPr>
            <w:tcW w:w="1397" w:type="dxa"/>
            <w:tcBorders/>
            <w:vAlign w:val="center"/>
          </w:tcPr>
          <w:p>
            <w:pPr>
              <w:pStyle w:val="TableContents"/>
              <w:bidi w:val="0"/>
              <w:spacing w:before="0" w:after="283"/>
              <w:jc w:val="left"/>
              <w:rPr/>
            </w:pPr>
            <w:r>
              <w:rPr/>
              <w:t>Per SOP-01 §8</w:t>
            </w:r>
          </w:p>
        </w:tc>
      </w:tr>
      <w:tr>
        <w:trPr/>
        <w:tc>
          <w:tcPr>
            <w:tcW w:w="1804" w:type="dxa"/>
            <w:tcBorders/>
            <w:vAlign w:val="center"/>
          </w:tcPr>
          <w:p>
            <w:pPr>
              <w:pStyle w:val="TableContents"/>
              <w:bidi w:val="0"/>
              <w:spacing w:before="0" w:after="283"/>
              <w:jc w:val="left"/>
              <w:rPr/>
            </w:pPr>
            <w:r>
              <w:rPr/>
              <w:t>Design outputs</w:t>
            </w:r>
          </w:p>
        </w:tc>
        <w:tc>
          <w:tcPr>
            <w:tcW w:w="1932" w:type="dxa"/>
            <w:tcBorders/>
            <w:vAlign w:val="center"/>
          </w:tcPr>
          <w:p>
            <w:pPr>
              <w:pStyle w:val="TableContents"/>
              <w:bidi w:val="0"/>
              <w:spacing w:before="0" w:after="283"/>
              <w:jc w:val="left"/>
              <w:rPr/>
            </w:pPr>
            <w:r>
              <w:rPr/>
              <w:t>The repository itself, at the tagged or recorded commit</w:t>
            </w:r>
          </w:p>
        </w:tc>
        <w:tc>
          <w:tcPr>
            <w:tcW w:w="1397" w:type="dxa"/>
            <w:tcBorders/>
            <w:vAlign w:val="center"/>
          </w:tcPr>
          <w:p>
            <w:pPr>
              <w:pStyle w:val="TableContents"/>
              <w:bidi w:val="0"/>
              <w:spacing w:before="0" w:after="283"/>
              <w:jc w:val="left"/>
              <w:rPr/>
            </w:pPr>
            <w:r>
              <w:rPr/>
              <w:t>Per SOP-01 §8</w:t>
            </w:r>
          </w:p>
        </w:tc>
      </w:tr>
      <w:tr>
        <w:trPr/>
        <w:tc>
          <w:tcPr>
            <w:tcW w:w="1804" w:type="dxa"/>
            <w:tcBorders/>
            <w:vAlign w:val="center"/>
          </w:tcPr>
          <w:p>
            <w:pPr>
              <w:pStyle w:val="TableContents"/>
              <w:bidi w:val="0"/>
              <w:spacing w:before="0" w:after="283"/>
              <w:jc w:val="left"/>
              <w:rPr/>
            </w:pPr>
            <w:r>
              <w:rPr/>
              <w:t>Release approval</w:t>
            </w:r>
          </w:p>
        </w:tc>
        <w:tc>
          <w:tcPr>
            <w:tcW w:w="1932" w:type="dxa"/>
            <w:tcBorders/>
            <w:vAlign w:val="center"/>
          </w:tcPr>
          <w:p>
            <w:pPr>
              <w:pStyle w:val="TableContents"/>
              <w:bidi w:val="0"/>
              <w:spacing w:before="0" w:after="283"/>
              <w:jc w:val="left"/>
              <w:rPr/>
            </w:pPr>
            <w:r>
              <w:rPr>
                <w:rStyle w:val="SourceText"/>
              </w:rPr>
              <w:t>registers/REG-08_Release_and_Deployment_Register.md</w:t>
            </w:r>
          </w:p>
        </w:tc>
        <w:tc>
          <w:tcPr>
            <w:tcW w:w="1397" w:type="dxa"/>
            <w:tcBorders/>
            <w:vAlign w:val="center"/>
          </w:tcPr>
          <w:p>
            <w:pPr>
              <w:pStyle w:val="TableContents"/>
              <w:bidi w:val="0"/>
              <w:spacing w:before="0" w:after="283"/>
              <w:jc w:val="left"/>
              <w:rPr/>
            </w:pPr>
            <w:r>
              <w:rPr/>
              <w:t>Life of the release + 3 years</w:t>
            </w:r>
          </w:p>
        </w:tc>
      </w:tr>
      <w:tr>
        <w:trPr/>
        <w:tc>
          <w:tcPr>
            <w:tcW w:w="1804" w:type="dxa"/>
            <w:tcBorders/>
            <w:vAlign w:val="center"/>
          </w:tcPr>
          <w:p>
            <w:pPr>
              <w:pStyle w:val="TableContents"/>
              <w:bidi w:val="0"/>
              <w:spacing w:before="0" w:after="283"/>
              <w:jc w:val="left"/>
              <w:rPr/>
            </w:pPr>
            <w:r>
              <w:rPr/>
              <w:t>Customer acceptance against agreed criteria</w:t>
            </w:r>
          </w:p>
        </w:tc>
        <w:tc>
          <w:tcPr>
            <w:tcW w:w="1932" w:type="dxa"/>
            <w:tcBorders/>
            <w:vAlign w:val="center"/>
          </w:tcPr>
          <w:p>
            <w:pPr>
              <w:pStyle w:val="TableContents"/>
              <w:bidi w:val="0"/>
              <w:spacing w:before="0" w:after="283"/>
              <w:jc w:val="left"/>
              <w:rPr/>
            </w:pPr>
            <w:r>
              <w:rPr/>
              <w:t xml:space="preserve">Filed under </w:t>
            </w:r>
            <w:r>
              <w:rPr>
                <w:rStyle w:val="SourceText"/>
              </w:rPr>
              <w:t>SOP-04</w:t>
            </w:r>
            <w:r>
              <w:rPr/>
              <w:t xml:space="preserve"> §10</w:t>
            </w:r>
          </w:p>
        </w:tc>
        <w:tc>
          <w:tcPr>
            <w:tcW w:w="1397" w:type="dxa"/>
            <w:tcBorders/>
            <w:vAlign w:val="center"/>
          </w:tcPr>
          <w:p>
            <w:pPr>
              <w:pStyle w:val="TableContents"/>
              <w:bidi w:val="0"/>
              <w:spacing w:before="0" w:after="283"/>
              <w:jc w:val="left"/>
              <w:rPr/>
            </w:pPr>
            <w:r>
              <w:rPr/>
              <w:t>3 years after the engagement ends</w:t>
            </w:r>
          </w:p>
        </w:tc>
      </w:tr>
    </w:tbl>
    <w:p>
      <w:pPr>
        <w:pStyle w:val="Heading2"/>
        <w:bidi w:val="0"/>
        <w:jc w:val="left"/>
        <w:rPr/>
      </w:pPr>
      <w:r>
        <w:rPr/>
        <w:t>11. Current state and gaps</w:t>
      </w:r>
    </w:p>
    <w:p>
      <w:pPr>
        <w:pStyle w:val="BodyText"/>
        <w:bidi w:val="0"/>
        <w:jc w:val="left"/>
        <w:rPr/>
      </w:pPr>
      <w:r>
        <w:rPr/>
        <w:t xml:space="preserve">Design control at Ajace AI is </w:t>
      </w:r>
      <w:r>
        <w:rPr>
          <w:rStyle w:val="Strong"/>
        </w:rPr>
        <w:t>partially evidenced and materially incomplete</w:t>
      </w:r>
      <w:r>
        <w:rPr/>
        <w:t>. The evidence that does exist is genuine and unusually strong for an organisation of this size; the gaps are structural and none of them is closed by this procedure alone.</w:t>
      </w:r>
    </w:p>
    <w:p>
      <w:pPr>
        <w:pStyle w:val="Heading3"/>
        <w:bidi w:val="0"/>
        <w:jc w:val="left"/>
        <w:rPr/>
      </w:pPr>
      <w:r>
        <w:rPr/>
        <w:t>11.1 What is genuinely in place</w:t>
      </w:r>
    </w:p>
    <w:tbl>
      <w:tblPr>
        <w:tblW w:w="5133" w:type="dxa"/>
        <w:jc w:val="left"/>
        <w:tblInd w:w="0" w:type="dxa"/>
        <w:tblLayout w:type="fixed"/>
        <w:tblCellMar>
          <w:top w:w="28" w:type="dxa"/>
          <w:left w:w="28" w:type="dxa"/>
          <w:bottom w:w="28" w:type="dxa"/>
          <w:right w:w="28" w:type="dxa"/>
        </w:tblCellMar>
      </w:tblPr>
      <w:tblGrid>
        <w:gridCol w:w="1807"/>
        <w:gridCol w:w="3326"/>
      </w:tblGrid>
      <w:tr>
        <w:trPr>
          <w:tblHeader w:val="true"/>
        </w:trPr>
        <w:tc>
          <w:tcPr>
            <w:tcW w:w="1807" w:type="dxa"/>
            <w:tcBorders/>
            <w:vAlign w:val="center"/>
          </w:tcPr>
          <w:p>
            <w:pPr>
              <w:pStyle w:val="TableHeading"/>
              <w:suppressLineNumbers/>
              <w:shd w:fill="1F3A5F" w:val="clear"/>
              <w:bidi w:val="0"/>
              <w:spacing w:before="0" w:after="283"/>
              <w:jc w:val="center"/>
              <w:rPr/>
            </w:pPr>
            <w:r>
              <w:rPr/>
              <w:t>Control</w:t>
            </w:r>
          </w:p>
        </w:tc>
        <w:tc>
          <w:tcPr>
            <w:tcW w:w="3326" w:type="dxa"/>
            <w:tcBorders/>
            <w:vAlign w:val="center"/>
          </w:tcPr>
          <w:p>
            <w:pPr>
              <w:pStyle w:val="TableHeading"/>
              <w:suppressLineNumbers/>
              <w:shd w:fill="1F3A5F" w:val="clear"/>
              <w:bidi w:val="0"/>
              <w:spacing w:before="0" w:after="283"/>
              <w:jc w:val="center"/>
              <w:rPr/>
            </w:pPr>
            <w:r>
              <w:rPr/>
              <w:t>Evidence</w:t>
            </w:r>
          </w:p>
        </w:tc>
      </w:tr>
      <w:tr>
        <w:trPr/>
        <w:tc>
          <w:tcPr>
            <w:tcW w:w="1807" w:type="dxa"/>
            <w:tcBorders/>
            <w:vAlign w:val="center"/>
          </w:tcPr>
          <w:p>
            <w:pPr>
              <w:pStyle w:val="TableContents"/>
              <w:bidi w:val="0"/>
              <w:spacing w:before="0" w:after="283"/>
              <w:jc w:val="left"/>
              <w:rPr/>
            </w:pPr>
            <w:r>
              <w:rPr/>
              <w:t>Documented architecture</w:t>
            </w:r>
          </w:p>
        </w:tc>
        <w:tc>
          <w:tcPr>
            <w:tcW w:w="3326" w:type="dxa"/>
            <w:tcBorders/>
            <w:vAlign w:val="center"/>
          </w:tcPr>
          <w:p>
            <w:pPr>
              <w:pStyle w:val="TableContents"/>
              <w:bidi w:val="0"/>
              <w:spacing w:before="0" w:after="283"/>
              <w:jc w:val="left"/>
              <w:rPr/>
            </w:pPr>
            <w:r>
              <w:rPr/>
              <w:t xml:space="preserve">Nine design documents in </w:t>
            </w:r>
            <w:r>
              <w:rPr>
                <w:rStyle w:val="SourceText"/>
              </w:rPr>
              <w:t>docs/</w:t>
            </w:r>
            <w:r>
              <w:rPr/>
              <w:t xml:space="preserve"> plus </w:t>
            </w:r>
            <w:r>
              <w:rPr>
                <w:rStyle w:val="SourceText"/>
              </w:rPr>
              <w:t>backend/app/transcribe/PROTOCOL.md</w:t>
            </w:r>
            <w:r>
              <w:rPr/>
              <w:t>, totalling roughly 2,900 lines, covering retrieval, chunking, chat flow, sessions, wake word, transcript storage and a self-audit</w:t>
            </w:r>
          </w:p>
        </w:tc>
      </w:tr>
      <w:tr>
        <w:trPr/>
        <w:tc>
          <w:tcPr>
            <w:tcW w:w="1807" w:type="dxa"/>
            <w:tcBorders/>
            <w:vAlign w:val="center"/>
          </w:tcPr>
          <w:p>
            <w:pPr>
              <w:pStyle w:val="TableContents"/>
              <w:bidi w:val="0"/>
              <w:spacing w:before="0" w:after="283"/>
              <w:jc w:val="left"/>
              <w:rPr/>
            </w:pPr>
            <w:r>
              <w:rPr/>
              <w:t>Design rationale and verification recorded per change</w:t>
            </w:r>
          </w:p>
        </w:tc>
        <w:tc>
          <w:tcPr>
            <w:tcW w:w="3326" w:type="dxa"/>
            <w:tcBorders/>
            <w:vAlign w:val="center"/>
          </w:tcPr>
          <w:p>
            <w:pPr>
              <w:pStyle w:val="TableContents"/>
              <w:bidi w:val="0"/>
              <w:spacing w:before="0" w:after="283"/>
              <w:jc w:val="left"/>
              <w:rPr/>
            </w:pPr>
            <w:r>
              <w:rPr/>
              <w:t xml:space="preserve">Commit bodies that state the defect mechanism, the fix, the blast radius and the measured verification — </w:t>
            </w:r>
            <w:r>
              <w:rPr>
                <w:rStyle w:val="SourceText"/>
              </w:rPr>
              <w:t>558eaae</w:t>
            </w:r>
            <w:r>
              <w:rPr/>
              <w:t xml:space="preserve"> and </w:t>
            </w:r>
            <w:r>
              <w:rPr>
                <w:rStyle w:val="SourceText"/>
              </w:rPr>
              <w:t>4e27109</w:t>
            </w:r>
            <w:r>
              <w:rPr/>
              <w:t xml:space="preserve"> are representative</w:t>
            </w:r>
          </w:p>
        </w:tc>
      </w:tr>
      <w:tr>
        <w:trPr/>
        <w:tc>
          <w:tcPr>
            <w:tcW w:w="1807" w:type="dxa"/>
            <w:tcBorders/>
            <w:vAlign w:val="center"/>
          </w:tcPr>
          <w:p>
            <w:pPr>
              <w:pStyle w:val="TableContents"/>
              <w:bidi w:val="0"/>
              <w:spacing w:before="0" w:after="283"/>
              <w:jc w:val="left"/>
              <w:rPr/>
            </w:pPr>
            <w:r>
              <w:rPr/>
              <w:t>Executable acceptance criteria for the retrieval path</w:t>
            </w:r>
          </w:p>
        </w:tc>
        <w:tc>
          <w:tcPr>
            <w:tcW w:w="3326" w:type="dxa"/>
            <w:tcBorders/>
            <w:vAlign w:val="center"/>
          </w:tcPr>
          <w:p>
            <w:pPr>
              <w:pStyle w:val="TableContents"/>
              <w:bidi w:val="0"/>
              <w:spacing w:before="0" w:after="283"/>
              <w:jc w:val="left"/>
              <w:rPr/>
            </w:pPr>
            <w:r>
              <w:rPr/>
              <w:t xml:space="preserve">52 golden questions across the five vertical packs and a conversational set, with a binary pass/fail gate at </w:t>
            </w:r>
            <w:r>
              <w:rPr>
                <w:rStyle w:val="SourceText"/>
              </w:rPr>
              <w:t>eval/run_eval.py:281</w:t>
            </w:r>
          </w:p>
        </w:tc>
      </w:tr>
      <w:tr>
        <w:trPr/>
        <w:tc>
          <w:tcPr>
            <w:tcW w:w="1807" w:type="dxa"/>
            <w:tcBorders/>
            <w:vAlign w:val="center"/>
          </w:tcPr>
          <w:p>
            <w:pPr>
              <w:pStyle w:val="TableContents"/>
              <w:bidi w:val="0"/>
              <w:spacing w:before="0" w:after="283"/>
              <w:jc w:val="left"/>
              <w:rPr/>
            </w:pPr>
            <w:r>
              <w:rPr/>
              <w:t>Unit test coverage of named risk areas</w:t>
            </w:r>
          </w:p>
        </w:tc>
        <w:tc>
          <w:tcPr>
            <w:tcW w:w="3326" w:type="dxa"/>
            <w:tcBorders/>
            <w:vAlign w:val="center"/>
          </w:tcPr>
          <w:p>
            <w:pPr>
              <w:pStyle w:val="TableContents"/>
              <w:bidi w:val="0"/>
              <w:spacing w:before="0" w:after="283"/>
              <w:jc w:val="left"/>
              <w:rPr/>
            </w:pPr>
            <w:r>
              <w:rPr/>
              <w:t xml:space="preserve">40 test functions in </w:t>
            </w:r>
            <w:r>
              <w:rPr>
                <w:rStyle w:val="SourceText"/>
              </w:rPr>
              <w:t>backend/tests/</w:t>
            </w:r>
            <w:r>
              <w:rPr/>
              <w:t xml:space="preserve">, 38 in </w:t>
            </w:r>
            <w:r>
              <w:rPr>
                <w:rStyle w:val="SourceText"/>
              </w:rPr>
              <w:t>voice/tests/</w:t>
            </w:r>
          </w:p>
        </w:tc>
      </w:tr>
      <w:tr>
        <w:trPr/>
        <w:tc>
          <w:tcPr>
            <w:tcW w:w="1807" w:type="dxa"/>
            <w:tcBorders/>
            <w:vAlign w:val="center"/>
          </w:tcPr>
          <w:p>
            <w:pPr>
              <w:pStyle w:val="TableContents"/>
              <w:bidi w:val="0"/>
              <w:spacing w:before="0" w:after="283"/>
              <w:jc w:val="left"/>
              <w:rPr/>
            </w:pPr>
            <w:r>
              <w:rPr/>
              <w:t>Independent-style validation of architectural claims</w:t>
            </w:r>
          </w:p>
        </w:tc>
        <w:tc>
          <w:tcPr>
            <w:tcW w:w="3326" w:type="dxa"/>
            <w:tcBorders/>
            <w:vAlign w:val="center"/>
          </w:tcPr>
          <w:p>
            <w:pPr>
              <w:pStyle w:val="TableContents"/>
              <w:bidi w:val="0"/>
              <w:spacing w:before="0" w:after="283"/>
              <w:jc w:val="left"/>
              <w:rPr/>
            </w:pPr>
            <w:r>
              <w:rPr>
                <w:rStyle w:val="SourceText"/>
              </w:rPr>
              <w:t>eval/paper/</w:t>
            </w:r>
            <w:r>
              <w:rPr/>
              <w:t xml:space="preserve"> E1–E10, with results recorded including those that contradict the design intent</w:t>
            </w:r>
          </w:p>
        </w:tc>
      </w:tr>
      <w:tr>
        <w:trPr/>
        <w:tc>
          <w:tcPr>
            <w:tcW w:w="1807" w:type="dxa"/>
            <w:tcBorders/>
            <w:vAlign w:val="center"/>
          </w:tcPr>
          <w:p>
            <w:pPr>
              <w:pStyle w:val="TableContents"/>
              <w:bidi w:val="0"/>
              <w:spacing w:before="0" w:after="283"/>
              <w:jc w:val="left"/>
              <w:rPr/>
            </w:pPr>
            <w:r>
              <w:rPr/>
              <w:t>Rationale preserved where configuration is easy to get wrong</w:t>
            </w:r>
          </w:p>
        </w:tc>
        <w:tc>
          <w:tcPr>
            <w:tcW w:w="3326" w:type="dxa"/>
            <w:tcBorders/>
            <w:vAlign w:val="center"/>
          </w:tcPr>
          <w:p>
            <w:pPr>
              <w:pStyle w:val="TableContents"/>
              <w:bidi w:val="0"/>
              <w:spacing w:before="0" w:after="283"/>
              <w:jc w:val="left"/>
              <w:rPr/>
            </w:pP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w:t>
            </w:r>
            <w:r>
              <w:rPr>
                <w:rStyle w:val="SourceText"/>
              </w:rPr>
              <w:t>backend/Dockerfile:30-32</w:t>
            </w:r>
          </w:p>
        </w:tc>
      </w:tr>
    </w:tbl>
    <w:p>
      <w:pPr>
        <w:pStyle w:val="Heading3"/>
        <w:bidi w:val="0"/>
        <w:jc w:val="left"/>
        <w:rPr/>
      </w:pPr>
      <w:r>
        <w:rPr/>
        <w:t>11.2 What is missing</w:t>
      </w:r>
    </w:p>
    <w:tbl>
      <w:tblPr>
        <w:tblW w:w="5133" w:type="dxa"/>
        <w:jc w:val="left"/>
        <w:tblInd w:w="0" w:type="dxa"/>
        <w:tblLayout w:type="fixed"/>
        <w:tblCellMar>
          <w:top w:w="28" w:type="dxa"/>
          <w:left w:w="28" w:type="dxa"/>
          <w:bottom w:w="28" w:type="dxa"/>
          <w:right w:w="28" w:type="dxa"/>
        </w:tblCellMar>
      </w:tblPr>
      <w:tblGrid>
        <w:gridCol w:w="1513"/>
        <w:gridCol w:w="1861"/>
        <w:gridCol w:w="1759"/>
      </w:tblGrid>
      <w:tr>
        <w:trPr>
          <w:tblHeader w:val="true"/>
        </w:trPr>
        <w:tc>
          <w:tcPr>
            <w:tcW w:w="1513" w:type="dxa"/>
            <w:tcBorders/>
            <w:vAlign w:val="center"/>
          </w:tcPr>
          <w:p>
            <w:pPr>
              <w:pStyle w:val="TableHeading"/>
              <w:suppressLineNumbers/>
              <w:shd w:fill="1F3A5F" w:val="clear"/>
              <w:bidi w:val="0"/>
              <w:spacing w:before="0" w:after="283"/>
              <w:jc w:val="center"/>
              <w:rPr/>
            </w:pPr>
            <w:r>
              <w:rPr/>
              <w:t>Gap</w:t>
            </w:r>
          </w:p>
        </w:tc>
        <w:tc>
          <w:tcPr>
            <w:tcW w:w="1861" w:type="dxa"/>
            <w:tcBorders/>
            <w:vAlign w:val="center"/>
          </w:tcPr>
          <w:p>
            <w:pPr>
              <w:pStyle w:val="TableHeading"/>
              <w:suppressLineNumbers/>
              <w:shd w:fill="1F3A5F" w:val="clear"/>
              <w:bidi w:val="0"/>
              <w:spacing w:before="0" w:after="283"/>
              <w:jc w:val="center"/>
              <w:rPr/>
            </w:pPr>
            <w:r>
              <w:rPr/>
              <w:t>Actual state</w:t>
            </w:r>
          </w:p>
        </w:tc>
        <w:tc>
          <w:tcPr>
            <w:tcW w:w="1759" w:type="dxa"/>
            <w:tcBorders/>
            <w:vAlign w:val="center"/>
          </w:tcPr>
          <w:p>
            <w:pPr>
              <w:pStyle w:val="TableHeading"/>
              <w:suppressLineNumbers/>
              <w:shd w:fill="1F3A5F" w:val="clear"/>
              <w:bidi w:val="0"/>
              <w:spacing w:before="0" w:after="283"/>
              <w:jc w:val="center"/>
              <w:rPr/>
            </w:pPr>
            <w:r>
              <w:rPr/>
              <w:t>Why it matters</w:t>
            </w:r>
          </w:p>
        </w:tc>
      </w:tr>
      <w:tr>
        <w:trPr/>
        <w:tc>
          <w:tcPr>
            <w:tcW w:w="1513" w:type="dxa"/>
            <w:tcBorders/>
            <w:vAlign w:val="center"/>
          </w:tcPr>
          <w:p>
            <w:pPr>
              <w:pStyle w:val="TableContents"/>
              <w:bidi w:val="0"/>
              <w:spacing w:before="0" w:after="283"/>
              <w:jc w:val="left"/>
              <w:rPr/>
            </w:pPr>
            <w:r>
              <w:rPr>
                <w:rStyle w:val="Strong"/>
              </w:rPr>
              <w:t>No architecture decision records</w:t>
            </w:r>
          </w:p>
        </w:tc>
        <w:tc>
          <w:tcPr>
            <w:tcW w:w="1861" w:type="dxa"/>
            <w:tcBorders/>
            <w:vAlign w:val="center"/>
          </w:tcPr>
          <w:p>
            <w:pPr>
              <w:pStyle w:val="TableContents"/>
              <w:bidi w:val="0"/>
              <w:spacing w:before="0" w:after="283"/>
              <w:jc w:val="left"/>
              <w:rPr/>
            </w:pPr>
            <w:r>
              <w:rPr/>
              <w:t>No ADR directory or equivalent exists. Decision rationale is distributed across commit bodies and inline comments, and only for decisions taken after the commit-body discipline was adopted — 80 of 202 commits use conventional prefixes, the convention having been adopted partway through</w:t>
            </w:r>
          </w:p>
        </w:tc>
        <w:tc>
          <w:tcPr>
            <w:tcW w:w="1759" w:type="dxa"/>
            <w:tcBorders/>
            <w:vAlign w:val="center"/>
          </w:tcPr>
          <w:p>
            <w:pPr>
              <w:pStyle w:val="TableContents"/>
              <w:bidi w:val="0"/>
              <w:spacing w:before="0" w:after="283"/>
              <w:jc w:val="left"/>
              <w:rPr/>
            </w:pPr>
            <w:r>
              <w:rPr/>
              <w:t>A decision cannot be reviewed if it cannot be found. Rationale predating the discipline is unrecoverable except from the person who made it</w:t>
            </w:r>
          </w:p>
        </w:tc>
      </w:tr>
      <w:tr>
        <w:trPr/>
        <w:tc>
          <w:tcPr>
            <w:tcW w:w="1513" w:type="dxa"/>
            <w:tcBorders/>
            <w:vAlign w:val="center"/>
          </w:tcPr>
          <w:p>
            <w:pPr>
              <w:pStyle w:val="TableContents"/>
              <w:bidi w:val="0"/>
              <w:spacing w:before="0" w:after="283"/>
              <w:jc w:val="left"/>
              <w:rPr/>
            </w:pPr>
            <w:r>
              <w:rPr>
                <w:rStyle w:val="Strong"/>
              </w:rPr>
              <w:t>No acceptance criteria recorded before build</w:t>
            </w:r>
          </w:p>
        </w:tc>
        <w:tc>
          <w:tcPr>
            <w:tcW w:w="1861" w:type="dxa"/>
            <w:tcBorders/>
            <w:vAlign w:val="center"/>
          </w:tcPr>
          <w:p>
            <w:pPr>
              <w:pStyle w:val="TableContents"/>
              <w:bidi w:val="0"/>
              <w:spacing w:before="0" w:after="283"/>
              <w:jc w:val="left"/>
              <w:rPr/>
            </w:pPr>
            <w:r>
              <w:rPr/>
              <w:t>Golden questions exist, but they were written alongside or after the implementation, not stated as inputs beforehand. No design plan exists for any past change</w:t>
            </w:r>
          </w:p>
        </w:tc>
        <w:tc>
          <w:tcPr>
            <w:tcW w:w="1759" w:type="dxa"/>
            <w:tcBorders/>
            <w:vAlign w:val="center"/>
          </w:tcPr>
          <w:p>
            <w:pPr>
              <w:pStyle w:val="TableContents"/>
              <w:bidi w:val="0"/>
              <w:spacing w:before="0" w:after="283"/>
              <w:jc w:val="left"/>
              <w:rPr/>
            </w:pPr>
            <w:r>
              <w:rPr/>
              <w:t>8.3.3 requires inputs to be determined before the design; today the inputs are inferred from the outputs</w:t>
            </w:r>
          </w:p>
        </w:tc>
      </w:tr>
      <w:tr>
        <w:trPr/>
        <w:tc>
          <w:tcPr>
            <w:tcW w:w="1513" w:type="dxa"/>
            <w:tcBorders/>
            <w:vAlign w:val="center"/>
          </w:tcPr>
          <w:p>
            <w:pPr>
              <w:pStyle w:val="TableContents"/>
              <w:bidi w:val="0"/>
              <w:spacing w:before="0" w:after="283"/>
              <w:jc w:val="left"/>
              <w:rPr/>
            </w:pPr>
            <w:r>
              <w:rPr>
                <w:rStyle w:val="Strong"/>
              </w:rPr>
              <w:t>No requirements or traceability document</w:t>
            </w:r>
          </w:p>
        </w:tc>
        <w:tc>
          <w:tcPr>
            <w:tcW w:w="1861" w:type="dxa"/>
            <w:tcBorders/>
            <w:vAlign w:val="center"/>
          </w:tcPr>
          <w:p>
            <w:pPr>
              <w:pStyle w:val="TableContents"/>
              <w:bidi w:val="0"/>
              <w:spacing w:before="0" w:after="283"/>
              <w:jc w:val="left"/>
              <w:rPr/>
            </w:pPr>
            <w:r>
              <w:rPr/>
              <w:t>There is no document stating the platform's requirements, and no mapping from a requirement to the test that demonstrates it</w:t>
            </w:r>
          </w:p>
        </w:tc>
        <w:tc>
          <w:tcPr>
            <w:tcW w:w="1759" w:type="dxa"/>
            <w:tcBorders/>
            <w:vAlign w:val="center"/>
          </w:tcPr>
          <w:p>
            <w:pPr>
              <w:pStyle w:val="TableContents"/>
              <w:bidi w:val="0"/>
              <w:spacing w:before="0" w:after="283"/>
              <w:jc w:val="left"/>
              <w:rPr/>
            </w:pPr>
            <w:r>
              <w:rPr/>
              <w:t>It cannot currently be shown that every requirement is verified, only that many tests pass</w:t>
            </w:r>
          </w:p>
        </w:tc>
      </w:tr>
      <w:tr>
        <w:trPr/>
        <w:tc>
          <w:tcPr>
            <w:tcW w:w="1513" w:type="dxa"/>
            <w:tcBorders/>
            <w:vAlign w:val="center"/>
          </w:tcPr>
          <w:p>
            <w:pPr>
              <w:pStyle w:val="TableContents"/>
              <w:bidi w:val="0"/>
              <w:spacing w:before="0" w:after="283"/>
              <w:jc w:val="left"/>
              <w:rPr/>
            </w:pPr>
            <w:r>
              <w:rPr>
                <w:rStyle w:val="Strong"/>
              </w:rPr>
              <w:t>No design review records</w:t>
            </w:r>
          </w:p>
        </w:tc>
        <w:tc>
          <w:tcPr>
            <w:tcW w:w="1861" w:type="dxa"/>
            <w:tcBorders/>
            <w:vAlign w:val="center"/>
          </w:tcPr>
          <w:p>
            <w:pPr>
              <w:pStyle w:val="TableContents"/>
              <w:bidi w:val="0"/>
              <w:spacing w:before="0" w:after="283"/>
              <w:jc w:val="left"/>
              <w:rPr/>
            </w:pPr>
            <w:r>
              <w:rPr/>
              <w:t xml:space="preserve">No design review has been held or recorded. </w:t>
            </w:r>
            <w:r>
              <w:rPr>
                <w:rStyle w:val="SourceText"/>
              </w:rPr>
              <w:t>forms/FRM-01_Design_Review_Record.md</w:t>
            </w:r>
            <w:r>
              <w:rPr/>
              <w:t xml:space="preserve"> is created by this QMS and is unused</w:t>
            </w:r>
          </w:p>
        </w:tc>
        <w:tc>
          <w:tcPr>
            <w:tcW w:w="1759" w:type="dxa"/>
            <w:tcBorders/>
            <w:vAlign w:val="center"/>
          </w:tcPr>
          <w:p>
            <w:pPr>
              <w:pStyle w:val="TableContents"/>
              <w:bidi w:val="0"/>
              <w:spacing w:before="0" w:after="283"/>
              <w:jc w:val="left"/>
              <w:rPr/>
            </w:pPr>
            <w:r>
              <w:rPr/>
              <w:t>8.3.4(a) is not met today</w:t>
            </w:r>
          </w:p>
        </w:tc>
      </w:tr>
      <w:tr>
        <w:trPr/>
        <w:tc>
          <w:tcPr>
            <w:tcW w:w="1513" w:type="dxa"/>
            <w:tcBorders/>
            <w:vAlign w:val="center"/>
          </w:tcPr>
          <w:p>
            <w:pPr>
              <w:pStyle w:val="TableContents"/>
              <w:bidi w:val="0"/>
              <w:spacing w:before="0" w:after="283"/>
              <w:jc w:val="left"/>
              <w:rPr/>
            </w:pPr>
            <w:r>
              <w:rPr>
                <w:rStyle w:val="Strong"/>
              </w:rPr>
              <w:t>No change-control register</w:t>
            </w:r>
          </w:p>
        </w:tc>
        <w:tc>
          <w:tcPr>
            <w:tcW w:w="1861" w:type="dxa"/>
            <w:tcBorders/>
            <w:vAlign w:val="center"/>
          </w:tcPr>
          <w:p>
            <w:pPr>
              <w:pStyle w:val="TableContents"/>
              <w:bidi w:val="0"/>
              <w:spacing w:before="0" w:after="283"/>
              <w:jc w:val="left"/>
              <w:rPr/>
            </w:pPr>
            <w:r>
              <w:rPr>
                <w:rStyle w:val="SourceText"/>
              </w:rPr>
              <w:t>registers/REG-07_Design_and_Change_Register.md</w:t>
            </w:r>
            <w:r>
              <w:rPr/>
              <w:t xml:space="preserve"> is created empty. Changes have been controlled through Git alone</w:t>
            </w:r>
          </w:p>
        </w:tc>
        <w:tc>
          <w:tcPr>
            <w:tcW w:w="1759" w:type="dxa"/>
            <w:tcBorders/>
            <w:vAlign w:val="center"/>
          </w:tcPr>
          <w:p>
            <w:pPr>
              <w:pStyle w:val="TableContents"/>
              <w:bidi w:val="0"/>
              <w:spacing w:before="0" w:after="283"/>
              <w:jc w:val="left"/>
              <w:rPr/>
            </w:pPr>
            <w:r>
              <w:rPr/>
              <w:t>Classification, review and authorisation of changes are not evidenced as distinct acts</w:t>
            </w:r>
          </w:p>
        </w:tc>
      </w:tr>
      <w:tr>
        <w:trPr/>
        <w:tc>
          <w:tcPr>
            <w:tcW w:w="1513" w:type="dxa"/>
            <w:tcBorders/>
            <w:vAlign w:val="center"/>
          </w:tcPr>
          <w:p>
            <w:pPr>
              <w:pStyle w:val="TableContents"/>
              <w:bidi w:val="0"/>
              <w:spacing w:before="0" w:after="283"/>
              <w:jc w:val="left"/>
              <w:rPr/>
            </w:pPr>
            <w:r>
              <w:rPr>
                <w:rStyle w:val="Strong"/>
              </w:rPr>
              <w:t>No CI gate</w:t>
            </w:r>
          </w:p>
        </w:tc>
        <w:tc>
          <w:tcPr>
            <w:tcW w:w="1861" w:type="dxa"/>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The golden-question suite returns a CI-friendly exit code at </w:t>
            </w:r>
            <w:r>
              <w:rPr>
                <w:rStyle w:val="SourceText"/>
              </w:rPr>
              <w:t>eval/run_eval.py:281</w:t>
            </w:r>
            <w:r>
              <w:rPr/>
              <w:t>, but nothing runs it automatically</w:t>
            </w:r>
          </w:p>
        </w:tc>
        <w:tc>
          <w:tcPr>
            <w:tcW w:w="1759" w:type="dxa"/>
            <w:tcBorders/>
            <w:vAlign w:val="center"/>
          </w:tcPr>
          <w:p>
            <w:pPr>
              <w:pStyle w:val="TableContents"/>
              <w:bidi w:val="0"/>
              <w:spacing w:before="0" w:after="283"/>
              <w:jc w:val="left"/>
              <w:rPr/>
            </w:pPr>
            <w:r>
              <w:rPr/>
              <w:t xml:space="preserve">Verification depends entirely on the author choosing to run it. A regression can reach </w:t>
            </w:r>
            <w:r>
              <w:rPr>
                <w:rStyle w:val="SourceText"/>
              </w:rPr>
              <w:t>main</w:t>
            </w:r>
            <w:r>
              <w:rPr/>
              <w:t xml:space="preserve"> unmeasured</w:t>
            </w:r>
          </w:p>
        </w:tc>
      </w:tr>
      <w:tr>
        <w:trPr/>
        <w:tc>
          <w:tcPr>
            <w:tcW w:w="1513" w:type="dxa"/>
            <w:tcBorders/>
            <w:vAlign w:val="center"/>
          </w:tcPr>
          <w:p>
            <w:pPr>
              <w:pStyle w:val="TableContents"/>
              <w:bidi w:val="0"/>
              <w:spacing w:before="0" w:after="283"/>
              <w:jc w:val="left"/>
              <w:rPr/>
            </w:pPr>
            <w:r>
              <w:rPr>
                <w:rStyle w:val="Strong"/>
              </w:rPr>
              <w:t>No independent review</w:t>
            </w:r>
          </w:p>
        </w:tc>
        <w:tc>
          <w:tcPr>
            <w:tcW w:w="1861" w:type="dxa"/>
            <w:tcBorders/>
            <w:vAlign w:val="center"/>
          </w:tcPr>
          <w:p>
            <w:pPr>
              <w:pStyle w:val="TableContents"/>
              <w:bidi w:val="0"/>
              <w:spacing w:before="0" w:after="283"/>
              <w:jc w:val="left"/>
              <w:rPr/>
            </w:pPr>
            <w:r>
              <w:rPr/>
              <w:t>Development is direct-to-</w:t>
            </w:r>
            <w:r>
              <w:rPr>
                <w:rStyle w:val="SourceText"/>
              </w:rPr>
              <w:t>main</w:t>
            </w:r>
            <w:r>
              <w:rPr/>
              <w:t>. Only 2 of 202 commits are merges, both author-to-self on 2026-02-24. 200 of 202 commits had no pull-request review</w:t>
            </w:r>
          </w:p>
        </w:tc>
        <w:tc>
          <w:tcPr>
            <w:tcW w:w="1759" w:type="dxa"/>
            <w:tcBorders/>
            <w:vAlign w:val="center"/>
          </w:tcPr>
          <w:p>
            <w:pPr>
              <w:pStyle w:val="TableContents"/>
              <w:bidi w:val="0"/>
              <w:spacing w:before="0" w:after="283"/>
              <w:jc w:val="left"/>
              <w:rPr/>
            </w:pPr>
            <w:r>
              <w:rPr/>
              <w:t>There is no second pair of eyes on any design decision, including AI-generated ones</w:t>
            </w:r>
          </w:p>
        </w:tc>
      </w:tr>
      <w:tr>
        <w:trPr/>
        <w:tc>
          <w:tcPr>
            <w:tcW w:w="1513" w:type="dxa"/>
            <w:tcBorders/>
            <w:vAlign w:val="center"/>
          </w:tcPr>
          <w:p>
            <w:pPr>
              <w:pStyle w:val="TableContents"/>
              <w:bidi w:val="0"/>
              <w:spacing w:before="0" w:after="283"/>
              <w:jc w:val="left"/>
              <w:rPr/>
            </w:pPr>
            <w:r>
              <w:rPr>
                <w:rStyle w:val="Strong"/>
              </w:rPr>
              <w:t>Unit test results are not retained</w:t>
            </w:r>
          </w:p>
        </w:tc>
        <w:tc>
          <w:tcPr>
            <w:tcW w:w="1861" w:type="dxa"/>
            <w:tcBorders/>
            <w:vAlign w:val="center"/>
          </w:tcPr>
          <w:p>
            <w:pPr>
              <w:pStyle w:val="TableContents"/>
              <w:bidi w:val="0"/>
              <w:spacing w:before="0" w:after="283"/>
              <w:jc w:val="left"/>
              <w:rPr/>
            </w:pPr>
            <w:r>
              <w:rPr/>
              <w:t xml:space="preserve">Test runs leave no stored artefact; only golden-eval runs write a report to </w:t>
            </w:r>
            <w:r>
              <w:rPr>
                <w:rStyle w:val="SourceText"/>
              </w:rPr>
              <w:t>eval/reports/</w:t>
            </w:r>
          </w:p>
        </w:tc>
        <w:tc>
          <w:tcPr>
            <w:tcW w:w="1759" w:type="dxa"/>
            <w:tcBorders/>
            <w:vAlign w:val="center"/>
          </w:tcPr>
          <w:p>
            <w:pPr>
              <w:pStyle w:val="TableContents"/>
              <w:bidi w:val="0"/>
              <w:spacing w:before="0" w:after="283"/>
              <w:jc w:val="left"/>
              <w:rPr/>
            </w:pPr>
            <w:r>
              <w:rPr/>
              <w:t>8.3.4(f) requires documented information of the control activities; for unit testing there is none</w:t>
            </w:r>
          </w:p>
        </w:tc>
      </w:tr>
      <w:tr>
        <w:trPr/>
        <w:tc>
          <w:tcPr>
            <w:tcW w:w="1513" w:type="dxa"/>
            <w:tcBorders/>
            <w:vAlign w:val="center"/>
          </w:tcPr>
          <w:p>
            <w:pPr>
              <w:pStyle w:val="TableContents"/>
              <w:bidi w:val="0"/>
              <w:spacing w:before="0" w:after="283"/>
              <w:jc w:val="left"/>
              <w:rPr/>
            </w:pPr>
            <w:r>
              <w:rPr>
                <w:rStyle w:val="Strong"/>
              </w:rPr>
              <w:t>Design review, verification and approval are performed by the same person</w:t>
            </w:r>
          </w:p>
        </w:tc>
        <w:tc>
          <w:tcPr>
            <w:tcW w:w="1861" w:type="dxa"/>
            <w:tcBorders/>
            <w:vAlign w:val="center"/>
          </w:tcPr>
          <w:p>
            <w:pPr>
              <w:pStyle w:val="TableContents"/>
              <w:bidi w:val="0"/>
              <w:spacing w:before="0" w:after="283"/>
              <w:jc w:val="left"/>
              <w:rPr/>
            </w:pPr>
            <w:r>
              <w:rPr/>
              <w:t xml:space="preserve">One developer, two Git identities, one email, 202 commits from 2026-02-05 to </w:t>
            </w:r>
            <w:r>
              <w:rPr>
                <w:rStyle w:val="SourceText"/>
              </w:rPr>
              <w:t>ff29843</w:t>
            </w:r>
            <w:r>
              <w:rPr/>
              <w:t xml:space="preserve"> (2026-09-21)</w:t>
            </w:r>
          </w:p>
        </w:tc>
        <w:tc>
          <w:tcPr>
            <w:tcW w:w="1759" w:type="dxa"/>
            <w:tcBorders/>
            <w:vAlign w:val="center"/>
          </w:tcPr>
          <w:p>
            <w:pPr>
              <w:pStyle w:val="TableContents"/>
              <w:bidi w:val="0"/>
              <w:spacing w:before="0" w:after="283"/>
              <w:jc w:val="left"/>
              <w:rPr/>
            </w:pPr>
            <w:r>
              <w:rPr/>
              <w:t>An auditor should weigh the objective artefacts — evaluation reports, test suites, commit bodies — above any statement of review, because the review is self-administered</w:t>
            </w:r>
          </w:p>
        </w:tc>
      </w:tr>
    </w:tbl>
    <w:p>
      <w:pPr>
        <w:pStyle w:val="Heading3"/>
        <w:bidi w:val="0"/>
        <w:jc w:val="left"/>
        <w:rPr/>
      </w:pPr>
      <w:r>
        <w:rPr/>
        <w:t>11.3 Position for an auditor</w:t>
      </w:r>
    </w:p>
    <w:p>
      <w:pPr>
        <w:pStyle w:val="BodyText"/>
        <w:bidi w:val="0"/>
        <w:jc w:val="left"/>
        <w:rPr/>
      </w:pPr>
      <w:r>
        <w:rPr/>
        <w:t xml:space="preserve">Clauses 8.3.3 (inputs), 8.3.5 (outputs) and much of 8.3.4 (verification and validation) are supported by real, inspectable evidence. Clause 8.3.2 (planning) and the review limb of 8.3.4 are </w:t>
      </w:r>
      <w:r>
        <w:rPr>
          <w:rStyle w:val="Strong"/>
        </w:rPr>
        <w:t>not met</w:t>
      </w:r>
      <w:r>
        <w:rPr/>
        <w:t xml:space="preserve"> today: no design plan and no design review record exists for any past change. Clause 8.3.6 (changes) is partially met through Git history but is not evidenced as a controlled, authorised act.</w:t>
      </w:r>
    </w:p>
    <w:p>
      <w:pPr>
        <w:pStyle w:val="BodyText"/>
        <w:bidi w:val="0"/>
        <w:jc w:val="left"/>
        <w:rPr/>
      </w:pPr>
      <w:r>
        <w:rPr/>
        <w:t>This procedure defines the control going forward. It does not retrospectively create planning or review records for the 202 commits already made, and no attempt should be made to construct them.</w:t>
      </w:r>
    </w:p>
    <w:p>
      <w:pPr>
        <w:pStyle w:val="BodyText"/>
        <w:bidi w:val="0"/>
        <w:spacing w:before="0" w:after="283"/>
        <w:jc w:val="left"/>
        <w:rPr/>
      </w:pPr>
      <w:r>
        <w:rPr/>
        <w:t xml:space="preserve">All gaps above are carried into </w:t>
      </w:r>
      <w:r>
        <w:rPr>
          <w:rStyle w:val="SourceText"/>
        </w:rPr>
        <w:t>ISO9001_Gap_Analysis.md</w:t>
      </w:r>
      <w:r>
        <w:rPr/>
        <w:t xml:space="preserve"> and, where they carry risk,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