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SOP-09 — External Providers and Open Source</w:t>
      </w:r>
    </w:p>
    <w:tbl>
      <w:tblPr>
        <w:tblW w:w="4622" w:type="dxa"/>
        <w:jc w:val="left"/>
        <w:tblInd w:w="0" w:type="dxa"/>
        <w:tblLayout w:type="fixed"/>
        <w:tblCellMar>
          <w:top w:w="28" w:type="dxa"/>
          <w:left w:w="28" w:type="dxa"/>
          <w:bottom w:w="28" w:type="dxa"/>
          <w:right w:w="28" w:type="dxa"/>
        </w:tblCellMar>
      </w:tblPr>
      <w:tblGrid>
        <w:gridCol w:w="1951"/>
        <w:gridCol w:w="2671"/>
      </w:tblGrid>
      <w:tr>
        <w:trPr>
          <w:tblHeader w:val="true"/>
        </w:trPr>
        <w:tc>
          <w:tcPr>
            <w:tcW w:w="1951" w:type="dxa"/>
            <w:tcBorders/>
            <w:vAlign w:val="center"/>
          </w:tcPr>
          <w:p>
            <w:pPr>
              <w:pStyle w:val="TableHeading"/>
              <w:suppressLineNumbers/>
              <w:shd w:fill="1F3A5F" w:val="clear"/>
              <w:bidi w:val="0"/>
              <w:spacing w:before="0" w:after="283"/>
              <w:jc w:val="center"/>
              <w:rPr/>
            </w:pPr>
            <w:r>
              <w:rPr/>
              <w:t>Field</w:t>
            </w:r>
          </w:p>
        </w:tc>
        <w:tc>
          <w:tcPr>
            <w:tcW w:w="2671" w:type="dxa"/>
            <w:tcBorders/>
            <w:vAlign w:val="center"/>
          </w:tcPr>
          <w:p>
            <w:pPr>
              <w:pStyle w:val="TableHeading"/>
              <w:suppressLineNumbers/>
              <w:shd w:fill="1F3A5F" w:val="clear"/>
              <w:bidi w:val="0"/>
              <w:spacing w:before="0" w:after="283"/>
              <w:jc w:val="center"/>
              <w:rPr/>
            </w:pPr>
            <w:r>
              <w:rPr/>
              <w:t>Value</w:t>
            </w:r>
          </w:p>
        </w:tc>
      </w:tr>
      <w:tr>
        <w:trPr/>
        <w:tc>
          <w:tcPr>
            <w:tcW w:w="1951" w:type="dxa"/>
            <w:tcBorders/>
            <w:vAlign w:val="center"/>
          </w:tcPr>
          <w:p>
            <w:pPr>
              <w:pStyle w:val="TableContents"/>
              <w:bidi w:val="0"/>
              <w:spacing w:before="0" w:after="283"/>
              <w:jc w:val="left"/>
              <w:rPr/>
            </w:pPr>
            <w:r>
              <w:rPr/>
              <w:t>Document ID</w:t>
            </w:r>
          </w:p>
        </w:tc>
        <w:tc>
          <w:tcPr>
            <w:tcW w:w="2671" w:type="dxa"/>
            <w:tcBorders/>
            <w:vAlign w:val="center"/>
          </w:tcPr>
          <w:p>
            <w:pPr>
              <w:pStyle w:val="TableContents"/>
              <w:bidi w:val="0"/>
              <w:spacing w:before="0" w:after="283"/>
              <w:jc w:val="left"/>
              <w:rPr/>
            </w:pPr>
            <w:r>
              <w:rPr/>
              <w:t>SOP-09</w:t>
            </w:r>
          </w:p>
        </w:tc>
      </w:tr>
      <w:tr>
        <w:trPr/>
        <w:tc>
          <w:tcPr>
            <w:tcW w:w="1951" w:type="dxa"/>
            <w:tcBorders/>
            <w:vAlign w:val="center"/>
          </w:tcPr>
          <w:p>
            <w:pPr>
              <w:pStyle w:val="TableContents"/>
              <w:bidi w:val="0"/>
              <w:spacing w:before="0" w:after="283"/>
              <w:jc w:val="left"/>
              <w:rPr/>
            </w:pPr>
            <w:r>
              <w:rPr/>
              <w:t>Revision</w:t>
            </w:r>
          </w:p>
        </w:tc>
        <w:tc>
          <w:tcPr>
            <w:tcW w:w="2671" w:type="dxa"/>
            <w:tcBorders/>
            <w:vAlign w:val="center"/>
          </w:tcPr>
          <w:p>
            <w:pPr>
              <w:pStyle w:val="TableContents"/>
              <w:bidi w:val="0"/>
              <w:spacing w:before="0" w:after="283"/>
              <w:jc w:val="left"/>
              <w:rPr/>
            </w:pPr>
            <w:r>
              <w:rPr/>
              <w:t>1.1</w:t>
            </w:r>
          </w:p>
        </w:tc>
      </w:tr>
      <w:tr>
        <w:trPr/>
        <w:tc>
          <w:tcPr>
            <w:tcW w:w="1951" w:type="dxa"/>
            <w:tcBorders/>
            <w:vAlign w:val="center"/>
          </w:tcPr>
          <w:p>
            <w:pPr>
              <w:pStyle w:val="TableContents"/>
              <w:bidi w:val="0"/>
              <w:spacing w:before="0" w:after="283"/>
              <w:jc w:val="left"/>
              <w:rPr/>
            </w:pPr>
            <w:r>
              <w:rPr/>
              <w:t>Status</w:t>
            </w:r>
          </w:p>
        </w:tc>
        <w:tc>
          <w:tcPr>
            <w:tcW w:w="2671" w:type="dxa"/>
            <w:tcBorders/>
            <w:vAlign w:val="center"/>
          </w:tcPr>
          <w:p>
            <w:pPr>
              <w:pStyle w:val="TableContents"/>
              <w:bidi w:val="0"/>
              <w:spacing w:before="0" w:after="283"/>
              <w:jc w:val="left"/>
              <w:rPr/>
            </w:pPr>
            <w:r>
              <w:rPr>
                <w:rStyle w:val="Strong"/>
              </w:rPr>
              <w:t>DRAFT — not yet approved</w:t>
            </w:r>
          </w:p>
        </w:tc>
      </w:tr>
      <w:tr>
        <w:trPr/>
        <w:tc>
          <w:tcPr>
            <w:tcW w:w="1951" w:type="dxa"/>
            <w:tcBorders/>
            <w:vAlign w:val="center"/>
          </w:tcPr>
          <w:p>
            <w:pPr>
              <w:pStyle w:val="TableContents"/>
              <w:bidi w:val="0"/>
              <w:spacing w:before="0" w:after="283"/>
              <w:jc w:val="left"/>
              <w:rPr/>
            </w:pPr>
            <w:r>
              <w:rPr/>
              <w:t>Owner</w:t>
            </w:r>
          </w:p>
        </w:tc>
        <w:tc>
          <w:tcPr>
            <w:tcW w:w="2671" w:type="dxa"/>
            <w:tcBorders/>
            <w:vAlign w:val="center"/>
          </w:tcPr>
          <w:p>
            <w:pPr>
              <w:pStyle w:val="TableContents"/>
              <w:bidi w:val="0"/>
              <w:spacing w:before="0" w:after="283"/>
              <w:jc w:val="left"/>
              <w:rPr/>
            </w:pPr>
            <w:r>
              <w:rPr/>
              <w:t>Engineering Lead</w:t>
            </w:r>
          </w:p>
        </w:tc>
      </w:tr>
      <w:tr>
        <w:trPr/>
        <w:tc>
          <w:tcPr>
            <w:tcW w:w="1951" w:type="dxa"/>
            <w:tcBorders/>
            <w:vAlign w:val="center"/>
          </w:tcPr>
          <w:p>
            <w:pPr>
              <w:pStyle w:val="TableContents"/>
              <w:bidi w:val="0"/>
              <w:spacing w:before="0" w:after="283"/>
              <w:jc w:val="left"/>
              <w:rPr/>
            </w:pPr>
            <w:r>
              <w:rPr/>
              <w:t>Approved by</w:t>
            </w:r>
          </w:p>
        </w:tc>
        <w:tc>
          <w:tcPr>
            <w:tcW w:w="2671" w:type="dxa"/>
            <w:tcBorders/>
            <w:vAlign w:val="center"/>
          </w:tcPr>
          <w:p>
            <w:pPr>
              <w:pStyle w:val="TableContents"/>
              <w:bidi w:val="0"/>
              <w:spacing w:before="0" w:after="283"/>
              <w:jc w:val="left"/>
              <w:rPr/>
            </w:pPr>
            <w:r>
              <w:rPr>
                <w:rStyle w:val="SourceText"/>
              </w:rPr>
              <w:t>________________________</w:t>
            </w:r>
          </w:p>
        </w:tc>
      </w:tr>
      <w:tr>
        <w:trPr/>
        <w:tc>
          <w:tcPr>
            <w:tcW w:w="1951" w:type="dxa"/>
            <w:tcBorders/>
            <w:vAlign w:val="center"/>
          </w:tcPr>
          <w:p>
            <w:pPr>
              <w:pStyle w:val="TableContents"/>
              <w:bidi w:val="0"/>
              <w:spacing w:before="0" w:after="283"/>
              <w:jc w:val="left"/>
              <w:rPr/>
            </w:pPr>
            <w:r>
              <w:rPr/>
              <w:t>Approval date</w:t>
            </w:r>
          </w:p>
        </w:tc>
        <w:tc>
          <w:tcPr>
            <w:tcW w:w="2671" w:type="dxa"/>
            <w:tcBorders/>
            <w:vAlign w:val="center"/>
          </w:tcPr>
          <w:p>
            <w:pPr>
              <w:pStyle w:val="TableContents"/>
              <w:bidi w:val="0"/>
              <w:spacing w:before="0" w:after="283"/>
              <w:jc w:val="left"/>
              <w:rPr/>
            </w:pPr>
            <w:r>
              <w:rPr>
                <w:rStyle w:val="SourceText"/>
              </w:rPr>
              <w:t>____ / ____ / ________</w:t>
            </w:r>
          </w:p>
        </w:tc>
      </w:tr>
      <w:tr>
        <w:trPr/>
        <w:tc>
          <w:tcPr>
            <w:tcW w:w="1951" w:type="dxa"/>
            <w:tcBorders/>
            <w:vAlign w:val="center"/>
          </w:tcPr>
          <w:p>
            <w:pPr>
              <w:pStyle w:val="TableContents"/>
              <w:bidi w:val="0"/>
              <w:spacing w:before="0" w:after="283"/>
              <w:jc w:val="left"/>
              <w:rPr/>
            </w:pPr>
            <w:r>
              <w:rPr/>
              <w:t>ISO 9001:2015 clauses</w:t>
            </w:r>
          </w:p>
        </w:tc>
        <w:tc>
          <w:tcPr>
            <w:tcW w:w="2671" w:type="dxa"/>
            <w:tcBorders/>
            <w:vAlign w:val="center"/>
          </w:tcPr>
          <w:p>
            <w:pPr>
              <w:pStyle w:val="TableContents"/>
              <w:bidi w:val="0"/>
              <w:spacing w:before="0" w:after="283"/>
              <w:jc w:val="left"/>
              <w:rPr/>
            </w:pPr>
            <w:r>
              <w:rPr/>
              <w:t>8.4.1, 8.4.2, 8.4.3, 8.1(e)</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how Ajace AI controls externally provided processes, products and services that become part of, or affect, EchoMind Enterprise. ISO 9001:2015 8.4.1 requires that externally provided items conform to requirements; 8.4.2 that controls are applied and their effect on the ability to meet customer requirements is considered; 8.4.3 that requirements are communicated to the provider before they are relied on. Clause 8.1(e) requires that outsourced processes are controlled.</w:t>
      </w:r>
    </w:p>
    <w:p>
      <w:pPr>
        <w:pStyle w:val="Heading2"/>
        <w:bidi w:val="0"/>
        <w:jc w:val="left"/>
        <w:rPr/>
      </w:pPr>
      <w:r>
        <w:rPr/>
        <w:t>2. Scope</w:t>
      </w:r>
    </w:p>
    <w:p>
      <w:pPr>
        <w:pStyle w:val="BodyText"/>
        <w:bidi w:val="0"/>
        <w:jc w:val="left"/>
        <w:rPr/>
      </w:pPr>
      <w:r>
        <w:rPr/>
        <w:t>Every external input that reaches a customer deployment:</w:t>
      </w:r>
    </w:p>
    <w:tbl>
      <w:tblPr>
        <w:tblW w:w="8119" w:type="dxa"/>
        <w:jc w:val="left"/>
        <w:tblInd w:w="0" w:type="dxa"/>
        <w:tblLayout w:type="fixed"/>
        <w:tblCellMar>
          <w:top w:w="28" w:type="dxa"/>
          <w:left w:w="28" w:type="dxa"/>
          <w:bottom w:w="28" w:type="dxa"/>
          <w:right w:w="28" w:type="dxa"/>
        </w:tblCellMar>
      </w:tblPr>
      <w:tblGrid>
        <w:gridCol w:w="1501"/>
        <w:gridCol w:w="6618"/>
      </w:tblGrid>
      <w:tr>
        <w:trPr>
          <w:tblHeader w:val="true"/>
        </w:trPr>
        <w:tc>
          <w:tcPr>
            <w:tcW w:w="1501" w:type="dxa"/>
            <w:tcBorders/>
            <w:vAlign w:val="center"/>
          </w:tcPr>
          <w:p>
            <w:pPr>
              <w:pStyle w:val="TableHeading"/>
              <w:suppressLineNumbers/>
              <w:shd w:fill="1F3A5F" w:val="clear"/>
              <w:bidi w:val="0"/>
              <w:spacing w:before="0" w:after="283"/>
              <w:jc w:val="center"/>
              <w:rPr/>
            </w:pPr>
            <w:r>
              <w:rPr/>
              <w:t>Type</w:t>
            </w:r>
          </w:p>
        </w:tc>
        <w:tc>
          <w:tcPr>
            <w:tcW w:w="6618" w:type="dxa"/>
            <w:tcBorders/>
            <w:vAlign w:val="center"/>
          </w:tcPr>
          <w:p>
            <w:pPr>
              <w:pStyle w:val="TableHeading"/>
              <w:suppressLineNumbers/>
              <w:shd w:fill="1F3A5F" w:val="clear"/>
              <w:bidi w:val="0"/>
              <w:spacing w:before="0" w:after="283"/>
              <w:jc w:val="center"/>
              <w:rPr/>
            </w:pPr>
            <w:r>
              <w:rPr/>
              <w:t>Examples in this product</w:t>
            </w:r>
          </w:p>
        </w:tc>
      </w:tr>
      <w:tr>
        <w:trPr/>
        <w:tc>
          <w:tcPr>
            <w:tcW w:w="1501" w:type="dxa"/>
            <w:tcBorders/>
            <w:vAlign w:val="center"/>
          </w:tcPr>
          <w:p>
            <w:pPr>
              <w:pStyle w:val="TableContents"/>
              <w:bidi w:val="0"/>
              <w:spacing w:before="0" w:after="283"/>
              <w:jc w:val="left"/>
              <w:rPr/>
            </w:pPr>
            <w:r>
              <w:rPr/>
              <w:t>Model weights</w:t>
            </w:r>
          </w:p>
        </w:tc>
        <w:tc>
          <w:tcPr>
            <w:tcW w:w="6618" w:type="dxa"/>
            <w:tcBorders/>
            <w:vAlign w:val="center"/>
          </w:tcPr>
          <w:p>
            <w:pPr>
              <w:pStyle w:val="TableContents"/>
              <w:bidi w:val="0"/>
              <w:spacing w:before="0" w:after="283"/>
              <w:jc w:val="left"/>
              <w:rPr/>
            </w:pPr>
            <w:r>
              <w:rPr/>
              <w:t>Chat LLM, embeddings, streaming and final STT, diarised ASR, TTS, reranker, image generation</w:t>
            </w:r>
          </w:p>
        </w:tc>
      </w:tr>
      <w:tr>
        <w:trPr/>
        <w:tc>
          <w:tcPr>
            <w:tcW w:w="1501" w:type="dxa"/>
            <w:tcBorders/>
            <w:vAlign w:val="center"/>
          </w:tcPr>
          <w:p>
            <w:pPr>
              <w:pStyle w:val="TableContents"/>
              <w:bidi w:val="0"/>
              <w:spacing w:before="0" w:after="283"/>
              <w:jc w:val="left"/>
              <w:rPr/>
            </w:pPr>
            <w:r>
              <w:rPr/>
              <w:t>Base container images</w:t>
            </w:r>
          </w:p>
        </w:tc>
        <w:tc>
          <w:tcPr>
            <w:tcW w:w="6618" w:type="dxa"/>
            <w:tcBorders/>
            <w:vAlign w:val="center"/>
          </w:tcPr>
          <w:p>
            <w:pPr>
              <w:pStyle w:val="TableContents"/>
              <w:bidi w:val="0"/>
              <w:spacing w:before="0" w:after="283"/>
              <w:jc w:val="left"/>
              <w:rPr/>
            </w:pPr>
            <w:r>
              <w:rPr>
                <w:rStyle w:val="SourceText"/>
              </w:rPr>
              <w:t>nvcr.io/nvidia/pytorch:25.01-py3</w:t>
            </w:r>
            <w:r>
              <w:rPr/>
              <w:t xml:space="preserve">, </w:t>
            </w:r>
            <w:r>
              <w:rPr>
                <w:rStyle w:val="SourceText"/>
              </w:rPr>
              <w:t>ollama/ollama:latest</w:t>
            </w:r>
            <w:r>
              <w:rPr/>
              <w:t xml:space="preserve">, </w:t>
            </w:r>
            <w:r>
              <w:rPr>
                <w:rStyle w:val="SourceText"/>
              </w:rPr>
              <w:t>nginx:1.27-alpine</w:t>
            </w:r>
            <w:r>
              <w:rPr/>
              <w:t xml:space="preserve">, </w:t>
            </w:r>
            <w:r>
              <w:rPr>
                <w:rStyle w:val="SourceText"/>
              </w:rPr>
              <w:t>node:20-alpine</w:t>
            </w:r>
            <w:r>
              <w:rPr/>
              <w:t xml:space="preserve">, </w:t>
            </w:r>
            <w:r>
              <w:rPr>
                <w:rStyle w:val="SourceText"/>
              </w:rPr>
              <w:t>cloudflare/cloudflared:latest</w:t>
            </w:r>
          </w:p>
        </w:tc>
      </w:tr>
      <w:tr>
        <w:trPr/>
        <w:tc>
          <w:tcPr>
            <w:tcW w:w="1501" w:type="dxa"/>
            <w:tcBorders/>
            <w:vAlign w:val="center"/>
          </w:tcPr>
          <w:p>
            <w:pPr>
              <w:pStyle w:val="TableContents"/>
              <w:bidi w:val="0"/>
              <w:spacing w:before="0" w:after="283"/>
              <w:jc w:val="left"/>
              <w:rPr/>
            </w:pPr>
            <w:r>
              <w:rPr/>
              <w:t>Python packages</w:t>
            </w:r>
          </w:p>
        </w:tc>
        <w:tc>
          <w:tcPr>
            <w:tcW w:w="6618" w:type="dxa"/>
            <w:tcBorders/>
            <w:vAlign w:val="center"/>
          </w:tcPr>
          <w:p>
            <w:pPr>
              <w:pStyle w:val="TableContents"/>
              <w:bidi w:val="0"/>
              <w:spacing w:before="0" w:after="283"/>
              <w:jc w:val="left"/>
              <w:rPr/>
            </w:pPr>
            <w:r>
              <w:rPr>
                <w:rStyle w:val="SourceText"/>
              </w:rPr>
              <w:t>backend/requirements.txt</w:t>
            </w:r>
            <w:r>
              <w:rPr/>
              <w:t xml:space="preserve">, </w:t>
            </w:r>
            <w:r>
              <w:rPr>
                <w:rStyle w:val="SourceText"/>
              </w:rPr>
              <w:t>voice/requirements.txt</w:t>
            </w:r>
            <w:r>
              <w:rPr/>
              <w:t xml:space="preserve">, plus direct </w:t>
            </w:r>
            <w:r>
              <w:rPr>
                <w:rStyle w:val="SourceText"/>
              </w:rPr>
              <w:t>pip install</w:t>
            </w:r>
            <w:r>
              <w:rPr/>
              <w:t xml:space="preserve"> lines in both Dockerfiles</w:t>
            </w:r>
          </w:p>
        </w:tc>
      </w:tr>
      <w:tr>
        <w:trPr/>
        <w:tc>
          <w:tcPr>
            <w:tcW w:w="1501" w:type="dxa"/>
            <w:tcBorders/>
            <w:vAlign w:val="center"/>
          </w:tcPr>
          <w:p>
            <w:pPr>
              <w:pStyle w:val="TableContents"/>
              <w:bidi w:val="0"/>
              <w:spacing w:before="0" w:after="283"/>
              <w:jc w:val="left"/>
              <w:rPr/>
            </w:pPr>
            <w:r>
              <w:rPr/>
              <w:t>npm packages</w:t>
            </w:r>
          </w:p>
        </w:tc>
        <w:tc>
          <w:tcPr>
            <w:tcW w:w="6618" w:type="dxa"/>
            <w:tcBorders/>
            <w:vAlign w:val="center"/>
          </w:tcPr>
          <w:p>
            <w:pPr>
              <w:pStyle w:val="TableContents"/>
              <w:bidi w:val="0"/>
              <w:spacing w:before="0" w:after="283"/>
              <w:jc w:val="left"/>
              <w:rPr/>
            </w:pPr>
            <w:r>
              <w:rPr>
                <w:rStyle w:val="SourceText"/>
              </w:rPr>
              <w:t>frontend/package.json</w:t>
            </w:r>
            <w:r>
              <w:rPr/>
              <w:t xml:space="preserve"> with </w:t>
            </w:r>
            <w:r>
              <w:rPr>
                <w:rStyle w:val="SourceText"/>
              </w:rPr>
              <w:t>package-lock.json</w:t>
            </w:r>
          </w:p>
        </w:tc>
      </w:tr>
      <w:tr>
        <w:trPr/>
        <w:tc>
          <w:tcPr>
            <w:tcW w:w="1501" w:type="dxa"/>
            <w:tcBorders/>
            <w:vAlign w:val="center"/>
          </w:tcPr>
          <w:p>
            <w:pPr>
              <w:pStyle w:val="TableContents"/>
              <w:bidi w:val="0"/>
              <w:spacing w:before="0" w:after="283"/>
              <w:jc w:val="left"/>
              <w:rPr/>
            </w:pPr>
            <w:r>
              <w:rPr/>
              <w:t>An APT mirror</w:t>
            </w:r>
          </w:p>
        </w:tc>
        <w:tc>
          <w:tcPr>
            <w:tcW w:w="6618" w:type="dxa"/>
            <w:tcBorders/>
            <w:vAlign w:val="center"/>
          </w:tcPr>
          <w:p>
            <w:pPr>
              <w:pStyle w:val="TableContents"/>
              <w:bidi w:val="0"/>
              <w:spacing w:before="0" w:after="283"/>
              <w:jc w:val="left"/>
              <w:rPr/>
            </w:pPr>
            <w:r>
              <w:rPr>
                <w:rStyle w:val="SourceText"/>
              </w:rPr>
              <w:t>mirrors.mit.edu</w:t>
            </w:r>
            <w:r>
              <w:rPr/>
              <w:t xml:space="preserve">, substituted for </w:t>
            </w:r>
            <w:r>
              <w:rPr>
                <w:rStyle w:val="SourceText"/>
              </w:rPr>
              <w:t>ports.ubuntu.com</w:t>
            </w:r>
            <w:r>
              <w:rPr/>
              <w:t xml:space="preserve"> at image build</w:t>
            </w:r>
          </w:p>
        </w:tc>
      </w:tr>
      <w:tr>
        <w:trPr/>
        <w:tc>
          <w:tcPr>
            <w:tcW w:w="1501" w:type="dxa"/>
            <w:tcBorders/>
            <w:vAlign w:val="center"/>
          </w:tcPr>
          <w:p>
            <w:pPr>
              <w:pStyle w:val="TableContents"/>
              <w:bidi w:val="0"/>
              <w:spacing w:before="0" w:after="283"/>
              <w:jc w:val="left"/>
              <w:rPr/>
            </w:pPr>
            <w:r>
              <w:rPr/>
              <w:t>Infrastructure services</w:t>
            </w:r>
          </w:p>
        </w:tc>
        <w:tc>
          <w:tcPr>
            <w:tcW w:w="6618" w:type="dxa"/>
            <w:tcBorders/>
            <w:vAlign w:val="center"/>
          </w:tcPr>
          <w:p>
            <w:pPr>
              <w:pStyle w:val="TableContents"/>
              <w:bidi w:val="0"/>
              <w:spacing w:before="0" w:after="283"/>
              <w:jc w:val="left"/>
              <w:rPr/>
            </w:pPr>
            <w:r>
              <w:rPr/>
              <w:t>Cloudflare (Tunnel and Access), Hugging Face Hub, GitHub, the Ollama registry, NVIDIA NGC, Docker Hub, Let's Encrypt (optional TLS)</w:t>
            </w:r>
          </w:p>
        </w:tc>
      </w:tr>
    </w:tbl>
    <w:p>
      <w:pPr>
        <w:pStyle w:val="BodyText"/>
        <w:bidi w:val="0"/>
        <w:jc w:val="left"/>
        <w:rPr/>
      </w:pPr>
      <w:r>
        <w:rPr/>
        <w:t>It does not cover commercial procurement of hardware. Ajace AI does not sell hardware; it advises customers on hardware and hosting choices, and that advice is an engagement activity rather than an external provision to this product.</w:t>
      </w:r>
    </w:p>
    <w:p>
      <w:pPr>
        <w:pStyle w:val="Heading2"/>
        <w:bidi w:val="0"/>
        <w:jc w:val="left"/>
        <w:rPr/>
      </w:pPr>
      <w:r>
        <w:rPr/>
        <w:t>3. Responsibilities</w:t>
      </w:r>
    </w:p>
    <w:tbl>
      <w:tblPr>
        <w:tblW w:w="8119" w:type="dxa"/>
        <w:jc w:val="left"/>
        <w:tblInd w:w="0" w:type="dxa"/>
        <w:tblLayout w:type="fixed"/>
        <w:tblCellMar>
          <w:top w:w="28" w:type="dxa"/>
          <w:left w:w="28" w:type="dxa"/>
          <w:bottom w:w="28" w:type="dxa"/>
          <w:right w:w="28" w:type="dxa"/>
        </w:tblCellMar>
      </w:tblPr>
      <w:tblGrid>
        <w:gridCol w:w="1405"/>
        <w:gridCol w:w="6714"/>
      </w:tblGrid>
      <w:tr>
        <w:trPr>
          <w:tblHeader w:val="true"/>
        </w:trPr>
        <w:tc>
          <w:tcPr>
            <w:tcW w:w="1405" w:type="dxa"/>
            <w:tcBorders/>
            <w:vAlign w:val="center"/>
          </w:tcPr>
          <w:p>
            <w:pPr>
              <w:pStyle w:val="TableHeading"/>
              <w:suppressLineNumbers/>
              <w:shd w:fill="1F3A5F" w:val="clear"/>
              <w:bidi w:val="0"/>
              <w:spacing w:before="0" w:after="283"/>
              <w:jc w:val="center"/>
              <w:rPr/>
            </w:pPr>
            <w:r>
              <w:rPr/>
              <w:t>Role</w:t>
            </w:r>
          </w:p>
        </w:tc>
        <w:tc>
          <w:tcPr>
            <w:tcW w:w="6714" w:type="dxa"/>
            <w:tcBorders/>
            <w:vAlign w:val="center"/>
          </w:tcPr>
          <w:p>
            <w:pPr>
              <w:pStyle w:val="TableHeading"/>
              <w:suppressLineNumbers/>
              <w:shd w:fill="1F3A5F" w:val="clear"/>
              <w:bidi w:val="0"/>
              <w:spacing w:before="0" w:after="283"/>
              <w:jc w:val="center"/>
              <w:rPr/>
            </w:pPr>
            <w:r>
              <w:rPr/>
              <w:t>Responsibility</w:t>
            </w:r>
          </w:p>
        </w:tc>
      </w:tr>
      <w:tr>
        <w:trPr/>
        <w:tc>
          <w:tcPr>
            <w:tcW w:w="1405" w:type="dxa"/>
            <w:tcBorders/>
            <w:vAlign w:val="center"/>
          </w:tcPr>
          <w:p>
            <w:pPr>
              <w:pStyle w:val="TableContents"/>
              <w:bidi w:val="0"/>
              <w:spacing w:before="0" w:after="283"/>
              <w:jc w:val="left"/>
              <w:rPr/>
            </w:pPr>
            <w:r>
              <w:rPr/>
              <w:t>Engineering Lead</w:t>
            </w:r>
          </w:p>
        </w:tc>
        <w:tc>
          <w:tcPr>
            <w:tcW w:w="6714" w:type="dxa"/>
            <w:tcBorders/>
            <w:vAlign w:val="center"/>
          </w:tcPr>
          <w:p>
            <w:pPr>
              <w:pStyle w:val="TableContents"/>
              <w:bidi w:val="0"/>
              <w:spacing w:before="0" w:after="283"/>
              <w:jc w:val="left"/>
              <w:rPr/>
            </w:pPr>
            <w:r>
              <w:rPr/>
              <w:t>Selects and evaluates providers; owns the pinning and offline-caching controls; approves any new external dependency</w:t>
            </w:r>
          </w:p>
        </w:tc>
      </w:tr>
      <w:tr>
        <w:trPr/>
        <w:tc>
          <w:tcPr>
            <w:tcW w:w="1405" w:type="dxa"/>
            <w:tcBorders/>
            <w:vAlign w:val="center"/>
          </w:tcPr>
          <w:p>
            <w:pPr>
              <w:pStyle w:val="TableContents"/>
              <w:bidi w:val="0"/>
              <w:spacing w:before="0" w:after="283"/>
              <w:jc w:val="left"/>
              <w:rPr/>
            </w:pPr>
            <w:r>
              <w:rPr/>
              <w:t>Developer</w:t>
            </w:r>
          </w:p>
        </w:tc>
        <w:tc>
          <w:tcPr>
            <w:tcW w:w="6714" w:type="dxa"/>
            <w:tcBorders/>
            <w:vAlign w:val="center"/>
          </w:tcPr>
          <w:p>
            <w:pPr>
              <w:pStyle w:val="TableContents"/>
              <w:bidi w:val="0"/>
              <w:spacing w:before="0" w:after="283"/>
              <w:jc w:val="left"/>
              <w:rPr/>
            </w:pPr>
            <w:r>
              <w:rPr/>
              <w:t>Applies the controls in §5 when adding or upgrading a dependency; records the reason in the commit body</w:t>
            </w:r>
          </w:p>
        </w:tc>
      </w:tr>
      <w:tr>
        <w:trPr/>
        <w:tc>
          <w:tcPr>
            <w:tcW w:w="1405" w:type="dxa"/>
            <w:tcBorders/>
            <w:vAlign w:val="center"/>
          </w:tcPr>
          <w:p>
            <w:pPr>
              <w:pStyle w:val="TableContents"/>
              <w:bidi w:val="0"/>
              <w:spacing w:before="0" w:after="283"/>
              <w:jc w:val="left"/>
              <w:rPr/>
            </w:pPr>
            <w:r>
              <w:rPr/>
              <w:t>Managing Director</w:t>
            </w:r>
          </w:p>
        </w:tc>
        <w:tc>
          <w:tcPr>
            <w:tcW w:w="6714" w:type="dxa"/>
            <w:tcBorders/>
            <w:vAlign w:val="center"/>
          </w:tcPr>
          <w:p>
            <w:pPr>
              <w:pStyle w:val="TableContents"/>
              <w:bidi w:val="0"/>
              <w:spacing w:before="0" w:after="283"/>
              <w:jc w:val="left"/>
              <w:rPr/>
            </w:pPr>
            <w:r>
              <w:rPr/>
              <w:t>Accountable for licence compliance and for any commitment made to a customer about model provenance</w:t>
            </w:r>
          </w:p>
        </w:tc>
      </w:tr>
    </w:tbl>
    <w:p>
      <w:pPr>
        <w:pStyle w:val="Heading2"/>
        <w:bidi w:val="0"/>
        <w:jc w:val="left"/>
        <w:rPr/>
      </w:pPr>
      <w:r>
        <w:rPr/>
        <w:t>4. Why supplier control looks different for an offline product</w:t>
      </w:r>
    </w:p>
    <w:p>
      <w:pPr>
        <w:pStyle w:val="BodyText"/>
        <w:bidi w:val="0"/>
        <w:jc w:val="left"/>
        <w:rPr/>
      </w:pPr>
      <w:r>
        <w:rPr/>
        <w:t>EchoMind Enterprise runs with no outbound network access. Every model weight, package and binary that the running system needs must already be inside an image or a named volume before the customer starts it. That inverts the usual supply-chain picture in two ways.</w:t>
      </w:r>
    </w:p>
    <w:p>
      <w:pPr>
        <w:pStyle w:val="BodyText"/>
        <w:numPr>
          <w:ilvl w:val="0"/>
          <w:numId w:val="1"/>
        </w:numPr>
        <w:tabs>
          <w:tab w:val="clear" w:pos="1134"/>
          <w:tab w:val="left" w:pos="709" w:leader="none"/>
        </w:tabs>
        <w:bidi w:val="0"/>
        <w:spacing w:before="0" w:after="0"/>
        <w:ind w:hanging="283" w:left="709"/>
        <w:jc w:val="left"/>
        <w:rPr/>
      </w:pPr>
      <w:r>
        <w:rPr>
          <w:rStyle w:val="Strong"/>
        </w:rPr>
        <w:t>Pre-caching is the control.</w:t>
      </w:r>
      <w:r>
        <w:rPr/>
        <w:t xml:space="preserve"> Baking model weights into images at build (</w:t>
      </w:r>
      <w:r>
        <w:rPr>
          <w:rStyle w:val="SourceText"/>
        </w:rPr>
        <w:t>backend/Dockerfile:42</w:t>
      </w:r>
      <w:r>
        <w:rPr/>
        <w:t xml:space="preserve">, </w:t>
      </w:r>
      <w:r>
        <w:rPr>
          <w:rStyle w:val="SourceText"/>
        </w:rPr>
        <w:t>voice/Dockerfile:44</w:t>
      </w:r>
      <w:r>
        <w:rPr/>
        <w:t xml:space="preserve">, </w:t>
      </w:r>
      <w:r>
        <w:rPr>
          <w:rStyle w:val="SourceText"/>
        </w:rPr>
        <w:t>:50</w:t>
      </w:r>
      <w:r>
        <w:rPr/>
        <w:t xml:space="preserve">, </w:t>
      </w:r>
      <w:r>
        <w:rPr>
          <w:rStyle w:val="SourceText"/>
        </w:rPr>
        <w:t>:62-63</w:t>
      </w:r>
      <w:r>
        <w:rPr/>
        <w:t xml:space="preserve">, </w:t>
      </w:r>
      <w:r>
        <w:rPr>
          <w:rStyle w:val="SourceText"/>
        </w:rPr>
        <w:t>:66-74</w:t>
      </w:r>
      <w:r>
        <w:rPr/>
        <w:t xml:space="preserve">) and populating the </w:t>
      </w:r>
      <w:r>
        <w:rPr>
          <w:rStyle w:val="SourceText"/>
        </w:rPr>
        <w:t>trtllm_hf_cache</w:t>
      </w:r>
      <w:r>
        <w:rPr/>
        <w:t xml:space="preserve"> and </w:t>
      </w:r>
      <w:r>
        <w:rPr>
          <w:rStyle w:val="SourceText"/>
        </w:rPr>
        <w:t>ollama_data</w:t>
      </w:r>
      <w:r>
        <w:rPr/>
        <w:t xml:space="preserve"> volumes once via </w:t>
      </w:r>
      <w:r>
        <w:rPr>
          <w:rStyle w:val="SourceText"/>
        </w:rPr>
        <w:t>scripts/prepare_offline.sh</w:t>
      </w:r>
      <w:r>
        <w:rPr/>
        <w:t xml:space="preserve"> means the deployed system has no runtime dependency on any provider. A provider that deletes a model, changes its licence or goes offline cannot break a running customer instance. </w:t>
      </w:r>
      <w:r>
        <w:rPr>
          <w:rStyle w:val="SourceText"/>
        </w:rPr>
        <w:t>HF_HUB_OFFLINE=1</w:t>
      </w:r>
      <w:r>
        <w:rPr/>
        <w:t xml:space="preserve"> and </w:t>
      </w:r>
      <w:r>
        <w:rPr>
          <w:rStyle w:val="SourceText"/>
        </w:rPr>
        <w:t>OLLAMA_OFFLINE=1</w:t>
      </w:r>
      <w:r>
        <w:rPr/>
        <w:t xml:space="preserve"> are set in </w:t>
      </w:r>
      <w:r>
        <w:rPr>
          <w:rStyle w:val="SourceText"/>
        </w:rPr>
        <w:t>docker-compose.yml:27</w:t>
      </w:r>
      <w:r>
        <w:rPr/>
        <w:t xml:space="preserve"> and </w:t>
      </w:r>
      <w:r>
        <w:rPr>
          <w:rStyle w:val="SourceText"/>
        </w:rPr>
        <w:t>:245</w:t>
      </w:r>
      <w:r>
        <w:rPr/>
        <w:t xml:space="preserve"> to guarantee this. </w:t>
      </w:r>
    </w:p>
    <w:p>
      <w:pPr>
        <w:pStyle w:val="BodyText"/>
        <w:numPr>
          <w:ilvl w:val="0"/>
          <w:numId w:val="1"/>
        </w:numPr>
        <w:tabs>
          <w:tab w:val="clear" w:pos="1134"/>
          <w:tab w:val="left" w:pos="709" w:leader="none"/>
        </w:tabs>
        <w:bidi w:val="0"/>
        <w:ind w:hanging="283" w:left="709"/>
        <w:jc w:val="left"/>
        <w:rPr/>
      </w:pPr>
      <w:r>
        <w:rPr>
          <w:rStyle w:val="Strong"/>
        </w:rPr>
        <w:t>All the supplier risk moves to build time.</w:t>
      </w:r>
      <w:r>
        <w:rPr/>
        <w:t xml:space="preserve"> The moment of exposure is the build, not the run. Anything unpinned at build time is a live dependency on whatever the provider is serving that day. An unpinned </w:t>
      </w:r>
      <w:r>
        <w:rPr>
          <w:rStyle w:val="SourceText"/>
        </w:rPr>
        <w:t>:latest</w:t>
      </w:r>
      <w:r>
        <w:rPr/>
        <w:t xml:space="preserve"> base image therefore undermines the whole arrangement: it means two builds of the "same" commit can produce two different products, and neither can be reproduced. </w:t>
      </w:r>
    </w:p>
    <w:p>
      <w:pPr>
        <w:pStyle w:val="Heading2"/>
        <w:bidi w:val="0"/>
        <w:jc w:val="left"/>
        <w:rPr/>
      </w:pPr>
      <w:r>
        <w:rPr/>
        <w:t>5. Controls by provision type</w:t>
      </w:r>
    </w:p>
    <w:tbl>
      <w:tblPr>
        <w:tblW w:w="8119" w:type="dxa"/>
        <w:jc w:val="left"/>
        <w:tblInd w:w="0" w:type="dxa"/>
        <w:tblLayout w:type="fixed"/>
        <w:tblCellMar>
          <w:top w:w="28" w:type="dxa"/>
          <w:left w:w="28" w:type="dxa"/>
          <w:bottom w:w="28" w:type="dxa"/>
          <w:right w:w="28" w:type="dxa"/>
        </w:tblCellMar>
      </w:tblPr>
      <w:tblGrid>
        <w:gridCol w:w="1270"/>
        <w:gridCol w:w="2195"/>
        <w:gridCol w:w="4654"/>
      </w:tblGrid>
      <w:tr>
        <w:trPr>
          <w:tblHeader w:val="true"/>
        </w:trPr>
        <w:tc>
          <w:tcPr>
            <w:tcW w:w="1270" w:type="dxa"/>
            <w:tcBorders/>
            <w:vAlign w:val="center"/>
          </w:tcPr>
          <w:p>
            <w:pPr>
              <w:pStyle w:val="TableHeading"/>
              <w:suppressLineNumbers/>
              <w:shd w:fill="1F3A5F" w:val="clear"/>
              <w:bidi w:val="0"/>
              <w:spacing w:before="0" w:after="283"/>
              <w:jc w:val="center"/>
              <w:rPr/>
            </w:pPr>
            <w:r>
              <w:rPr/>
              <w:t>Provision type</w:t>
            </w:r>
          </w:p>
        </w:tc>
        <w:tc>
          <w:tcPr>
            <w:tcW w:w="2195" w:type="dxa"/>
            <w:tcBorders/>
            <w:vAlign w:val="center"/>
          </w:tcPr>
          <w:p>
            <w:pPr>
              <w:pStyle w:val="TableHeading"/>
              <w:suppressLineNumbers/>
              <w:shd w:fill="1F3A5F" w:val="clear"/>
              <w:bidi w:val="0"/>
              <w:spacing w:before="0" w:after="283"/>
              <w:jc w:val="center"/>
              <w:rPr/>
            </w:pPr>
            <w:r>
              <w:rPr/>
              <w:t>Control required</w:t>
            </w:r>
          </w:p>
        </w:tc>
        <w:tc>
          <w:tcPr>
            <w:tcW w:w="4654" w:type="dxa"/>
            <w:tcBorders/>
            <w:vAlign w:val="center"/>
          </w:tcPr>
          <w:p>
            <w:pPr>
              <w:pStyle w:val="TableHeading"/>
              <w:suppressLineNumbers/>
              <w:shd w:fill="1F3A5F" w:val="clear"/>
              <w:bidi w:val="0"/>
              <w:spacing w:before="0" w:after="283"/>
              <w:jc w:val="center"/>
              <w:rPr/>
            </w:pPr>
            <w:r>
              <w:rPr/>
              <w:t>Present state</w:t>
            </w:r>
          </w:p>
        </w:tc>
      </w:tr>
      <w:tr>
        <w:trPr/>
        <w:tc>
          <w:tcPr>
            <w:tcW w:w="1270" w:type="dxa"/>
            <w:tcBorders/>
            <w:vAlign w:val="center"/>
          </w:tcPr>
          <w:p>
            <w:pPr>
              <w:pStyle w:val="TableContents"/>
              <w:bidi w:val="0"/>
              <w:spacing w:before="0" w:after="283"/>
              <w:jc w:val="left"/>
              <w:rPr/>
            </w:pPr>
            <w:r>
              <w:rPr/>
              <w:t>Model weights</w:t>
            </w:r>
          </w:p>
        </w:tc>
        <w:tc>
          <w:tcPr>
            <w:tcW w:w="2195" w:type="dxa"/>
            <w:tcBorders/>
            <w:vAlign w:val="center"/>
          </w:tcPr>
          <w:p>
            <w:pPr>
              <w:pStyle w:val="TableContents"/>
              <w:bidi w:val="0"/>
              <w:spacing w:before="0" w:after="283"/>
              <w:jc w:val="left"/>
              <w:rPr/>
            </w:pPr>
            <w:r>
              <w:rPr/>
              <w:t>Pinned model identifier; pre-downloaded into an image or volume; licence reviewed and recorded; model card retained</w:t>
            </w:r>
          </w:p>
        </w:tc>
        <w:tc>
          <w:tcPr>
            <w:tcW w:w="4654" w:type="dxa"/>
            <w:tcBorders/>
            <w:vAlign w:val="center"/>
          </w:tcPr>
          <w:p>
            <w:pPr>
              <w:pStyle w:val="TableContents"/>
              <w:bidi w:val="0"/>
              <w:spacing w:before="0" w:after="283"/>
              <w:jc w:val="left"/>
              <w:rPr/>
            </w:pPr>
            <w:r>
              <w:rPr/>
              <w:t xml:space="preserve">Identifiers are pinned and pre-caching is in place, except the reranker (§6). </w:t>
            </w:r>
            <w:r>
              <w:rPr>
                <w:rStyle w:val="Strong"/>
              </w:rPr>
              <w:t>Licence review is not performed</w:t>
            </w:r>
            <w:r>
              <w:rPr/>
              <w:t xml:space="preserve"> (§8)</w:t>
            </w:r>
          </w:p>
        </w:tc>
      </w:tr>
      <w:tr>
        <w:trPr/>
        <w:tc>
          <w:tcPr>
            <w:tcW w:w="1270" w:type="dxa"/>
            <w:tcBorders/>
            <w:vAlign w:val="center"/>
          </w:tcPr>
          <w:p>
            <w:pPr>
              <w:pStyle w:val="TableContents"/>
              <w:bidi w:val="0"/>
              <w:spacing w:before="0" w:after="283"/>
              <w:jc w:val="left"/>
              <w:rPr/>
            </w:pPr>
            <w:r>
              <w:rPr/>
              <w:t>Base container images</w:t>
            </w:r>
          </w:p>
        </w:tc>
        <w:tc>
          <w:tcPr>
            <w:tcW w:w="2195" w:type="dxa"/>
            <w:tcBorders/>
            <w:vAlign w:val="center"/>
          </w:tcPr>
          <w:p>
            <w:pPr>
              <w:pStyle w:val="TableContents"/>
              <w:bidi w:val="0"/>
              <w:spacing w:before="0" w:after="283"/>
              <w:jc w:val="left"/>
              <w:rPr/>
            </w:pPr>
            <w:r>
              <w:rPr/>
              <w:t>Pinned to an immutable tag or digest</w:t>
            </w:r>
          </w:p>
        </w:tc>
        <w:tc>
          <w:tcPr>
            <w:tcW w:w="4654" w:type="dxa"/>
            <w:tcBorders/>
            <w:vAlign w:val="center"/>
          </w:tcPr>
          <w:p>
            <w:pPr>
              <w:pStyle w:val="TableContents"/>
              <w:bidi w:val="0"/>
              <w:spacing w:before="0" w:after="283"/>
              <w:jc w:val="left"/>
              <w:rPr/>
            </w:pPr>
            <w:r>
              <w:rPr/>
              <w:t xml:space="preserve">Partial. </w:t>
            </w:r>
            <w:r>
              <w:rPr>
                <w:rStyle w:val="SourceText"/>
              </w:rPr>
              <w:t>nvcr.io/nvidia/pytorch:25.01-py3</w:t>
            </w:r>
            <w:r>
              <w:rPr/>
              <w:t xml:space="preserve">, </w:t>
            </w:r>
            <w:r>
              <w:rPr>
                <w:rStyle w:val="SourceText"/>
              </w:rPr>
              <w:t>nginx:1.27-alpine</w:t>
            </w:r>
            <w:r>
              <w:rPr/>
              <w:t xml:space="preserve"> and </w:t>
            </w:r>
            <w:r>
              <w:rPr>
                <w:rStyle w:val="SourceText"/>
              </w:rPr>
              <w:t>node:20-alpine</w:t>
            </w:r>
            <w:r>
              <w:rPr/>
              <w:t xml:space="preserve"> are pinned; </w:t>
            </w:r>
            <w:r>
              <w:rPr>
                <w:rStyle w:val="SourceText"/>
              </w:rPr>
              <w:t>ollama/ollama:latest</w:t>
            </w:r>
            <w:r>
              <w:rPr/>
              <w:t xml:space="preserve"> (</w:t>
            </w:r>
            <w:r>
              <w:rPr>
                <w:rStyle w:val="SourceText"/>
              </w:rPr>
              <w:t>docker/ollama/Dockerfile:2</w:t>
            </w:r>
            <w:r>
              <w:rPr/>
              <w:t xml:space="preserve">) and </w:t>
            </w:r>
            <w:r>
              <w:rPr>
                <w:rStyle w:val="SourceText"/>
              </w:rPr>
              <w:t>cloudflare/cloudflared:latest</w:t>
            </w:r>
            <w:r>
              <w:rPr/>
              <w:t xml:space="preserve"> (</w:t>
            </w:r>
            <w:r>
              <w:rPr>
                <w:rStyle w:val="SourceText"/>
              </w:rPr>
              <w:t>docker-compose.yml:224</w:t>
            </w:r>
            <w:r>
              <w:rPr/>
              <w:t>) are not</w:t>
            </w:r>
          </w:p>
        </w:tc>
      </w:tr>
      <w:tr>
        <w:trPr/>
        <w:tc>
          <w:tcPr>
            <w:tcW w:w="1270" w:type="dxa"/>
            <w:tcBorders/>
            <w:vAlign w:val="center"/>
          </w:tcPr>
          <w:p>
            <w:pPr>
              <w:pStyle w:val="TableContents"/>
              <w:bidi w:val="0"/>
              <w:spacing w:before="0" w:after="283"/>
              <w:jc w:val="left"/>
              <w:rPr/>
            </w:pPr>
            <w:r>
              <w:rPr/>
              <w:t>Python packages</w:t>
            </w:r>
          </w:p>
        </w:tc>
        <w:tc>
          <w:tcPr>
            <w:tcW w:w="2195" w:type="dxa"/>
            <w:tcBorders/>
            <w:vAlign w:val="center"/>
          </w:tcPr>
          <w:p>
            <w:pPr>
              <w:pStyle w:val="TableContents"/>
              <w:bidi w:val="0"/>
              <w:spacing w:before="0" w:after="283"/>
              <w:jc w:val="left"/>
              <w:rPr/>
            </w:pPr>
            <w:r>
              <w:rPr/>
              <w:t>Exact version pins; upper bounds on any range</w:t>
            </w:r>
          </w:p>
        </w:tc>
        <w:tc>
          <w:tcPr>
            <w:tcW w:w="4654" w:type="dxa"/>
            <w:tcBorders/>
            <w:vAlign w:val="center"/>
          </w:tcPr>
          <w:p>
            <w:pPr>
              <w:pStyle w:val="TableContents"/>
              <w:bidi w:val="0"/>
              <w:spacing w:before="0" w:after="283"/>
              <w:jc w:val="left"/>
              <w:rPr/>
            </w:pPr>
            <w:r>
              <w:rPr/>
              <w:t>Partial — see §7</w:t>
            </w:r>
          </w:p>
        </w:tc>
      </w:tr>
      <w:tr>
        <w:trPr/>
        <w:tc>
          <w:tcPr>
            <w:tcW w:w="1270" w:type="dxa"/>
            <w:tcBorders/>
            <w:vAlign w:val="center"/>
          </w:tcPr>
          <w:p>
            <w:pPr>
              <w:pStyle w:val="TableContents"/>
              <w:bidi w:val="0"/>
              <w:spacing w:before="0" w:after="283"/>
              <w:jc w:val="left"/>
              <w:rPr/>
            </w:pPr>
            <w:r>
              <w:rPr/>
              <w:t>npm packages</w:t>
            </w:r>
          </w:p>
        </w:tc>
        <w:tc>
          <w:tcPr>
            <w:tcW w:w="2195" w:type="dxa"/>
            <w:tcBorders/>
            <w:vAlign w:val="center"/>
          </w:tcPr>
          <w:p>
            <w:pPr>
              <w:pStyle w:val="TableContents"/>
              <w:bidi w:val="0"/>
              <w:spacing w:before="0" w:after="283"/>
              <w:jc w:val="left"/>
              <w:rPr/>
            </w:pPr>
            <w:r>
              <w:rPr/>
              <w:t xml:space="preserve">Exact versions, or caret ranges with a committed lockfile and </w:t>
            </w:r>
            <w:r>
              <w:rPr>
                <w:rStyle w:val="SourceText"/>
              </w:rPr>
              <w:t>npm ci</w:t>
            </w:r>
          </w:p>
        </w:tc>
        <w:tc>
          <w:tcPr>
            <w:tcW w:w="4654" w:type="dxa"/>
            <w:tcBorders/>
            <w:vAlign w:val="center"/>
          </w:tcPr>
          <w:p>
            <w:pPr>
              <w:pStyle w:val="TableContents"/>
              <w:bidi w:val="0"/>
              <w:spacing w:before="0" w:after="283"/>
              <w:jc w:val="left"/>
              <w:rPr/>
            </w:pPr>
            <w:r>
              <w:rPr/>
              <w:t xml:space="preserve">All dependencies in </w:t>
            </w:r>
            <w:r>
              <w:rPr>
                <w:rStyle w:val="SourceText"/>
              </w:rPr>
              <w:t>frontend/package.json</w:t>
            </w:r>
            <w:r>
              <w:rPr/>
              <w:t xml:space="preserve"> are caret-ranged; reproducibility rests entirely on </w:t>
            </w:r>
            <w:r>
              <w:rPr>
                <w:rStyle w:val="SourceText"/>
              </w:rPr>
              <w:t>package-lock.json</w:t>
            </w:r>
            <w:r>
              <w:rPr/>
              <w:t xml:space="preserve"> and the </w:t>
            </w:r>
            <w:r>
              <w:rPr>
                <w:rStyle w:val="SourceText"/>
              </w:rPr>
              <w:t>npm ci</w:t>
            </w:r>
            <w:r>
              <w:rPr/>
              <w:t xml:space="preserve"> in </w:t>
            </w:r>
            <w:r>
              <w:rPr>
                <w:rStyle w:val="SourceText"/>
              </w:rPr>
              <w:t>frontend/Dockerfile:4</w:t>
            </w:r>
          </w:p>
        </w:tc>
      </w:tr>
      <w:tr>
        <w:trPr/>
        <w:tc>
          <w:tcPr>
            <w:tcW w:w="1270" w:type="dxa"/>
            <w:tcBorders/>
            <w:vAlign w:val="center"/>
          </w:tcPr>
          <w:p>
            <w:pPr>
              <w:pStyle w:val="TableContents"/>
              <w:bidi w:val="0"/>
              <w:spacing w:before="0" w:after="283"/>
              <w:jc w:val="left"/>
              <w:rPr/>
            </w:pPr>
            <w:r>
              <w:rPr/>
              <w:t>APT mirror</w:t>
            </w:r>
          </w:p>
        </w:tc>
        <w:tc>
          <w:tcPr>
            <w:tcW w:w="2195" w:type="dxa"/>
            <w:tcBorders/>
            <w:vAlign w:val="center"/>
          </w:tcPr>
          <w:p>
            <w:pPr>
              <w:pStyle w:val="TableContents"/>
              <w:bidi w:val="0"/>
              <w:spacing w:before="0" w:after="283"/>
              <w:jc w:val="left"/>
              <w:rPr/>
            </w:pPr>
            <w:r>
              <w:rPr/>
              <w:t>Identified as a supplier; documented; fallback available</w:t>
            </w:r>
          </w:p>
        </w:tc>
        <w:tc>
          <w:tcPr>
            <w:tcW w:w="4654" w:type="dxa"/>
            <w:tcBorders/>
            <w:vAlign w:val="center"/>
          </w:tcPr>
          <w:p>
            <w:pPr>
              <w:pStyle w:val="TableContents"/>
              <w:bidi w:val="0"/>
              <w:spacing w:before="0" w:after="283"/>
              <w:jc w:val="left"/>
              <w:rPr/>
            </w:pPr>
            <w:r>
              <w:rPr>
                <w:rStyle w:val="Strong"/>
              </w:rPr>
              <w:t>Undocumented before this procedure</w:t>
            </w:r>
            <w:r>
              <w:rPr/>
              <w:t xml:space="preserve"> — see §9</w:t>
            </w:r>
          </w:p>
        </w:tc>
      </w:tr>
      <w:tr>
        <w:trPr/>
        <w:tc>
          <w:tcPr>
            <w:tcW w:w="1270" w:type="dxa"/>
            <w:tcBorders/>
            <w:vAlign w:val="center"/>
          </w:tcPr>
          <w:p>
            <w:pPr>
              <w:pStyle w:val="TableContents"/>
              <w:bidi w:val="0"/>
              <w:spacing w:before="0" w:after="283"/>
              <w:jc w:val="left"/>
              <w:rPr/>
            </w:pPr>
            <w:r>
              <w:rPr/>
              <w:t>Infrastructure services</w:t>
            </w:r>
          </w:p>
        </w:tc>
        <w:tc>
          <w:tcPr>
            <w:tcW w:w="2195" w:type="dxa"/>
            <w:tcBorders/>
            <w:vAlign w:val="center"/>
          </w:tcPr>
          <w:p>
            <w:pPr>
              <w:pStyle w:val="TableContents"/>
              <w:bidi w:val="0"/>
              <w:spacing w:before="0" w:after="283"/>
              <w:jc w:val="left"/>
              <w:rPr/>
            </w:pPr>
            <w:r>
              <w:rPr/>
              <w:t>Understood scope; failure mode known; no customer data exposure</w:t>
            </w:r>
          </w:p>
        </w:tc>
        <w:tc>
          <w:tcPr>
            <w:tcW w:w="4654" w:type="dxa"/>
            <w:tcBorders/>
            <w:vAlign w:val="center"/>
          </w:tcPr>
          <w:p>
            <w:pPr>
              <w:pStyle w:val="TableContents"/>
              <w:bidi w:val="0"/>
              <w:spacing w:before="0" w:after="283"/>
              <w:jc w:val="left"/>
              <w:rPr/>
            </w:pPr>
            <w:r>
              <w:rPr/>
              <w:t>Cloudflare Access is specified to gate the public reference instance but is not currently in front of it (</w:t>
            </w:r>
            <w:r>
              <w:rPr>
                <w:rStyle w:val="SourceText"/>
              </w:rPr>
              <w:t>REG-04</w:t>
            </w:r>
            <w:r>
              <w:rPr/>
              <w:t xml:space="preserve"> NC-2026-009); note </w:t>
            </w:r>
            <w:r>
              <w:rPr>
                <w:rStyle w:val="SourceText"/>
              </w:rPr>
              <w:t>docker-compose.yml:221</w:t>
            </w:r>
            <w:r>
              <w:rPr/>
              <w:t xml:space="preserve"> records that EchoMind itself has no built-in authentication</w:t>
            </w:r>
          </w:p>
        </w:tc>
      </w:tr>
      <w:tr>
        <w:trPr/>
        <w:tc>
          <w:tcPr>
            <w:tcW w:w="1270" w:type="dxa"/>
            <w:tcBorders/>
            <w:vAlign w:val="center"/>
          </w:tcPr>
          <w:p>
            <w:pPr>
              <w:pStyle w:val="TableContents"/>
              <w:bidi w:val="0"/>
              <w:spacing w:before="0" w:after="283"/>
              <w:jc w:val="left"/>
              <w:rPr/>
            </w:pPr>
            <w:r>
              <w:rPr/>
              <w:t>Verification before use</w:t>
            </w:r>
          </w:p>
        </w:tc>
        <w:tc>
          <w:tcPr>
            <w:tcW w:w="2195" w:type="dxa"/>
            <w:tcBorders/>
            <w:vAlign w:val="center"/>
          </w:tcPr>
          <w:p>
            <w:pPr>
              <w:pStyle w:val="TableContents"/>
              <w:bidi w:val="0"/>
              <w:spacing w:before="0" w:after="283"/>
              <w:jc w:val="left"/>
              <w:rPr/>
            </w:pPr>
            <w:r>
              <w:rPr/>
              <w:t>A new or upgraded dependency is verified per SOP-07 §5 before it is relied on, and a from-scratch build must succeed</w:t>
            </w:r>
          </w:p>
        </w:tc>
        <w:tc>
          <w:tcPr>
            <w:tcW w:w="4654" w:type="dxa"/>
            <w:tcBorders/>
            <w:vAlign w:val="center"/>
          </w:tcPr>
          <w:p>
            <w:pPr>
              <w:pStyle w:val="TableContents"/>
              <w:bidi w:val="0"/>
              <w:spacing w:before="0" w:after="283"/>
              <w:jc w:val="left"/>
              <w:rPr/>
            </w:pPr>
            <w:r>
              <w:rPr/>
              <w:t>Practised but not enforced (no CI, SOP-07 §9.1)</w:t>
            </w:r>
          </w:p>
        </w:tc>
      </w:tr>
    </w:tbl>
    <w:p>
      <w:pPr>
        <w:pStyle w:val="Heading2"/>
        <w:bidi w:val="0"/>
        <w:jc w:val="left"/>
        <w:rPr/>
      </w:pPr>
      <w:r>
        <w:rPr/>
        <w:t>6. Current supplier inventory — models</w:t>
      </w:r>
    </w:p>
    <w:p>
      <w:pPr>
        <w:pStyle w:val="BodyText"/>
        <w:bidi w:val="0"/>
        <w:jc w:val="left"/>
        <w:rPr/>
      </w:pPr>
      <w:r>
        <w:rPr/>
        <w:t xml:space="preserve">This table is the model portion of </w:t>
      </w:r>
      <w:r>
        <w:rPr>
          <w:rStyle w:val="SourceText"/>
        </w:rPr>
        <w:t>registers/REG-02_External_Documents_and_Providers.md</w:t>
      </w:r>
      <w:r>
        <w:rPr/>
        <w:t xml:space="preserve"> and is maintained with it.</w:t>
      </w:r>
    </w:p>
    <w:tbl>
      <w:tblPr>
        <w:tblW w:w="8119" w:type="dxa"/>
        <w:jc w:val="left"/>
        <w:tblInd w:w="0" w:type="dxa"/>
        <w:tblLayout w:type="fixed"/>
        <w:tblCellMar>
          <w:top w:w="28" w:type="dxa"/>
          <w:left w:w="28" w:type="dxa"/>
          <w:bottom w:w="28" w:type="dxa"/>
          <w:right w:w="28" w:type="dxa"/>
        </w:tblCellMar>
      </w:tblPr>
      <w:tblGrid>
        <w:gridCol w:w="1111"/>
        <w:gridCol w:w="3241"/>
        <w:gridCol w:w="1996"/>
        <w:gridCol w:w="1771"/>
      </w:tblGrid>
      <w:tr>
        <w:trPr>
          <w:tblHeader w:val="true"/>
        </w:trPr>
        <w:tc>
          <w:tcPr>
            <w:tcW w:w="1111" w:type="dxa"/>
            <w:tcBorders/>
            <w:vAlign w:val="center"/>
          </w:tcPr>
          <w:p>
            <w:pPr>
              <w:pStyle w:val="TableHeading"/>
              <w:suppressLineNumbers/>
              <w:shd w:fill="1F3A5F" w:val="clear"/>
              <w:bidi w:val="0"/>
              <w:spacing w:before="0" w:after="283"/>
              <w:jc w:val="center"/>
              <w:rPr/>
            </w:pPr>
            <w:r>
              <w:rPr/>
              <w:t>Role</w:t>
            </w:r>
          </w:p>
        </w:tc>
        <w:tc>
          <w:tcPr>
            <w:tcW w:w="3241" w:type="dxa"/>
            <w:tcBorders/>
            <w:vAlign w:val="center"/>
          </w:tcPr>
          <w:p>
            <w:pPr>
              <w:pStyle w:val="TableHeading"/>
              <w:suppressLineNumbers/>
              <w:shd w:fill="1F3A5F" w:val="clear"/>
              <w:bidi w:val="0"/>
              <w:spacing w:before="0" w:after="283"/>
              <w:jc w:val="center"/>
              <w:rPr/>
            </w:pPr>
            <w:r>
              <w:rPr/>
              <w:t>Model identifier</w:t>
            </w:r>
          </w:p>
        </w:tc>
        <w:tc>
          <w:tcPr>
            <w:tcW w:w="1996" w:type="dxa"/>
            <w:tcBorders/>
            <w:vAlign w:val="center"/>
          </w:tcPr>
          <w:p>
            <w:pPr>
              <w:pStyle w:val="TableHeading"/>
              <w:suppressLineNumbers/>
              <w:shd w:fill="1F3A5F" w:val="clear"/>
              <w:bidi w:val="0"/>
              <w:spacing w:before="0" w:after="283"/>
              <w:jc w:val="center"/>
              <w:rPr/>
            </w:pPr>
            <w:r>
              <w:rPr/>
              <w:t>Provider</w:t>
            </w:r>
          </w:p>
        </w:tc>
        <w:tc>
          <w:tcPr>
            <w:tcW w:w="1771" w:type="dxa"/>
            <w:tcBorders/>
            <w:vAlign w:val="center"/>
          </w:tcPr>
          <w:p>
            <w:pPr>
              <w:pStyle w:val="TableHeading"/>
              <w:suppressLineNumbers/>
              <w:shd w:fill="1F3A5F" w:val="clear"/>
              <w:bidi w:val="0"/>
              <w:spacing w:before="0" w:after="283"/>
              <w:jc w:val="center"/>
              <w:rPr/>
            </w:pPr>
            <w:r>
              <w:rPr/>
              <w:t>How it reaches the product</w:t>
            </w:r>
          </w:p>
        </w:tc>
      </w:tr>
      <w:tr>
        <w:trPr/>
        <w:tc>
          <w:tcPr>
            <w:tcW w:w="1111" w:type="dxa"/>
            <w:tcBorders/>
            <w:vAlign w:val="center"/>
          </w:tcPr>
          <w:p>
            <w:pPr>
              <w:pStyle w:val="TableContents"/>
              <w:bidi w:val="0"/>
              <w:spacing w:before="0" w:after="283"/>
              <w:jc w:val="left"/>
              <w:rPr/>
            </w:pPr>
            <w:r>
              <w:rPr/>
              <w:t>Chat LLM (production)</w:t>
            </w:r>
          </w:p>
        </w:tc>
        <w:tc>
          <w:tcPr>
            <w:tcW w:w="3241" w:type="dxa"/>
            <w:tcBorders/>
            <w:vAlign w:val="center"/>
          </w:tcPr>
          <w:p>
            <w:pPr>
              <w:pStyle w:val="TableContents"/>
              <w:bidi w:val="0"/>
              <w:spacing w:before="0" w:after="283"/>
              <w:jc w:val="left"/>
              <w:rPr/>
            </w:pPr>
            <w:r>
              <w:rPr>
                <w:rStyle w:val="SourceText"/>
              </w:rPr>
              <w:t>nvidia/Qwen3-30B-A3B-FP4</w:t>
            </w:r>
          </w:p>
        </w:tc>
        <w:tc>
          <w:tcPr>
            <w:tcW w:w="1996" w:type="dxa"/>
            <w:tcBorders/>
            <w:vAlign w:val="center"/>
          </w:tcPr>
          <w:p>
            <w:pPr>
              <w:pStyle w:val="TableContents"/>
              <w:bidi w:val="0"/>
              <w:spacing w:before="0" w:after="283"/>
              <w:jc w:val="left"/>
              <w:rPr/>
            </w:pPr>
            <w:r>
              <w:rPr/>
              <w:t>NVIDIA (Qwen base, NVFP4 quantisation)</w:t>
            </w:r>
          </w:p>
        </w:tc>
        <w:tc>
          <w:tcPr>
            <w:tcW w:w="1771" w:type="dxa"/>
            <w:tcBorders/>
            <w:vAlign w:val="center"/>
          </w:tcPr>
          <w:p>
            <w:pPr>
              <w:pStyle w:val="TableContents"/>
              <w:bidi w:val="0"/>
              <w:spacing w:before="0" w:after="283"/>
              <w:jc w:val="left"/>
              <w:rPr/>
            </w:pPr>
            <w:r>
              <w:rPr/>
              <w:t xml:space="preserve">Hugging Face Hub into the </w:t>
            </w:r>
            <w:r>
              <w:rPr>
                <w:rStyle w:val="SourceText"/>
              </w:rPr>
              <w:t>trtllm_hf_cache</w:t>
            </w:r>
            <w:r>
              <w:rPr/>
              <w:t xml:space="preserve"> volume, once; runtime </w:t>
            </w:r>
            <w:r>
              <w:rPr>
                <w:rStyle w:val="SourceText"/>
              </w:rPr>
              <w:t>HF_HUB_OFFLINE=1</w:t>
            </w:r>
          </w:p>
        </w:tc>
      </w:tr>
      <w:tr>
        <w:trPr/>
        <w:tc>
          <w:tcPr>
            <w:tcW w:w="1111" w:type="dxa"/>
            <w:tcBorders/>
            <w:vAlign w:val="center"/>
          </w:tcPr>
          <w:p>
            <w:pPr>
              <w:pStyle w:val="TableContents"/>
              <w:bidi w:val="0"/>
              <w:spacing w:before="0" w:after="283"/>
              <w:jc w:val="left"/>
              <w:rPr/>
            </w:pPr>
            <w:r>
              <w:rPr/>
              <w:t>Chat LLM (fallback)</w:t>
            </w:r>
          </w:p>
        </w:tc>
        <w:tc>
          <w:tcPr>
            <w:tcW w:w="3241" w:type="dxa"/>
            <w:tcBorders/>
            <w:vAlign w:val="center"/>
          </w:tcPr>
          <w:p>
            <w:pPr>
              <w:pStyle w:val="TableContents"/>
              <w:bidi w:val="0"/>
              <w:spacing w:before="0" w:after="283"/>
              <w:jc w:val="left"/>
              <w:rPr/>
            </w:pPr>
            <w:r>
              <w:rPr>
                <w:rStyle w:val="SourceText"/>
              </w:rPr>
              <w:t>qwen2.5:7b-instruct-q4_K_M</w:t>
            </w:r>
          </w:p>
        </w:tc>
        <w:tc>
          <w:tcPr>
            <w:tcW w:w="1996" w:type="dxa"/>
            <w:tcBorders/>
            <w:vAlign w:val="center"/>
          </w:tcPr>
          <w:p>
            <w:pPr>
              <w:pStyle w:val="TableContents"/>
              <w:bidi w:val="0"/>
              <w:spacing w:before="0" w:after="283"/>
              <w:jc w:val="left"/>
              <w:rPr/>
            </w:pPr>
            <w:r>
              <w:rPr/>
              <w:t>Alibaba Qwen, via Ollama</w:t>
            </w:r>
          </w:p>
        </w:tc>
        <w:tc>
          <w:tcPr>
            <w:tcW w:w="1771" w:type="dxa"/>
            <w:tcBorders/>
            <w:vAlign w:val="center"/>
          </w:tcPr>
          <w:p>
            <w:pPr>
              <w:pStyle w:val="TableContents"/>
              <w:bidi w:val="0"/>
              <w:spacing w:before="0" w:after="283"/>
              <w:jc w:val="left"/>
              <w:rPr/>
            </w:pPr>
            <w:r>
              <w:rPr/>
              <w:t>Ollama registry</w:t>
            </w:r>
          </w:p>
        </w:tc>
      </w:tr>
      <w:tr>
        <w:trPr/>
        <w:tc>
          <w:tcPr>
            <w:tcW w:w="1111" w:type="dxa"/>
            <w:tcBorders/>
            <w:vAlign w:val="center"/>
          </w:tcPr>
          <w:p>
            <w:pPr>
              <w:pStyle w:val="TableContents"/>
              <w:bidi w:val="0"/>
              <w:spacing w:before="0" w:after="283"/>
              <w:jc w:val="left"/>
              <w:rPr/>
            </w:pPr>
            <w:r>
              <w:rPr/>
              <w:t>Embeddings</w:t>
            </w:r>
          </w:p>
        </w:tc>
        <w:tc>
          <w:tcPr>
            <w:tcW w:w="3241" w:type="dxa"/>
            <w:tcBorders/>
            <w:vAlign w:val="center"/>
          </w:tcPr>
          <w:p>
            <w:pPr>
              <w:pStyle w:val="TableContents"/>
              <w:bidi w:val="0"/>
              <w:spacing w:before="0" w:after="283"/>
              <w:jc w:val="left"/>
              <w:rPr/>
            </w:pPr>
            <w:r>
              <w:rPr>
                <w:rStyle w:val="SourceText"/>
              </w:rPr>
              <w:t>nomic-embed-text</w:t>
            </w:r>
          </w:p>
        </w:tc>
        <w:tc>
          <w:tcPr>
            <w:tcW w:w="1996" w:type="dxa"/>
            <w:tcBorders/>
            <w:vAlign w:val="center"/>
          </w:tcPr>
          <w:p>
            <w:pPr>
              <w:pStyle w:val="TableContents"/>
              <w:bidi w:val="0"/>
              <w:spacing w:before="0" w:after="283"/>
              <w:jc w:val="left"/>
              <w:rPr/>
            </w:pPr>
            <w:r>
              <w:rPr/>
              <w:t>Nomic AI, via Ollama</w:t>
            </w:r>
          </w:p>
        </w:tc>
        <w:tc>
          <w:tcPr>
            <w:tcW w:w="1771" w:type="dxa"/>
            <w:tcBorders/>
            <w:vAlign w:val="center"/>
          </w:tcPr>
          <w:p>
            <w:pPr>
              <w:pStyle w:val="TableContents"/>
              <w:bidi w:val="0"/>
              <w:spacing w:before="0" w:after="283"/>
              <w:jc w:val="left"/>
              <w:rPr/>
            </w:pPr>
            <w:r>
              <w:rPr/>
              <w:t xml:space="preserve">Ollama registry into </w:t>
            </w:r>
            <w:r>
              <w:rPr>
                <w:rStyle w:val="SourceText"/>
              </w:rPr>
              <w:t>ollama_data</w:t>
            </w:r>
          </w:p>
        </w:tc>
      </w:tr>
      <w:tr>
        <w:trPr/>
        <w:tc>
          <w:tcPr>
            <w:tcW w:w="1111" w:type="dxa"/>
            <w:tcBorders/>
            <w:vAlign w:val="center"/>
          </w:tcPr>
          <w:p>
            <w:pPr>
              <w:pStyle w:val="TableContents"/>
              <w:bidi w:val="0"/>
              <w:spacing w:before="0" w:after="283"/>
              <w:jc w:val="left"/>
              <w:rPr/>
            </w:pPr>
            <w:r>
              <w:rPr/>
              <w:t>Streaming STT</w:t>
            </w:r>
          </w:p>
        </w:tc>
        <w:tc>
          <w:tcPr>
            <w:tcW w:w="3241" w:type="dxa"/>
            <w:tcBorders/>
            <w:vAlign w:val="center"/>
          </w:tcPr>
          <w:p>
            <w:pPr>
              <w:pStyle w:val="TableContents"/>
              <w:bidi w:val="0"/>
              <w:spacing w:before="0" w:after="283"/>
              <w:jc w:val="left"/>
              <w:rPr/>
            </w:pPr>
            <w:r>
              <w:rPr>
                <w:rStyle w:val="SourceText"/>
              </w:rPr>
              <w:t>nvidia/nemotron-speech-streaming-en-0.6b</w:t>
            </w:r>
          </w:p>
        </w:tc>
        <w:tc>
          <w:tcPr>
            <w:tcW w:w="1996" w:type="dxa"/>
            <w:tcBorders/>
            <w:vAlign w:val="center"/>
          </w:tcPr>
          <w:p>
            <w:pPr>
              <w:pStyle w:val="TableContents"/>
              <w:bidi w:val="0"/>
              <w:spacing w:before="0" w:after="283"/>
              <w:jc w:val="left"/>
              <w:rPr/>
            </w:pPr>
            <w:r>
              <w:rPr/>
              <w:t xml:space="preserve">NVIDIA — </w:t>
            </w:r>
            <w:r>
              <w:rPr>
                <w:rStyle w:val="Strong"/>
              </w:rPr>
              <w:t xml:space="preserve">gated model, requires </w:t>
            </w:r>
            <w:r>
              <w:rPr>
                <w:rStyle w:val="SourceText"/>
              </w:rPr>
              <w:t>HF_TOKEN</w:t>
            </w:r>
          </w:p>
        </w:tc>
        <w:tc>
          <w:tcPr>
            <w:tcW w:w="1771" w:type="dxa"/>
            <w:tcBorders/>
            <w:vAlign w:val="center"/>
          </w:tcPr>
          <w:p>
            <w:pPr>
              <w:pStyle w:val="TableContents"/>
              <w:bidi w:val="0"/>
              <w:spacing w:before="0" w:after="283"/>
              <w:jc w:val="left"/>
              <w:rPr/>
            </w:pPr>
            <w:r>
              <w:rPr/>
              <w:t>Baked into both images at build (</w:t>
            </w:r>
            <w:r>
              <w:rPr>
                <w:rStyle w:val="SourceText"/>
              </w:rPr>
              <w:t>backend/Dockerfile:42</w:t>
            </w:r>
            <w:r>
              <w:rPr/>
              <w:t xml:space="preserve">, </w:t>
            </w:r>
            <w:r>
              <w:rPr>
                <w:rStyle w:val="SourceText"/>
              </w:rPr>
              <w:t>voice/Dockerfile:44</w:t>
            </w:r>
            <w:r>
              <w:rPr/>
              <w:t>)</w:t>
            </w:r>
          </w:p>
        </w:tc>
      </w:tr>
      <w:tr>
        <w:trPr/>
        <w:tc>
          <w:tcPr>
            <w:tcW w:w="1111" w:type="dxa"/>
            <w:tcBorders/>
            <w:vAlign w:val="center"/>
          </w:tcPr>
          <w:p>
            <w:pPr>
              <w:pStyle w:val="TableContents"/>
              <w:bidi w:val="0"/>
              <w:spacing w:before="0" w:after="283"/>
              <w:jc w:val="left"/>
              <w:rPr/>
            </w:pPr>
            <w:r>
              <w:rPr/>
              <w:t>Final STT (voice)</w:t>
            </w:r>
          </w:p>
        </w:tc>
        <w:tc>
          <w:tcPr>
            <w:tcW w:w="3241" w:type="dxa"/>
            <w:tcBorders/>
            <w:vAlign w:val="center"/>
          </w:tcPr>
          <w:p>
            <w:pPr>
              <w:pStyle w:val="TableContents"/>
              <w:bidi w:val="0"/>
              <w:spacing w:before="0" w:after="283"/>
              <w:jc w:val="left"/>
              <w:rPr/>
            </w:pPr>
            <w:r>
              <w:rPr>
                <w:rStyle w:val="SourceText"/>
              </w:rPr>
              <w:t>nvidia/parakeet-tdt-0.6b-v2</w:t>
            </w:r>
          </w:p>
        </w:tc>
        <w:tc>
          <w:tcPr>
            <w:tcW w:w="1996" w:type="dxa"/>
            <w:tcBorders/>
            <w:vAlign w:val="center"/>
          </w:tcPr>
          <w:p>
            <w:pPr>
              <w:pStyle w:val="TableContents"/>
              <w:bidi w:val="0"/>
              <w:spacing w:before="0" w:after="283"/>
              <w:jc w:val="left"/>
              <w:rPr/>
            </w:pPr>
            <w:r>
              <w:rPr/>
              <w:t>NVIDIA</w:t>
            </w:r>
          </w:p>
        </w:tc>
        <w:tc>
          <w:tcPr>
            <w:tcW w:w="1771" w:type="dxa"/>
            <w:tcBorders/>
            <w:vAlign w:val="center"/>
          </w:tcPr>
          <w:p>
            <w:pPr>
              <w:pStyle w:val="TableContents"/>
              <w:bidi w:val="0"/>
              <w:spacing w:before="0" w:after="283"/>
              <w:jc w:val="left"/>
              <w:rPr/>
            </w:pPr>
            <w:r>
              <w:rPr/>
              <w:t>Baked into the voice image (</w:t>
            </w:r>
            <w:r>
              <w:rPr>
                <w:rStyle w:val="SourceText"/>
              </w:rPr>
              <w:t>voice/Dockerfile:47-50</w:t>
            </w:r>
            <w:r>
              <w:rPr/>
              <w:t>)</w:t>
            </w:r>
          </w:p>
        </w:tc>
      </w:tr>
      <w:tr>
        <w:trPr/>
        <w:tc>
          <w:tcPr>
            <w:tcW w:w="1111" w:type="dxa"/>
            <w:tcBorders/>
            <w:vAlign w:val="center"/>
          </w:tcPr>
          <w:p>
            <w:pPr>
              <w:pStyle w:val="TableContents"/>
              <w:bidi w:val="0"/>
              <w:spacing w:before="0" w:after="283"/>
              <w:jc w:val="left"/>
              <w:rPr/>
            </w:pPr>
            <w:r>
              <w:rPr/>
              <w:t>Boardroom diarised ASR</w:t>
            </w:r>
          </w:p>
        </w:tc>
        <w:tc>
          <w:tcPr>
            <w:tcW w:w="3241" w:type="dxa"/>
            <w:tcBorders/>
            <w:vAlign w:val="center"/>
          </w:tcPr>
          <w:p>
            <w:pPr>
              <w:pStyle w:val="TableContents"/>
              <w:bidi w:val="0"/>
              <w:spacing w:before="0" w:after="283"/>
              <w:jc w:val="left"/>
              <w:rPr/>
            </w:pPr>
            <w:r>
              <w:rPr>
                <w:rStyle w:val="SourceText"/>
              </w:rPr>
              <w:t>microsoft/VibeVoice-ASR-HF</w:t>
            </w:r>
            <w:r>
              <w:rPr/>
              <w:t xml:space="preserve"> (~18 GB)</w:t>
            </w:r>
          </w:p>
        </w:tc>
        <w:tc>
          <w:tcPr>
            <w:tcW w:w="1996" w:type="dxa"/>
            <w:tcBorders/>
            <w:vAlign w:val="center"/>
          </w:tcPr>
          <w:p>
            <w:pPr>
              <w:pStyle w:val="TableContents"/>
              <w:bidi w:val="0"/>
              <w:spacing w:before="0" w:after="283"/>
              <w:jc w:val="left"/>
              <w:rPr/>
            </w:pPr>
            <w:r>
              <w:rPr/>
              <w:t>Microsoft</w:t>
            </w:r>
          </w:p>
        </w:tc>
        <w:tc>
          <w:tcPr>
            <w:tcW w:w="1771" w:type="dxa"/>
            <w:tcBorders/>
            <w:vAlign w:val="center"/>
          </w:tcPr>
          <w:p>
            <w:pPr>
              <w:pStyle w:val="TableContents"/>
              <w:bidi w:val="0"/>
              <w:spacing w:before="0" w:after="283"/>
              <w:jc w:val="left"/>
              <w:rPr/>
            </w:pPr>
            <w:r>
              <w:rPr/>
              <w:t xml:space="preserve">Hugging Face Hub into </w:t>
            </w:r>
            <w:r>
              <w:rPr>
                <w:rStyle w:val="SourceText"/>
              </w:rPr>
              <w:t>echomind_data:/data/hf_cache</w:t>
            </w:r>
            <w:r>
              <w:rPr/>
              <w:t xml:space="preserve"> during prepare</w:t>
            </w:r>
          </w:p>
        </w:tc>
      </w:tr>
      <w:tr>
        <w:trPr/>
        <w:tc>
          <w:tcPr>
            <w:tcW w:w="1111" w:type="dxa"/>
            <w:tcBorders/>
            <w:vAlign w:val="center"/>
          </w:tcPr>
          <w:p>
            <w:pPr>
              <w:pStyle w:val="TableContents"/>
              <w:bidi w:val="0"/>
              <w:spacing w:before="0" w:after="283"/>
              <w:jc w:val="left"/>
              <w:rPr/>
            </w:pPr>
            <w:r>
              <w:rPr/>
              <w:t>TTS (default)</w:t>
            </w:r>
          </w:p>
        </w:tc>
        <w:tc>
          <w:tcPr>
            <w:tcW w:w="3241" w:type="dxa"/>
            <w:tcBorders/>
            <w:vAlign w:val="center"/>
          </w:tcPr>
          <w:p>
            <w:pPr>
              <w:pStyle w:val="TableContents"/>
              <w:bidi w:val="0"/>
              <w:spacing w:before="0" w:after="283"/>
              <w:jc w:val="left"/>
              <w:rPr/>
            </w:pPr>
            <w:r>
              <w:rPr/>
              <w:t xml:space="preserve">Piper </w:t>
            </w:r>
            <w:r>
              <w:rPr>
                <w:rStyle w:val="SourceText"/>
              </w:rPr>
              <w:t>en_US-lessac-medium</w:t>
            </w:r>
          </w:p>
        </w:tc>
        <w:tc>
          <w:tcPr>
            <w:tcW w:w="1996" w:type="dxa"/>
            <w:tcBorders/>
            <w:vAlign w:val="center"/>
          </w:tcPr>
          <w:p>
            <w:pPr>
              <w:pStyle w:val="TableContents"/>
              <w:bidi w:val="0"/>
              <w:spacing w:before="0" w:after="283"/>
              <w:jc w:val="left"/>
              <w:rPr/>
            </w:pPr>
            <w:r>
              <w:rPr/>
              <w:t>Rhasspy</w:t>
            </w:r>
          </w:p>
        </w:tc>
        <w:tc>
          <w:tcPr>
            <w:tcW w:w="1771" w:type="dxa"/>
            <w:tcBorders/>
            <w:vAlign w:val="center"/>
          </w:tcPr>
          <w:p>
            <w:pPr>
              <w:pStyle w:val="TableContents"/>
              <w:bidi w:val="0"/>
              <w:spacing w:before="0" w:after="283"/>
              <w:jc w:val="left"/>
              <w:rPr/>
            </w:pPr>
            <w:r>
              <w:rPr>
                <w:rStyle w:val="SourceText"/>
              </w:rPr>
              <w:t>wget</w:t>
            </w:r>
            <w:r>
              <w:rPr/>
              <w:t xml:space="preserve"> from </w:t>
            </w:r>
            <w:r>
              <w:rPr>
                <w:rStyle w:val="SourceText"/>
              </w:rPr>
              <w:t>huggingface.co/rhasspy/piper-voices</w:t>
            </w:r>
            <w:r>
              <w:rPr/>
              <w:t xml:space="preserve"> at build (</w:t>
            </w:r>
            <w:r>
              <w:rPr>
                <w:rStyle w:val="SourceText"/>
              </w:rPr>
              <w:t>voice/Dockerfile:62-63</w:t>
            </w:r>
            <w:r>
              <w:rPr/>
              <w:t>)</w:t>
            </w:r>
          </w:p>
        </w:tc>
      </w:tr>
      <w:tr>
        <w:trPr/>
        <w:tc>
          <w:tcPr>
            <w:tcW w:w="1111" w:type="dxa"/>
            <w:tcBorders/>
            <w:vAlign w:val="center"/>
          </w:tcPr>
          <w:p>
            <w:pPr>
              <w:pStyle w:val="TableContents"/>
              <w:bidi w:val="0"/>
              <w:spacing w:before="0" w:after="283"/>
              <w:jc w:val="left"/>
              <w:rPr/>
            </w:pPr>
            <w:r>
              <w:rPr/>
              <w:t>TTS (option)</w:t>
            </w:r>
          </w:p>
        </w:tc>
        <w:tc>
          <w:tcPr>
            <w:tcW w:w="3241" w:type="dxa"/>
            <w:tcBorders/>
            <w:vAlign w:val="center"/>
          </w:tcPr>
          <w:p>
            <w:pPr>
              <w:pStyle w:val="TableContents"/>
              <w:bidi w:val="0"/>
              <w:spacing w:before="0" w:after="283"/>
              <w:jc w:val="left"/>
              <w:rPr/>
            </w:pPr>
            <w:r>
              <w:rPr/>
              <w:t>Kokoro-82M</w:t>
            </w:r>
          </w:p>
        </w:tc>
        <w:tc>
          <w:tcPr>
            <w:tcW w:w="1996" w:type="dxa"/>
            <w:tcBorders/>
            <w:vAlign w:val="center"/>
          </w:tcPr>
          <w:p>
            <w:pPr>
              <w:pStyle w:val="TableContents"/>
              <w:bidi w:val="0"/>
              <w:spacing w:before="0" w:after="283"/>
              <w:jc w:val="left"/>
              <w:rPr/>
            </w:pPr>
            <w:r>
              <w:rPr/>
              <w:t>hexgrad</w:t>
            </w:r>
          </w:p>
        </w:tc>
        <w:tc>
          <w:tcPr>
            <w:tcW w:w="1771" w:type="dxa"/>
            <w:tcBorders/>
            <w:vAlign w:val="center"/>
          </w:tcPr>
          <w:p>
            <w:pPr>
              <w:pStyle w:val="TableContents"/>
              <w:bidi w:val="0"/>
              <w:spacing w:before="0" w:after="283"/>
              <w:jc w:val="left"/>
              <w:rPr/>
            </w:pPr>
            <w:r>
              <w:rPr>
                <w:rStyle w:val="SourceText"/>
              </w:rPr>
              <w:t>pip install kokoro</w:t>
            </w:r>
            <w:r>
              <w:rPr/>
              <w:t>, caches baked at build (</w:t>
            </w:r>
            <w:r>
              <w:rPr>
                <w:rStyle w:val="SourceText"/>
              </w:rPr>
              <w:t>voice/Dockerfile:66-74</w:t>
            </w:r>
            <w:r>
              <w:rPr/>
              <w:t>)</w:t>
            </w:r>
          </w:p>
        </w:tc>
      </w:tr>
      <w:tr>
        <w:trPr/>
        <w:tc>
          <w:tcPr>
            <w:tcW w:w="1111" w:type="dxa"/>
            <w:tcBorders/>
            <w:vAlign w:val="center"/>
          </w:tcPr>
          <w:p>
            <w:pPr>
              <w:pStyle w:val="TableContents"/>
              <w:bidi w:val="0"/>
              <w:spacing w:before="0" w:after="283"/>
              <w:jc w:val="left"/>
              <w:rPr/>
            </w:pPr>
            <w:r>
              <w:rPr/>
              <w:t>Reranker</w:t>
            </w:r>
          </w:p>
        </w:tc>
        <w:tc>
          <w:tcPr>
            <w:tcW w:w="3241" w:type="dxa"/>
            <w:tcBorders/>
            <w:vAlign w:val="center"/>
          </w:tcPr>
          <w:p>
            <w:pPr>
              <w:pStyle w:val="TableContents"/>
              <w:bidi w:val="0"/>
              <w:spacing w:before="0" w:after="283"/>
              <w:jc w:val="left"/>
              <w:rPr/>
            </w:pPr>
            <w:r>
              <w:rPr>
                <w:rStyle w:val="SourceText"/>
              </w:rPr>
              <w:t>cross-encoder/ms-marco-MiniLM-L-6-v2</w:t>
            </w:r>
          </w:p>
        </w:tc>
        <w:tc>
          <w:tcPr>
            <w:tcW w:w="1996" w:type="dxa"/>
            <w:tcBorders/>
            <w:vAlign w:val="center"/>
          </w:tcPr>
          <w:p>
            <w:pPr>
              <w:pStyle w:val="TableContents"/>
              <w:bidi w:val="0"/>
              <w:spacing w:before="0" w:after="283"/>
              <w:jc w:val="left"/>
              <w:rPr/>
            </w:pPr>
            <w:r>
              <w:rPr/>
              <w:t>Microsoft / sentence-transformers</w:t>
            </w:r>
          </w:p>
        </w:tc>
        <w:tc>
          <w:tcPr>
            <w:tcW w:w="1771" w:type="dxa"/>
            <w:tcBorders/>
            <w:vAlign w:val="center"/>
          </w:tcPr>
          <w:p>
            <w:pPr>
              <w:pStyle w:val="TableContents"/>
              <w:bidi w:val="0"/>
              <w:spacing w:before="0" w:after="283"/>
              <w:jc w:val="left"/>
              <w:rPr/>
            </w:pPr>
            <w:r>
              <w:rPr/>
              <w:t xml:space="preserve">Hugging Face Hub — </w:t>
            </w:r>
            <w:r>
              <w:rPr>
                <w:rStyle w:val="Strong"/>
              </w:rPr>
              <w:t>not pre-downloaded; see below</w:t>
            </w:r>
          </w:p>
        </w:tc>
      </w:tr>
      <w:tr>
        <w:trPr/>
        <w:tc>
          <w:tcPr>
            <w:tcW w:w="1111" w:type="dxa"/>
            <w:tcBorders/>
            <w:vAlign w:val="center"/>
          </w:tcPr>
          <w:p>
            <w:pPr>
              <w:pStyle w:val="TableContents"/>
              <w:bidi w:val="0"/>
              <w:spacing w:before="0" w:after="283"/>
              <w:jc w:val="left"/>
              <w:rPr/>
            </w:pPr>
            <w:r>
              <w:rPr/>
              <w:t>Image generation</w:t>
            </w:r>
          </w:p>
        </w:tc>
        <w:tc>
          <w:tcPr>
            <w:tcW w:w="3241" w:type="dxa"/>
            <w:tcBorders/>
            <w:vAlign w:val="center"/>
          </w:tcPr>
          <w:p>
            <w:pPr>
              <w:pStyle w:val="TableContents"/>
              <w:bidi w:val="0"/>
              <w:spacing w:before="0" w:after="283"/>
              <w:jc w:val="left"/>
              <w:rPr/>
            </w:pPr>
            <w:r>
              <w:rPr>
                <w:rStyle w:val="SourceText"/>
              </w:rPr>
              <w:t>stabilityai/sdxl-turbo</w:t>
            </w:r>
            <w:r>
              <w:rPr/>
              <w:t>, via diffusers</w:t>
            </w:r>
          </w:p>
        </w:tc>
        <w:tc>
          <w:tcPr>
            <w:tcW w:w="1996" w:type="dxa"/>
            <w:tcBorders/>
            <w:vAlign w:val="center"/>
          </w:tcPr>
          <w:p>
            <w:pPr>
              <w:pStyle w:val="TableContents"/>
              <w:bidi w:val="0"/>
              <w:spacing w:before="0" w:after="283"/>
              <w:jc w:val="left"/>
              <w:rPr/>
            </w:pPr>
            <w:r>
              <w:rPr/>
              <w:t>Stability AI</w:t>
            </w:r>
          </w:p>
        </w:tc>
        <w:tc>
          <w:tcPr>
            <w:tcW w:w="1771" w:type="dxa"/>
            <w:tcBorders/>
            <w:vAlign w:val="center"/>
          </w:tcPr>
          <w:p>
            <w:pPr>
              <w:pStyle w:val="TableContents"/>
              <w:bidi w:val="0"/>
              <w:spacing w:before="0" w:after="283"/>
              <w:jc w:val="left"/>
              <w:rPr/>
            </w:pPr>
            <w:r>
              <w:rPr/>
              <w:t xml:space="preserve">Hugging Face Hub into </w:t>
            </w:r>
            <w:r>
              <w:rPr>
                <w:rStyle w:val="SourceText"/>
              </w:rPr>
              <w:t>/data/docgen_models</w:t>
            </w:r>
          </w:p>
        </w:tc>
      </w:tr>
    </w:tbl>
    <w:p>
      <w:pPr>
        <w:pStyle w:val="BodyText"/>
        <w:bidi w:val="0"/>
        <w:jc w:val="left"/>
        <w:rPr/>
      </w:pPr>
      <w:r>
        <w:rPr>
          <w:rStyle w:val="Strong"/>
        </w:rPr>
        <w:t>Reranker defect.</w:t>
      </w:r>
      <w:r>
        <w:rPr/>
        <w:t xml:space="preserve"> </w:t>
      </w:r>
      <w:r>
        <w:rPr>
          <w:rStyle w:val="SourceText"/>
        </w:rPr>
        <w:t>backend/requirements.txt</w:t>
      </w:r>
      <w:r>
        <w:rPr/>
        <w:t xml:space="preserve"> carries the comment </w:t>
      </w:r>
      <w:r>
        <w:rPr>
          <w:rStyle w:val="Emphasis"/>
        </w:rPr>
        <w:t>"Cross-encoder reranker (RAG step 2) + CE relevance gate — without this the reranker silently falls back to a slow LLM rerank. Model: cross-encoder/ms-marco-MiniLM-L-6-v2 (pre-download into the image/HF cache for offline runtime.)"</w:t>
      </w:r>
      <w:r>
        <w:rPr/>
        <w:t xml:space="preserve"> — but </w:t>
      </w:r>
      <w:r>
        <w:rPr>
          <w:rStyle w:val="SourceText"/>
        </w:rPr>
        <w:t>backend/Dockerfile</w:t>
      </w:r>
      <w:r>
        <w:rPr/>
        <w:t xml:space="preserve"> contains no </w:t>
      </w:r>
      <w:r>
        <w:rPr>
          <w:rStyle w:val="SourceText"/>
        </w:rPr>
        <w:t>snapshot_download</w:t>
      </w:r>
      <w:r>
        <w:rPr/>
        <w:t xml:space="preserve"> for that model; the only model downloads are the ASR weights at </w:t>
      </w:r>
      <w:r>
        <w:rPr>
          <w:rStyle w:val="SourceText"/>
        </w:rPr>
        <w:t>:42</w:t>
      </w:r>
      <w:r>
        <w:rPr/>
        <w:t xml:space="preserve">. With </w:t>
      </w:r>
      <w:r>
        <w:rPr>
          <w:rStyle w:val="SourceText"/>
        </w:rPr>
        <w:t>HF_HUB_OFFLINE=1</w:t>
      </w:r>
      <w:r>
        <w:rPr/>
        <w:t xml:space="preserve"> at runtime the weights cannot be fetched, so </w:t>
      </w:r>
      <w:r>
        <w:rPr>
          <w:rStyle w:val="SourceText"/>
        </w:rPr>
        <w:t>backend/app/rag/reranker.py:4-7</w:t>
      </w:r>
      <w:r>
        <w:rPr/>
        <w:t xml:space="preserve"> takes priority 2, the LLM fallback. The product therefore runs a slower and different reranking path from the one the requirements file describes. This is a live pre-caching gap with a quality and latency effect, and it is exactly the failure mode §4.1 exists to prevent.</w:t>
      </w:r>
    </w:p>
    <w:p>
      <w:pPr>
        <w:pStyle w:val="Heading2"/>
        <w:bidi w:val="0"/>
        <w:jc w:val="left"/>
        <w:rPr/>
      </w:pPr>
      <w:r>
        <w:rPr/>
        <w:t>7. Dependency pinning — present state</w:t>
      </w:r>
    </w:p>
    <w:tbl>
      <w:tblPr>
        <w:tblW w:w="8119" w:type="dxa"/>
        <w:jc w:val="left"/>
        <w:tblInd w:w="0" w:type="dxa"/>
        <w:tblLayout w:type="fixed"/>
        <w:tblCellMar>
          <w:top w:w="28" w:type="dxa"/>
          <w:left w:w="28" w:type="dxa"/>
          <w:bottom w:w="28" w:type="dxa"/>
          <w:right w:w="28" w:type="dxa"/>
        </w:tblCellMar>
      </w:tblPr>
      <w:tblGrid>
        <w:gridCol w:w="1966"/>
        <w:gridCol w:w="1247"/>
        <w:gridCol w:w="586"/>
        <w:gridCol w:w="4320"/>
      </w:tblGrid>
      <w:tr>
        <w:trPr>
          <w:tblHeader w:val="true"/>
        </w:trPr>
        <w:tc>
          <w:tcPr>
            <w:tcW w:w="1966" w:type="dxa"/>
            <w:tcBorders/>
            <w:vAlign w:val="center"/>
          </w:tcPr>
          <w:p>
            <w:pPr>
              <w:pStyle w:val="TableHeading"/>
              <w:suppressLineNumbers/>
              <w:shd w:fill="1F3A5F" w:val="clear"/>
              <w:bidi w:val="0"/>
              <w:spacing w:before="0" w:after="283"/>
              <w:jc w:val="center"/>
              <w:rPr/>
            </w:pPr>
            <w:r>
              <w:rPr/>
              <w:t>File</w:t>
            </w:r>
          </w:p>
        </w:tc>
        <w:tc>
          <w:tcPr>
            <w:tcW w:w="1247" w:type="dxa"/>
            <w:tcBorders/>
            <w:vAlign w:val="center"/>
          </w:tcPr>
          <w:p>
            <w:pPr>
              <w:pStyle w:val="TableHeading"/>
              <w:suppressLineNumbers/>
              <w:shd w:fill="1F3A5F" w:val="clear"/>
              <w:bidi w:val="0"/>
              <w:spacing w:before="0" w:after="283"/>
              <w:jc w:val="center"/>
              <w:rPr/>
            </w:pPr>
            <w:r>
              <w:rPr/>
              <w:t>Entries</w:t>
            </w:r>
          </w:p>
        </w:tc>
        <w:tc>
          <w:tcPr>
            <w:tcW w:w="586" w:type="dxa"/>
            <w:tcBorders/>
            <w:vAlign w:val="center"/>
          </w:tcPr>
          <w:p>
            <w:pPr>
              <w:pStyle w:val="TableHeading"/>
              <w:suppressLineNumbers/>
              <w:shd w:fill="1F3A5F" w:val="clear"/>
              <w:bidi w:val="0"/>
              <w:spacing w:before="0" w:after="283"/>
              <w:jc w:val="center"/>
              <w:rPr/>
            </w:pPr>
            <w:r>
              <w:rPr/>
              <w:t>Exact</w:t>
            </w:r>
          </w:p>
        </w:tc>
        <w:tc>
          <w:tcPr>
            <w:tcW w:w="4320" w:type="dxa"/>
            <w:tcBorders/>
            <w:vAlign w:val="center"/>
          </w:tcPr>
          <w:p>
            <w:pPr>
              <w:pStyle w:val="TableHeading"/>
              <w:suppressLineNumbers/>
              <w:shd w:fill="1F3A5F" w:val="clear"/>
              <w:bidi w:val="0"/>
              <w:spacing w:before="0" w:after="283"/>
              <w:jc w:val="center"/>
              <w:rPr/>
            </w:pPr>
            <w:r>
              <w:rPr/>
              <w:t>Ranged</w:t>
            </w:r>
          </w:p>
        </w:tc>
      </w:tr>
      <w:tr>
        <w:trPr/>
        <w:tc>
          <w:tcPr>
            <w:tcW w:w="1966" w:type="dxa"/>
            <w:tcBorders/>
            <w:vAlign w:val="center"/>
          </w:tcPr>
          <w:p>
            <w:pPr>
              <w:pStyle w:val="TableContents"/>
              <w:bidi w:val="0"/>
              <w:spacing w:before="0" w:after="283"/>
              <w:jc w:val="left"/>
              <w:rPr/>
            </w:pPr>
            <w:r>
              <w:rPr>
                <w:rStyle w:val="SourceText"/>
              </w:rPr>
              <w:t>backend/requirements.txt</w:t>
            </w:r>
          </w:p>
        </w:tc>
        <w:tc>
          <w:tcPr>
            <w:tcW w:w="1247" w:type="dxa"/>
            <w:tcBorders/>
            <w:vAlign w:val="center"/>
          </w:tcPr>
          <w:p>
            <w:pPr>
              <w:pStyle w:val="TableContents"/>
              <w:bidi w:val="0"/>
              <w:spacing w:before="0" w:after="283"/>
              <w:jc w:val="left"/>
              <w:rPr/>
            </w:pPr>
            <w:r>
              <w:rPr/>
              <w:t>20</w:t>
            </w:r>
          </w:p>
        </w:tc>
        <w:tc>
          <w:tcPr>
            <w:tcW w:w="586" w:type="dxa"/>
            <w:tcBorders/>
            <w:vAlign w:val="center"/>
          </w:tcPr>
          <w:p>
            <w:pPr>
              <w:pStyle w:val="TableContents"/>
              <w:bidi w:val="0"/>
              <w:spacing w:before="0" w:after="283"/>
              <w:jc w:val="left"/>
              <w:rPr/>
            </w:pPr>
            <w:r>
              <w:rPr/>
              <w:t>14</w:t>
            </w:r>
          </w:p>
        </w:tc>
        <w:tc>
          <w:tcPr>
            <w:tcW w:w="4320" w:type="dxa"/>
            <w:tcBorders/>
            <w:vAlign w:val="center"/>
          </w:tcPr>
          <w:p>
            <w:pPr>
              <w:pStyle w:val="TableContents"/>
              <w:bidi w:val="0"/>
              <w:spacing w:before="0" w:after="283"/>
              <w:jc w:val="left"/>
              <w:rPr/>
            </w:pPr>
            <w:r>
              <w:rPr/>
              <w:t xml:space="preserve">6: </w:t>
            </w:r>
            <w:r>
              <w:rPr>
                <w:rStyle w:val="SourceText"/>
              </w:rPr>
              <w:t>scipy&gt;=1.11,&lt;2</w:t>
            </w:r>
            <w:r>
              <w:rPr/>
              <w:t xml:space="preserve">; </w:t>
            </w:r>
            <w:r>
              <w:rPr>
                <w:rStyle w:val="SourceText"/>
              </w:rPr>
              <w:t>huggingface-hub&gt;=0.34,&lt;2</w:t>
            </w:r>
            <w:r>
              <w:rPr/>
              <w:t xml:space="preserve">; </w:t>
            </w:r>
            <w:r>
              <w:rPr>
                <w:rStyle w:val="SourceText"/>
              </w:rPr>
              <w:t>accelerate&gt;=0.26.0</w:t>
            </w:r>
            <w:r>
              <w:rPr>
                <w:rStyle w:val="Strong"/>
              </w:rPr>
              <w:t xml:space="preserve"> (no upper bound)</w:t>
            </w:r>
            <w:r>
              <w:rPr/>
              <w:t xml:space="preserve">; </w:t>
            </w:r>
            <w:r>
              <w:rPr>
                <w:rStyle w:val="SourceText"/>
              </w:rPr>
              <w:t>reportlab&gt;=4.0,&lt;5</w:t>
            </w:r>
            <w:r>
              <w:rPr/>
              <w:t xml:space="preserve">; </w:t>
            </w:r>
            <w:r>
              <w:rPr>
                <w:rStyle w:val="SourceText"/>
              </w:rPr>
              <w:t>diffusers&gt;=0.38,&lt;0.40</w:t>
            </w:r>
            <w:r>
              <w:rPr/>
              <w:t xml:space="preserve">; </w:t>
            </w:r>
            <w:r>
              <w:rPr>
                <w:rStyle w:val="SourceText"/>
              </w:rPr>
              <w:t>sentence-transformers&gt;=5,&lt;6</w:t>
            </w:r>
          </w:p>
        </w:tc>
      </w:tr>
      <w:tr>
        <w:trPr/>
        <w:tc>
          <w:tcPr>
            <w:tcW w:w="1966" w:type="dxa"/>
            <w:tcBorders/>
            <w:vAlign w:val="center"/>
          </w:tcPr>
          <w:p>
            <w:pPr>
              <w:pStyle w:val="TableContents"/>
              <w:bidi w:val="0"/>
              <w:spacing w:before="0" w:after="283"/>
              <w:jc w:val="left"/>
              <w:rPr/>
            </w:pPr>
            <w:r>
              <w:rPr>
                <w:rStyle w:val="SourceText"/>
              </w:rPr>
              <w:t>voice/requirements.txt</w:t>
            </w:r>
          </w:p>
        </w:tc>
        <w:tc>
          <w:tcPr>
            <w:tcW w:w="1247" w:type="dxa"/>
            <w:tcBorders/>
            <w:vAlign w:val="center"/>
          </w:tcPr>
          <w:p>
            <w:pPr>
              <w:pStyle w:val="TableContents"/>
              <w:bidi w:val="0"/>
              <w:spacing w:before="0" w:after="283"/>
              <w:jc w:val="left"/>
              <w:rPr/>
            </w:pPr>
            <w:r>
              <w:rPr/>
              <w:t>9</w:t>
            </w:r>
          </w:p>
        </w:tc>
        <w:tc>
          <w:tcPr>
            <w:tcW w:w="586" w:type="dxa"/>
            <w:tcBorders/>
            <w:vAlign w:val="center"/>
          </w:tcPr>
          <w:p>
            <w:pPr>
              <w:pStyle w:val="TableContents"/>
              <w:bidi w:val="0"/>
              <w:spacing w:before="0" w:after="283"/>
              <w:jc w:val="left"/>
              <w:rPr/>
            </w:pPr>
            <w:r>
              <w:rPr/>
              <w:t>7</w:t>
            </w:r>
          </w:p>
        </w:tc>
        <w:tc>
          <w:tcPr>
            <w:tcW w:w="4320" w:type="dxa"/>
            <w:tcBorders/>
            <w:vAlign w:val="center"/>
          </w:tcPr>
          <w:p>
            <w:pPr>
              <w:pStyle w:val="TableContents"/>
              <w:bidi w:val="0"/>
              <w:spacing w:before="0" w:after="283"/>
              <w:jc w:val="left"/>
              <w:rPr/>
            </w:pPr>
            <w:r>
              <w:rPr/>
              <w:t xml:space="preserve">2: </w:t>
            </w:r>
            <w:r>
              <w:rPr>
                <w:rStyle w:val="SourceText"/>
              </w:rPr>
              <w:t>piper-tts&gt;=1.4.2,&lt;2</w:t>
            </w:r>
            <w:r>
              <w:rPr/>
              <w:t xml:space="preserve">; </w:t>
            </w:r>
            <w:r>
              <w:rPr>
                <w:rStyle w:val="SourceText"/>
              </w:rPr>
              <w:t>huggingface_hub&gt;=0.20.0</w:t>
            </w:r>
            <w:r>
              <w:rPr>
                <w:rStyle w:val="Strong"/>
              </w:rPr>
              <w:t xml:space="preserve"> (no upper bound)</w:t>
            </w:r>
          </w:p>
        </w:tc>
      </w:tr>
      <w:tr>
        <w:trPr/>
        <w:tc>
          <w:tcPr>
            <w:tcW w:w="1966" w:type="dxa"/>
            <w:tcBorders/>
            <w:vAlign w:val="center"/>
          </w:tcPr>
          <w:p>
            <w:pPr>
              <w:pStyle w:val="TableContents"/>
              <w:bidi w:val="0"/>
              <w:spacing w:before="0" w:after="283"/>
              <w:jc w:val="left"/>
              <w:rPr/>
            </w:pPr>
            <w:r>
              <w:rPr>
                <w:rStyle w:val="SourceText"/>
              </w:rPr>
              <w:t>frontend/package.json</w:t>
            </w:r>
          </w:p>
        </w:tc>
        <w:tc>
          <w:tcPr>
            <w:tcW w:w="1247" w:type="dxa"/>
            <w:tcBorders/>
            <w:vAlign w:val="center"/>
          </w:tcPr>
          <w:p>
            <w:pPr>
              <w:pStyle w:val="TableContents"/>
              <w:bidi w:val="0"/>
              <w:spacing w:before="0" w:after="283"/>
              <w:jc w:val="left"/>
              <w:rPr/>
            </w:pPr>
            <w:r>
              <w:rPr/>
              <w:t>all dependencies</w:t>
            </w:r>
          </w:p>
        </w:tc>
        <w:tc>
          <w:tcPr>
            <w:tcW w:w="586" w:type="dxa"/>
            <w:tcBorders/>
            <w:vAlign w:val="center"/>
          </w:tcPr>
          <w:p>
            <w:pPr>
              <w:pStyle w:val="TableContents"/>
              <w:bidi w:val="0"/>
              <w:spacing w:before="0" w:after="283"/>
              <w:jc w:val="left"/>
              <w:rPr/>
            </w:pPr>
            <w:r>
              <w:rPr/>
              <w:t>0</w:t>
            </w:r>
          </w:p>
        </w:tc>
        <w:tc>
          <w:tcPr>
            <w:tcW w:w="4320" w:type="dxa"/>
            <w:tcBorders/>
            <w:vAlign w:val="center"/>
          </w:tcPr>
          <w:p>
            <w:pPr>
              <w:pStyle w:val="TableContents"/>
              <w:bidi w:val="0"/>
              <w:spacing w:before="0" w:after="283"/>
              <w:jc w:val="left"/>
              <w:rPr/>
            </w:pPr>
            <w:r>
              <w:rPr/>
              <w:t xml:space="preserve">all caret-ranged; reproducibility depends on </w:t>
            </w:r>
            <w:r>
              <w:rPr>
                <w:rStyle w:val="SourceText"/>
              </w:rPr>
              <w:t>package-lock.json</w:t>
            </w:r>
            <w:r>
              <w:rPr/>
              <w:t xml:space="preserve"> + </w:t>
            </w:r>
            <w:r>
              <w:rPr>
                <w:rStyle w:val="SourceText"/>
              </w:rPr>
              <w:t>npm ci</w:t>
            </w:r>
          </w:p>
        </w:tc>
      </w:tr>
    </w:tbl>
    <w:p>
      <w:pPr>
        <w:pStyle w:val="BodyText"/>
        <w:bidi w:val="0"/>
        <w:jc w:val="left"/>
        <w:rPr/>
      </w:pPr>
      <w:r>
        <w:rPr/>
        <w:t>Installs made directly in the Dockerfiles, outside the requirements files, are additional unpinned surface:</w:t>
      </w:r>
    </w:p>
    <w:tbl>
      <w:tblPr>
        <w:tblW w:w="8119" w:type="dxa"/>
        <w:jc w:val="left"/>
        <w:tblInd w:w="0" w:type="dxa"/>
        <w:tblLayout w:type="fixed"/>
        <w:tblCellMar>
          <w:top w:w="28" w:type="dxa"/>
          <w:left w:w="28" w:type="dxa"/>
          <w:bottom w:w="28" w:type="dxa"/>
          <w:right w:w="28" w:type="dxa"/>
        </w:tblCellMar>
      </w:tblPr>
      <w:tblGrid>
        <w:gridCol w:w="2487"/>
        <w:gridCol w:w="2584"/>
        <w:gridCol w:w="3048"/>
      </w:tblGrid>
      <w:tr>
        <w:trPr>
          <w:tblHeader w:val="true"/>
        </w:trPr>
        <w:tc>
          <w:tcPr>
            <w:tcW w:w="2487" w:type="dxa"/>
            <w:tcBorders/>
            <w:vAlign w:val="center"/>
          </w:tcPr>
          <w:p>
            <w:pPr>
              <w:pStyle w:val="TableHeading"/>
              <w:suppressLineNumbers/>
              <w:shd w:fill="1F3A5F" w:val="clear"/>
              <w:bidi w:val="0"/>
              <w:spacing w:before="0" w:after="283"/>
              <w:jc w:val="center"/>
              <w:rPr/>
            </w:pPr>
            <w:r>
              <w:rPr/>
              <w:t>Install</w:t>
            </w:r>
          </w:p>
        </w:tc>
        <w:tc>
          <w:tcPr>
            <w:tcW w:w="2584" w:type="dxa"/>
            <w:tcBorders/>
            <w:vAlign w:val="center"/>
          </w:tcPr>
          <w:p>
            <w:pPr>
              <w:pStyle w:val="TableHeading"/>
              <w:suppressLineNumbers/>
              <w:shd w:fill="1F3A5F" w:val="clear"/>
              <w:bidi w:val="0"/>
              <w:spacing w:before="0" w:after="283"/>
              <w:jc w:val="center"/>
              <w:rPr/>
            </w:pPr>
            <w:r>
              <w:rPr/>
              <w:t>Location</w:t>
            </w:r>
          </w:p>
        </w:tc>
        <w:tc>
          <w:tcPr>
            <w:tcW w:w="3048" w:type="dxa"/>
            <w:tcBorders/>
            <w:vAlign w:val="center"/>
          </w:tcPr>
          <w:p>
            <w:pPr>
              <w:pStyle w:val="TableHeading"/>
              <w:suppressLineNumbers/>
              <w:shd w:fill="1F3A5F" w:val="clear"/>
              <w:bidi w:val="0"/>
              <w:spacing w:before="0" w:after="283"/>
              <w:jc w:val="center"/>
              <w:rPr/>
            </w:pPr>
            <w:r>
              <w:rPr/>
              <w:t>Risk</w:t>
            </w:r>
          </w:p>
        </w:tc>
      </w:tr>
      <w:tr>
        <w:trPr/>
        <w:tc>
          <w:tcPr>
            <w:tcW w:w="2487" w:type="dxa"/>
            <w:tcBorders/>
            <w:vAlign w:val="center"/>
          </w:tcPr>
          <w:p>
            <w:pPr>
              <w:pStyle w:val="TableContents"/>
              <w:bidi w:val="0"/>
              <w:spacing w:before="0" w:after="283"/>
              <w:jc w:val="left"/>
              <w:rPr/>
            </w:pPr>
            <w:r>
              <w:rPr>
                <w:rStyle w:val="SourceText"/>
              </w:rPr>
              <w:t>nemo_toolkit[asr] @ git+https://github.com/NVIDIA/NeMo.git@main</w:t>
            </w:r>
          </w:p>
        </w:tc>
        <w:tc>
          <w:tcPr>
            <w:tcW w:w="2584" w:type="dxa"/>
            <w:tcBorders/>
            <w:vAlign w:val="center"/>
          </w:tcPr>
          <w:p>
            <w:pPr>
              <w:pStyle w:val="TableContents"/>
              <w:bidi w:val="0"/>
              <w:spacing w:before="0" w:after="283"/>
              <w:jc w:val="left"/>
              <w:rPr/>
            </w:pPr>
            <w:r>
              <w:rPr>
                <w:rStyle w:val="SourceText"/>
              </w:rPr>
              <w:t>backend/Dockerfile:19</w:t>
            </w:r>
            <w:r>
              <w:rPr/>
              <w:t xml:space="preserve">, </w:t>
            </w:r>
            <w:r>
              <w:rPr>
                <w:rStyle w:val="SourceText"/>
              </w:rPr>
              <w:t>voice/Dockerfile:18</w:t>
            </w:r>
          </w:p>
        </w:tc>
        <w:tc>
          <w:tcPr>
            <w:tcW w:w="3048" w:type="dxa"/>
            <w:tcBorders/>
            <w:vAlign w:val="center"/>
          </w:tcPr>
          <w:p>
            <w:pPr>
              <w:pStyle w:val="TableContents"/>
              <w:bidi w:val="0"/>
              <w:spacing w:before="0" w:after="283"/>
              <w:jc w:val="left"/>
              <w:rPr/>
            </w:pPr>
            <w:r>
              <w:rPr>
                <w:rStyle w:val="Strong"/>
              </w:rPr>
              <w:t>A moving branch, not a release.</w:t>
            </w:r>
            <w:r>
              <w:rPr/>
              <w:t xml:space="preserve"> See §8</w:t>
            </w:r>
          </w:p>
        </w:tc>
      </w:tr>
      <w:tr>
        <w:trPr/>
        <w:tc>
          <w:tcPr>
            <w:tcW w:w="2487" w:type="dxa"/>
            <w:tcBorders/>
            <w:vAlign w:val="center"/>
          </w:tcPr>
          <w:p>
            <w:pPr>
              <w:pStyle w:val="TableContents"/>
              <w:bidi w:val="0"/>
              <w:spacing w:before="0" w:after="283"/>
              <w:jc w:val="left"/>
              <w:rPr/>
            </w:pPr>
            <w:r>
              <w:rPr>
                <w:rStyle w:val="SourceText"/>
              </w:rPr>
              <w:t>pip install --upgrade torchvision</w:t>
            </w:r>
          </w:p>
        </w:tc>
        <w:tc>
          <w:tcPr>
            <w:tcW w:w="2584" w:type="dxa"/>
            <w:tcBorders/>
            <w:vAlign w:val="center"/>
          </w:tcPr>
          <w:p>
            <w:pPr>
              <w:pStyle w:val="TableContents"/>
              <w:bidi w:val="0"/>
              <w:spacing w:before="0" w:after="283"/>
              <w:jc w:val="left"/>
              <w:rPr/>
            </w:pPr>
            <w:r>
              <w:rPr>
                <w:rStyle w:val="SourceText"/>
              </w:rPr>
              <w:t>backend/Dockerfile:25</w:t>
            </w:r>
            <w:r>
              <w:rPr/>
              <w:t xml:space="preserve">, </w:t>
            </w:r>
            <w:r>
              <w:rPr>
                <w:rStyle w:val="SourceText"/>
              </w:rPr>
              <w:t>voice/Dockerfile:21</w:t>
            </w:r>
          </w:p>
        </w:tc>
        <w:tc>
          <w:tcPr>
            <w:tcW w:w="3048" w:type="dxa"/>
            <w:tcBorders/>
            <w:vAlign w:val="center"/>
          </w:tcPr>
          <w:p>
            <w:pPr>
              <w:pStyle w:val="TableContents"/>
              <w:bidi w:val="0"/>
              <w:spacing w:before="0" w:after="283"/>
              <w:jc w:val="left"/>
              <w:rPr/>
            </w:pPr>
            <w:r>
              <w:rPr/>
              <w:t>Unpinned upgrade, required because NeMo upgrades torch and the NGC torchvision targets the old one</w:t>
            </w:r>
          </w:p>
        </w:tc>
      </w:tr>
      <w:tr>
        <w:trPr/>
        <w:tc>
          <w:tcPr>
            <w:tcW w:w="2487" w:type="dxa"/>
            <w:tcBorders/>
            <w:vAlign w:val="center"/>
          </w:tcPr>
          <w:p>
            <w:pPr>
              <w:pStyle w:val="TableContents"/>
              <w:bidi w:val="0"/>
              <w:spacing w:before="0" w:after="283"/>
              <w:jc w:val="left"/>
              <w:rPr/>
            </w:pPr>
            <w:r>
              <w:rPr>
                <w:rStyle w:val="SourceText"/>
              </w:rPr>
              <w:t>pip install kokoro soundfile</w:t>
            </w:r>
          </w:p>
        </w:tc>
        <w:tc>
          <w:tcPr>
            <w:tcW w:w="2584" w:type="dxa"/>
            <w:tcBorders/>
            <w:vAlign w:val="center"/>
          </w:tcPr>
          <w:p>
            <w:pPr>
              <w:pStyle w:val="TableContents"/>
              <w:bidi w:val="0"/>
              <w:spacing w:before="0" w:after="283"/>
              <w:jc w:val="left"/>
              <w:rPr/>
            </w:pPr>
            <w:r>
              <w:rPr>
                <w:rStyle w:val="SourceText"/>
              </w:rPr>
              <w:t>voice/Dockerfile:66</w:t>
            </w:r>
          </w:p>
        </w:tc>
        <w:tc>
          <w:tcPr>
            <w:tcW w:w="3048" w:type="dxa"/>
            <w:tcBorders/>
            <w:vAlign w:val="center"/>
          </w:tcPr>
          <w:p>
            <w:pPr>
              <w:pStyle w:val="TableContents"/>
              <w:bidi w:val="0"/>
              <w:spacing w:before="0" w:after="283"/>
              <w:jc w:val="left"/>
              <w:rPr/>
            </w:pPr>
            <w:r>
              <w:rPr/>
              <w:t xml:space="preserve">Unpinned; reinstalls over the pinned </w:t>
            </w:r>
            <w:r>
              <w:rPr>
                <w:rStyle w:val="SourceText"/>
              </w:rPr>
              <w:t>soundfile==0.12.1</w:t>
            </w:r>
            <w:r>
              <w:rPr/>
              <w:t xml:space="preserve"> from </w:t>
            </w:r>
            <w:r>
              <w:rPr>
                <w:rStyle w:val="SourceText"/>
              </w:rPr>
              <w:t>voice/requirements.txt</w:t>
            </w:r>
          </w:p>
        </w:tc>
      </w:tr>
      <w:tr>
        <w:trPr/>
        <w:tc>
          <w:tcPr>
            <w:tcW w:w="2487" w:type="dxa"/>
            <w:tcBorders/>
            <w:vAlign w:val="center"/>
          </w:tcPr>
          <w:p>
            <w:pPr>
              <w:pStyle w:val="TableContents"/>
              <w:bidi w:val="0"/>
              <w:spacing w:before="0" w:after="283"/>
              <w:jc w:val="left"/>
              <w:rPr/>
            </w:pPr>
            <w:r>
              <w:rPr>
                <w:rStyle w:val="SourceText"/>
              </w:rPr>
              <w:t>ollama/ollama:latest</w:t>
            </w:r>
          </w:p>
        </w:tc>
        <w:tc>
          <w:tcPr>
            <w:tcW w:w="2584" w:type="dxa"/>
            <w:tcBorders/>
            <w:vAlign w:val="center"/>
          </w:tcPr>
          <w:p>
            <w:pPr>
              <w:pStyle w:val="TableContents"/>
              <w:bidi w:val="0"/>
              <w:spacing w:before="0" w:after="283"/>
              <w:jc w:val="left"/>
              <w:rPr/>
            </w:pPr>
            <w:r>
              <w:rPr>
                <w:rStyle w:val="SourceText"/>
              </w:rPr>
              <w:t>docker/ollama/Dockerfile:2</w:t>
            </w:r>
          </w:p>
        </w:tc>
        <w:tc>
          <w:tcPr>
            <w:tcW w:w="3048" w:type="dxa"/>
            <w:tcBorders/>
            <w:vAlign w:val="center"/>
          </w:tcPr>
          <w:p>
            <w:pPr>
              <w:pStyle w:val="TableContents"/>
              <w:bidi w:val="0"/>
              <w:spacing w:before="0" w:after="283"/>
              <w:jc w:val="left"/>
              <w:rPr/>
            </w:pPr>
            <w:r>
              <w:rPr/>
              <w:t>Unpinned base image</w:t>
            </w:r>
          </w:p>
        </w:tc>
      </w:tr>
      <w:tr>
        <w:trPr/>
        <w:tc>
          <w:tcPr>
            <w:tcW w:w="2487" w:type="dxa"/>
            <w:tcBorders/>
            <w:vAlign w:val="center"/>
          </w:tcPr>
          <w:p>
            <w:pPr>
              <w:pStyle w:val="TableContents"/>
              <w:bidi w:val="0"/>
              <w:spacing w:before="0" w:after="283"/>
              <w:jc w:val="left"/>
              <w:rPr/>
            </w:pPr>
            <w:r>
              <w:rPr>
                <w:rStyle w:val="SourceText"/>
              </w:rPr>
              <w:t>cloudflare/cloudflared:latest</w:t>
            </w:r>
          </w:p>
        </w:tc>
        <w:tc>
          <w:tcPr>
            <w:tcW w:w="2584" w:type="dxa"/>
            <w:tcBorders/>
            <w:vAlign w:val="center"/>
          </w:tcPr>
          <w:p>
            <w:pPr>
              <w:pStyle w:val="TableContents"/>
              <w:bidi w:val="0"/>
              <w:spacing w:before="0" w:after="283"/>
              <w:jc w:val="left"/>
              <w:rPr/>
            </w:pPr>
            <w:r>
              <w:rPr>
                <w:rStyle w:val="SourceText"/>
              </w:rPr>
              <w:t>docker-compose.yml:224</w:t>
            </w:r>
          </w:p>
        </w:tc>
        <w:tc>
          <w:tcPr>
            <w:tcW w:w="3048" w:type="dxa"/>
            <w:tcBorders/>
            <w:vAlign w:val="center"/>
          </w:tcPr>
          <w:p>
            <w:pPr>
              <w:pStyle w:val="TableContents"/>
              <w:bidi w:val="0"/>
              <w:spacing w:before="0" w:after="283"/>
              <w:jc w:val="left"/>
              <w:rPr/>
            </w:pPr>
            <w:r>
              <w:rPr/>
              <w:t>Unpinned base image on the component that fronts public access</w:t>
            </w:r>
          </w:p>
        </w:tc>
      </w:tr>
    </w:tbl>
    <w:p>
      <w:pPr>
        <w:pStyle w:val="BodyText"/>
        <w:bidi w:val="0"/>
        <w:jc w:val="left"/>
        <w:rPr/>
      </w:pPr>
      <w:r>
        <w:rPr>
          <w:rStyle w:val="Strong"/>
        </w:rPr>
        <w:t>Rule going forward.</w:t>
      </w:r>
      <w:r>
        <w:rPr/>
        <w:t xml:space="preserve"> A new dependency is added with an exact version, or with a range that has both bounds and a stated reason. A </w:t>
      </w:r>
      <w:r>
        <w:rPr>
          <w:rStyle w:val="SourceText"/>
        </w:rPr>
        <w:t>git+…@main</w:t>
      </w:r>
      <w:r>
        <w:rPr/>
        <w:t xml:space="preserve"> reference, an </w:t>
      </w:r>
      <w:r>
        <w:rPr>
          <w:rStyle w:val="SourceText"/>
        </w:rPr>
        <w:t>--upgrade</w:t>
      </w:r>
      <w:r>
        <w:rPr/>
        <w:t xml:space="preserve"> with no version, and a </w:t>
      </w:r>
      <w:r>
        <w:rPr>
          <w:rStyle w:val="SourceText"/>
        </w:rPr>
        <w:t>:latest</w:t>
      </w:r>
      <w:r>
        <w:rPr/>
        <w:t xml:space="preserve"> base image each require the Engineering Lead's explicit approval and a note in the commit body explaining why the pinned alternative was not viable.</w:t>
      </w:r>
    </w:p>
    <w:p>
      <w:pPr>
        <w:pStyle w:val="Heading2"/>
        <w:bidi w:val="0"/>
        <w:jc w:val="left"/>
        <w:rPr/>
      </w:pPr>
      <w:r>
        <w:rPr/>
        <w:t xml:space="preserve">8. Flagship supplier-risk case: NeMo on </w:t>
      </w:r>
      <w:r>
        <w:rPr>
          <w:rStyle w:val="SourceText"/>
        </w:rPr>
        <w:t>main</w:t>
      </w:r>
    </w:p>
    <w:p>
      <w:pPr>
        <w:pStyle w:val="BodyText"/>
        <w:bidi w:val="0"/>
        <w:jc w:val="left"/>
        <w:rPr/>
      </w:pPr>
      <w:r>
        <w:rPr/>
        <w:t xml:space="preserve">Both the backend and voice images install NVIDIA NeMo from the tip of its </w:t>
      </w:r>
      <w:r>
        <w:rPr>
          <w:rStyle w:val="SourceText"/>
        </w:rPr>
        <w:t>main</w:t>
      </w:r>
      <w:r>
        <w:rPr/>
        <w:t xml:space="preserve"> branch:</w:t>
      </w:r>
    </w:p>
    <w:p>
      <w:pPr>
        <w:pStyle w:val="PreformattedText"/>
        <w:bidi w:val="0"/>
        <w:spacing w:before="0" w:after="283"/>
        <w:jc w:val="left"/>
        <w:rPr/>
      </w:pPr>
      <w:r>
        <w:rPr>
          <w:rStyle w:val="SourceText"/>
        </w:rPr>
        <w:t>pip install --no-cache-dir "nemo_toolkit[asr] @ git+https://github.com/NVIDIA/NeMo.git@main"</w:t>
      </w:r>
    </w:p>
    <w:p>
      <w:pPr>
        <w:pStyle w:val="BodyText"/>
        <w:bidi w:val="0"/>
        <w:jc w:val="left"/>
        <w:rPr/>
      </w:pPr>
      <w:r>
        <w:rPr/>
        <w:t>(</w:t>
      </w:r>
      <w:r>
        <w:rPr>
          <w:rStyle w:val="SourceText"/>
        </w:rPr>
        <w:t>backend/Dockerfile:19</w:t>
      </w:r>
      <w:r>
        <w:rPr/>
        <w:t xml:space="preserve">, </w:t>
      </w:r>
      <w:r>
        <w:rPr>
          <w:rStyle w:val="SourceText"/>
        </w:rPr>
        <w:t>voice/Dockerfile:18</w:t>
      </w:r>
      <w:r>
        <w:rPr/>
        <w:t>)</w:t>
      </w:r>
    </w:p>
    <w:p>
      <w:pPr>
        <w:pStyle w:val="BodyText"/>
        <w:bidi w:val="0"/>
        <w:jc w:val="left"/>
        <w:rPr/>
      </w:pPr>
      <w:r>
        <w:rPr/>
        <w:t>This is the single largest supplier risk in the product. The dependency is not a release; it is whatever NVIDIA last pushed. Two builds of the same EchoMind commit, minutes apart, can install different code.</w:t>
      </w:r>
    </w:p>
    <w:p>
      <w:pPr>
        <w:pStyle w:val="BodyText"/>
        <w:bidi w:val="0"/>
        <w:jc w:val="left"/>
        <w:rPr/>
      </w:pPr>
      <w:r>
        <w:rPr>
          <w:rStyle w:val="Strong"/>
        </w:rPr>
        <w:t>Evidenced failure.</w:t>
      </w:r>
      <w:r>
        <w:rPr/>
        <w:t xml:space="preserve"> Commit </w:t>
      </w:r>
      <w:r>
        <w:rPr>
          <w:rStyle w:val="SourceText"/>
        </w:rPr>
        <w:t>724fb98</w:t>
      </w:r>
      <w:r>
        <w:rPr/>
        <w:t xml:space="preserve"> records the outage this caused. NeMo on </w:t>
      </w:r>
      <w:r>
        <w:rPr>
          <w:rStyle w:val="SourceText"/>
        </w:rPr>
        <w:t>main</w:t>
      </w:r>
      <w:r>
        <w:rPr/>
        <w:t xml:space="preserve"> began pulling </w:t>
      </w:r>
      <w:r>
        <w:rPr>
          <w:rStyle w:val="SourceText"/>
        </w:rPr>
        <w:t>setuptools&gt;=82</w:t>
      </w:r>
      <w:r>
        <w:rPr/>
        <w:t xml:space="preserve">, which removed </w:t>
      </w:r>
      <w:r>
        <w:rPr>
          <w:rStyle w:val="SourceText"/>
        </w:rPr>
        <w:t>pkg_resources</w:t>
      </w:r>
      <w:r>
        <w:rPr/>
        <w:t xml:space="preserve">. </w:t>
      </w:r>
      <w:r>
        <w:rPr>
          <w:rStyle w:val="SourceText"/>
        </w:rPr>
        <w:t>librosa</w:t>
      </w:r>
      <w:r>
        <w:rPr/>
        <w:t xml:space="preserve"> imports </w:t>
      </w:r>
      <w:r>
        <w:rPr>
          <w:rStyle w:val="SourceText"/>
        </w:rPr>
        <w:t>pkg_resources</w:t>
      </w:r>
      <w:r>
        <w:rPr/>
        <w:t xml:space="preserve"> at build time, so the backend warmup crashed during the image build; </w:t>
      </w:r>
      <w:r>
        <w:rPr>
          <w:rStyle w:val="SourceText"/>
        </w:rPr>
        <w:t>webrtcvad</w:t>
      </w:r>
      <w:r>
        <w:rPr/>
        <w:t xml:space="preserve"> imports it at runtime, so the voice container went into a crash loop on boot. Neither change originated in Ajace AI's own code. The failure surfaced only when the images were finally rebuilt from source after a period of in-place </w:t>
      </w:r>
      <w:r>
        <w:rPr>
          <w:rStyle w:val="SourceText"/>
        </w:rPr>
        <w:t>docker cp</w:t>
      </w:r>
      <w:r>
        <w:rPr/>
        <w:t xml:space="preserve"> patching, so the cause and the drift compounded each other.</w:t>
      </w:r>
    </w:p>
    <w:p>
      <w:pPr>
        <w:pStyle w:val="BodyText"/>
        <w:bidi w:val="0"/>
        <w:jc w:val="left"/>
        <w:rPr/>
      </w:pPr>
      <w:r>
        <w:rPr>
          <w:rStyle w:val="Strong"/>
        </w:rPr>
        <w:t>Mitigation in place.</w:t>
      </w:r>
      <w:r>
        <w:rPr/>
        <w:t xml:space="preserve"> Both Dockerfiles now re-pin setuptools as the </w:t>
      </w:r>
      <w:r>
        <w:rPr>
          <w:rStyle w:val="Strong"/>
        </w:rPr>
        <w:t>last</w:t>
      </w:r>
      <w:r>
        <w:rPr/>
        <w:t xml:space="preserve"> install step, after everything that could raise it:</w:t>
      </w:r>
    </w:p>
    <w:p>
      <w:pPr>
        <w:pStyle w:val="BodyText"/>
        <w:numPr>
          <w:ilvl w:val="0"/>
          <w:numId w:val="2"/>
        </w:numPr>
        <w:tabs>
          <w:tab w:val="clear" w:pos="1134"/>
          <w:tab w:val="left" w:pos="709" w:leader="none"/>
        </w:tabs>
        <w:bidi w:val="0"/>
        <w:spacing w:before="0" w:after="0"/>
        <w:ind w:hanging="283" w:left="709"/>
        <w:jc w:val="left"/>
        <w:rPr/>
      </w:pPr>
      <w:r>
        <w:rPr>
          <w:rStyle w:val="SourceText"/>
        </w:rPr>
        <w:t>backend/Dockerfile:30-32</w:t>
      </w:r>
      <w:r>
        <w:rPr/>
        <w:t xml:space="preserve"> — with the inline comment recording the cause: </w:t>
      </w:r>
      <w:r>
        <w:rPr>
          <w:rStyle w:val="Emphasis"/>
        </w:rPr>
        <w:t>"librosa (via NeMo) imports pkg_resources, which setuptools &gt;=82 removed — NeMo installs from git@main, so rebuilds drift and dropped it."</w:t>
      </w:r>
      <w:r>
        <w:rPr/>
        <w:t xml:space="preserve"> </w:t>
      </w:r>
    </w:p>
    <w:p>
      <w:pPr>
        <w:pStyle w:val="BodyText"/>
        <w:numPr>
          <w:ilvl w:val="0"/>
          <w:numId w:val="2"/>
        </w:numPr>
        <w:tabs>
          <w:tab w:val="clear" w:pos="1134"/>
          <w:tab w:val="left" w:pos="709" w:leader="none"/>
        </w:tabs>
        <w:bidi w:val="0"/>
        <w:ind w:hanging="283" w:left="709"/>
        <w:jc w:val="left"/>
        <w:rPr/>
      </w:pPr>
      <w:r>
        <w:rPr>
          <w:rStyle w:val="SourceText"/>
        </w:rPr>
        <w:t>voice/Dockerfile:77-79</w:t>
      </w:r>
      <w:r>
        <w:rPr/>
        <w:t xml:space="preserve"> — </w:t>
      </w:r>
      <w:r>
        <w:rPr>
          <w:rStyle w:val="Emphasis"/>
        </w:rPr>
        <w:t>"Re-pin setuptools LAST: kokoro/nemo/torchvision installs above pull in setuptools&gt;=82."</w:t>
      </w:r>
      <w:r>
        <w:rPr/>
        <w:t xml:space="preserve"> </w:t>
      </w:r>
    </w:p>
    <w:p>
      <w:pPr>
        <w:pStyle w:val="BodyText"/>
        <w:bidi w:val="0"/>
        <w:jc w:val="left"/>
        <w:rPr/>
      </w:pPr>
      <w:r>
        <w:rPr>
          <w:rStyle w:val="Strong"/>
        </w:rPr>
        <w:t>Assessment.</w:t>
      </w:r>
      <w:r>
        <w:rPr/>
        <w:t xml:space="preserve"> The mitigation addresses the symptom that was observed. It does not address the cause, which is that the dependency has no fixed version. The residual risk is that the next incompatible change from </w:t>
      </w:r>
      <w:r>
        <w:rPr>
          <w:rStyle w:val="SourceText"/>
        </w:rPr>
        <w:t>main</w:t>
      </w:r>
      <w:r>
        <w:rPr/>
        <w:t xml:space="preserve"> will be a different one, and will be discovered the same way — by a build or a runtime crash. The controls that would close it are, in ascending order of effort: pinning to a NeMo release tag; pinning to a specific commit SHA; or vendoring the subset actually used (a </w:t>
      </w:r>
      <w:r>
        <w:rPr>
          <w:rStyle w:val="SourceText"/>
        </w:rPr>
        <w:t>nemotron_asr</w:t>
      </w:r>
      <w:r>
        <w:rPr/>
        <w:t xml:space="preserve"> package is already vendored in the tree, so the pattern exists).</w:t>
      </w:r>
    </w:p>
    <w:p>
      <w:pPr>
        <w:pStyle w:val="BodyText"/>
        <w:bidi w:val="0"/>
        <w:jc w:val="left"/>
        <w:rPr/>
      </w:pPr>
      <w:r>
        <w:rPr/>
        <w:t xml:space="preserve">Until one of those is adopted, </w:t>
      </w:r>
      <w:r>
        <w:rPr>
          <w:rStyle w:val="Strong"/>
        </w:rPr>
        <w:t>every image build is a live, unversioned dependency on a third-party branch</w:t>
      </w:r>
      <w:r>
        <w:rPr/>
        <w:t>, and this must be stated as such to any customer who asks how the product is built.</w:t>
      </w:r>
    </w:p>
    <w:p>
      <w:pPr>
        <w:pStyle w:val="Heading2"/>
        <w:bidi w:val="0"/>
        <w:jc w:val="left"/>
        <w:rPr/>
      </w:pPr>
      <w:r>
        <w:rPr/>
        <w:t xml:space="preserve">9. </w:t>
      </w:r>
      <w:r>
        <w:rPr>
          <w:rStyle w:val="SourceText"/>
        </w:rPr>
        <w:t>mirrors.mit.edu</w:t>
      </w:r>
      <w:r>
        <w:rPr/>
        <w:t xml:space="preserve"> — an undocumented supplier</w:t>
      </w:r>
    </w:p>
    <w:p>
      <w:pPr>
        <w:pStyle w:val="BodyText"/>
        <w:bidi w:val="0"/>
        <w:jc w:val="left"/>
        <w:rPr/>
      </w:pPr>
      <w:r>
        <w:rPr/>
        <w:t>Both the backend and voice image builds, and the Ollama image build, rewrite the Ubuntu APT sources to point at MIT's mirror:</w:t>
      </w:r>
    </w:p>
    <w:p>
      <w:pPr>
        <w:pStyle w:val="BodyText"/>
        <w:numPr>
          <w:ilvl w:val="0"/>
          <w:numId w:val="3"/>
        </w:numPr>
        <w:tabs>
          <w:tab w:val="clear" w:pos="1134"/>
          <w:tab w:val="left" w:pos="709" w:leader="none"/>
        </w:tabs>
        <w:bidi w:val="0"/>
        <w:spacing w:before="0" w:after="0"/>
        <w:ind w:hanging="283" w:left="709"/>
        <w:jc w:val="left"/>
        <w:rPr/>
      </w:pPr>
      <w:r>
        <w:rPr>
          <w:rStyle w:val="SourceText"/>
        </w:rPr>
        <w:t>backend/Dockerfile:7</w:t>
      </w:r>
      <w:r>
        <w:rPr/>
        <w:t xml:space="preserve"> and </w:t>
      </w:r>
      <w:r>
        <w:rPr>
          <w:rStyle w:val="SourceText"/>
        </w:rPr>
        <w:t>voice/Dockerfile:5</w:t>
      </w:r>
      <w:r>
        <w:rPr/>
        <w:t xml:space="preserve"> rewrite </w:t>
      </w:r>
      <w:r>
        <w:rPr>
          <w:rStyle w:val="SourceText"/>
        </w:rPr>
        <w:t>ports.ubuntu.com</w:t>
      </w:r>
      <w:r>
        <w:rPr/>
        <w:t xml:space="preserve"> → </w:t>
      </w:r>
      <w:r>
        <w:rPr>
          <w:rStyle w:val="SourceText"/>
        </w:rPr>
        <w:t>http://mirrors.mit.edu/ubuntu-ports/</w:t>
      </w:r>
      <w:r>
        <w:rPr/>
        <w:t xml:space="preserve"> </w:t>
      </w:r>
    </w:p>
    <w:p>
      <w:pPr>
        <w:pStyle w:val="BodyText"/>
        <w:numPr>
          <w:ilvl w:val="0"/>
          <w:numId w:val="3"/>
        </w:numPr>
        <w:tabs>
          <w:tab w:val="clear" w:pos="1134"/>
          <w:tab w:val="left" w:pos="709" w:leader="none"/>
        </w:tabs>
        <w:bidi w:val="0"/>
        <w:ind w:hanging="283" w:left="709"/>
        <w:jc w:val="left"/>
        <w:rPr/>
      </w:pPr>
      <w:r>
        <w:rPr>
          <w:rStyle w:val="SourceText"/>
        </w:rPr>
        <w:t>docker/ollama/Dockerfile:6</w:t>
      </w:r>
      <w:r>
        <w:rPr/>
        <w:t xml:space="preserve"> does the same </w:t>
      </w:r>
    </w:p>
    <w:p>
      <w:pPr>
        <w:pStyle w:val="BodyText"/>
        <w:bidi w:val="0"/>
        <w:jc w:val="left"/>
        <w:rPr/>
      </w:pPr>
      <w:r>
        <w:rPr>
          <w:rStyle w:val="SourceText"/>
        </w:rPr>
        <w:t>mirrors.mit.edu</w:t>
      </w:r>
      <w:r>
        <w:rPr/>
        <w:t xml:space="preserve"> is therefore a supplier of operating-system packages to every EchoMind image. Nothing in the repository says why it was chosen, who owns the relationship, or what to do if it is unavailable. The backend build has a crude resilience measure — a retry after a 20-second sleep (</w:t>
      </w:r>
      <w:r>
        <w:rPr>
          <w:rStyle w:val="SourceText"/>
        </w:rPr>
        <w:t>backend/Dockerfile:9-10</w:t>
      </w:r>
      <w:r>
        <w:rPr/>
        <w:t>) — but no alternative mirror.</w:t>
      </w:r>
    </w:p>
    <w:p>
      <w:pPr>
        <w:pStyle w:val="BodyText"/>
        <w:bidi w:val="0"/>
        <w:jc w:val="left"/>
        <w:rPr/>
      </w:pPr>
      <w:r>
        <w:rPr/>
        <w:t xml:space="preserve">Recorded here so that it is at least identified. It is entered in </w:t>
      </w:r>
      <w:r>
        <w:rPr>
          <w:rStyle w:val="SourceText"/>
        </w:rPr>
        <w:t>registers/REG-02_External_Documents_and_Providers.md</w:t>
      </w:r>
      <w:r>
        <w:rPr/>
        <w:t xml:space="preserve"> as a supplier, with the rationale to be completed by the Engineering Lead: </w:t>
      </w:r>
      <w:r>
        <w:rPr>
          <w:rStyle w:val="SourceText"/>
        </w:rPr>
        <w:t>________________________</w:t>
      </w:r>
      <w:r>
        <w:rPr/>
        <w:t>.</w:t>
      </w:r>
    </w:p>
    <w:p>
      <w:pPr>
        <w:pStyle w:val="Heading2"/>
        <w:bidi w:val="0"/>
        <w:jc w:val="left"/>
        <w:rPr/>
      </w:pPr>
      <w:r>
        <w:rPr/>
        <w:t>10. Selection, evaluation and re-evaluation (8.4.1)</w:t>
      </w:r>
    </w:p>
    <w:p>
      <w:pPr>
        <w:pStyle w:val="Heading3"/>
        <w:bidi w:val="0"/>
        <w:jc w:val="left"/>
        <w:rPr/>
      </w:pPr>
      <w:r>
        <w:rPr/>
        <w:t>10.1 Criteria for selection</w:t>
      </w:r>
    </w:p>
    <w:p>
      <w:pPr>
        <w:pStyle w:val="BodyText"/>
        <w:bidi w:val="0"/>
        <w:jc w:val="left"/>
        <w:rPr/>
      </w:pPr>
      <w:r>
        <w:rPr/>
        <w:t>A provider or component is selected against the following criteria. They are stated here for the first time; existing choices were made before they were written down, and are assessed against them retrospectively at the next review.</w:t>
      </w:r>
    </w:p>
    <w:tbl>
      <w:tblPr>
        <w:tblW w:w="8119" w:type="dxa"/>
        <w:jc w:val="left"/>
        <w:tblInd w:w="0" w:type="dxa"/>
        <w:tblLayout w:type="fixed"/>
        <w:tblCellMar>
          <w:top w:w="28" w:type="dxa"/>
          <w:left w:w="28" w:type="dxa"/>
          <w:bottom w:w="28" w:type="dxa"/>
          <w:right w:w="28" w:type="dxa"/>
        </w:tblCellMar>
      </w:tblPr>
      <w:tblGrid>
        <w:gridCol w:w="330"/>
        <w:gridCol w:w="3823"/>
        <w:gridCol w:w="3966"/>
      </w:tblGrid>
      <w:tr>
        <w:trPr>
          <w:tblHeader w:val="true"/>
        </w:trPr>
        <w:tc>
          <w:tcPr>
            <w:tcW w:w="330" w:type="dxa"/>
            <w:tcBorders/>
            <w:vAlign w:val="center"/>
          </w:tcPr>
          <w:p>
            <w:pPr>
              <w:pStyle w:val="TableHeading"/>
              <w:suppressLineNumbers/>
              <w:shd w:fill="1F3A5F" w:val="clear"/>
              <w:bidi w:val="0"/>
              <w:spacing w:before="0" w:after="283"/>
              <w:jc w:val="center"/>
              <w:rPr/>
            </w:pPr>
            <w:r>
              <w:rPr/>
              <w:t>#</w:t>
            </w:r>
          </w:p>
        </w:tc>
        <w:tc>
          <w:tcPr>
            <w:tcW w:w="3823" w:type="dxa"/>
            <w:tcBorders/>
            <w:vAlign w:val="center"/>
          </w:tcPr>
          <w:p>
            <w:pPr>
              <w:pStyle w:val="TableHeading"/>
              <w:suppressLineNumbers/>
              <w:shd w:fill="1F3A5F" w:val="clear"/>
              <w:bidi w:val="0"/>
              <w:spacing w:before="0" w:after="283"/>
              <w:jc w:val="center"/>
              <w:rPr/>
            </w:pPr>
            <w:r>
              <w:rPr/>
              <w:t>Criterion</w:t>
            </w:r>
          </w:p>
        </w:tc>
        <w:tc>
          <w:tcPr>
            <w:tcW w:w="3966" w:type="dxa"/>
            <w:tcBorders/>
            <w:vAlign w:val="center"/>
          </w:tcPr>
          <w:p>
            <w:pPr>
              <w:pStyle w:val="TableHeading"/>
              <w:suppressLineNumbers/>
              <w:shd w:fill="1F3A5F" w:val="clear"/>
              <w:bidi w:val="0"/>
              <w:spacing w:before="0" w:after="283"/>
              <w:jc w:val="center"/>
              <w:rPr/>
            </w:pPr>
            <w:r>
              <w:rPr/>
              <w:t>Why it matters for this product</w:t>
            </w:r>
          </w:p>
        </w:tc>
      </w:tr>
      <w:tr>
        <w:trPr/>
        <w:tc>
          <w:tcPr>
            <w:tcW w:w="330" w:type="dxa"/>
            <w:tcBorders/>
            <w:vAlign w:val="center"/>
          </w:tcPr>
          <w:p>
            <w:pPr>
              <w:pStyle w:val="TableContents"/>
              <w:bidi w:val="0"/>
              <w:spacing w:before="0" w:after="283"/>
              <w:jc w:val="left"/>
              <w:rPr/>
            </w:pPr>
            <w:r>
              <w:rPr/>
              <w:t>C-1</w:t>
            </w:r>
          </w:p>
        </w:tc>
        <w:tc>
          <w:tcPr>
            <w:tcW w:w="3823" w:type="dxa"/>
            <w:tcBorders/>
            <w:vAlign w:val="center"/>
          </w:tcPr>
          <w:p>
            <w:pPr>
              <w:pStyle w:val="TableContents"/>
              <w:bidi w:val="0"/>
              <w:spacing w:before="0" w:after="283"/>
              <w:jc w:val="left"/>
              <w:rPr/>
            </w:pPr>
            <w:r>
              <w:rPr>
                <w:rStyle w:val="Strong"/>
              </w:rPr>
              <w:t>Weights or source can be obtained once and cached locally</w:t>
            </w:r>
          </w:p>
        </w:tc>
        <w:tc>
          <w:tcPr>
            <w:tcW w:w="3966" w:type="dxa"/>
            <w:tcBorders/>
            <w:vAlign w:val="center"/>
          </w:tcPr>
          <w:p>
            <w:pPr>
              <w:pStyle w:val="TableContents"/>
              <w:bidi w:val="0"/>
              <w:spacing w:before="0" w:after="283"/>
              <w:jc w:val="left"/>
              <w:rPr/>
            </w:pPr>
            <w:r>
              <w:rPr/>
              <w:t>Without this the component cannot be used offline at all</w:t>
            </w:r>
          </w:p>
        </w:tc>
      </w:tr>
      <w:tr>
        <w:trPr/>
        <w:tc>
          <w:tcPr>
            <w:tcW w:w="330" w:type="dxa"/>
            <w:tcBorders/>
            <w:vAlign w:val="center"/>
          </w:tcPr>
          <w:p>
            <w:pPr>
              <w:pStyle w:val="TableContents"/>
              <w:bidi w:val="0"/>
              <w:spacing w:before="0" w:after="283"/>
              <w:jc w:val="left"/>
              <w:rPr/>
            </w:pPr>
            <w:r>
              <w:rPr/>
              <w:t>C-2</w:t>
            </w:r>
          </w:p>
        </w:tc>
        <w:tc>
          <w:tcPr>
            <w:tcW w:w="3823" w:type="dxa"/>
            <w:tcBorders/>
            <w:vAlign w:val="center"/>
          </w:tcPr>
          <w:p>
            <w:pPr>
              <w:pStyle w:val="TableContents"/>
              <w:bidi w:val="0"/>
              <w:spacing w:before="0" w:after="283"/>
              <w:jc w:val="left"/>
              <w:rPr/>
            </w:pPr>
            <w:r>
              <w:rPr>
                <w:rStyle w:val="Strong"/>
              </w:rPr>
              <w:t>Licence permits commercial redistribution inside a customer deployment</w:t>
            </w:r>
          </w:p>
        </w:tc>
        <w:tc>
          <w:tcPr>
            <w:tcW w:w="3966" w:type="dxa"/>
            <w:tcBorders/>
            <w:vAlign w:val="center"/>
          </w:tcPr>
          <w:p>
            <w:pPr>
              <w:pStyle w:val="TableContents"/>
              <w:bidi w:val="0"/>
              <w:spacing w:before="0" w:after="283"/>
              <w:jc w:val="left"/>
              <w:rPr/>
            </w:pPr>
            <w:r>
              <w:rPr/>
              <w:t>We ship the weights to defence, government and regulated customers</w:t>
            </w:r>
          </w:p>
        </w:tc>
      </w:tr>
      <w:tr>
        <w:trPr/>
        <w:tc>
          <w:tcPr>
            <w:tcW w:w="330" w:type="dxa"/>
            <w:tcBorders/>
            <w:vAlign w:val="center"/>
          </w:tcPr>
          <w:p>
            <w:pPr>
              <w:pStyle w:val="TableContents"/>
              <w:bidi w:val="0"/>
              <w:spacing w:before="0" w:after="283"/>
              <w:jc w:val="left"/>
              <w:rPr/>
            </w:pPr>
            <w:r>
              <w:rPr/>
              <w:t>C-3</w:t>
            </w:r>
          </w:p>
        </w:tc>
        <w:tc>
          <w:tcPr>
            <w:tcW w:w="3823" w:type="dxa"/>
            <w:tcBorders/>
            <w:vAlign w:val="center"/>
          </w:tcPr>
          <w:p>
            <w:pPr>
              <w:pStyle w:val="TableContents"/>
              <w:bidi w:val="0"/>
              <w:spacing w:before="0" w:after="283"/>
              <w:jc w:val="left"/>
              <w:rPr/>
            </w:pPr>
            <w:r>
              <w:rPr>
                <w:rStyle w:val="Strong"/>
              </w:rPr>
              <w:t>Version can be pinned to something immutable</w:t>
            </w:r>
          </w:p>
        </w:tc>
        <w:tc>
          <w:tcPr>
            <w:tcW w:w="3966" w:type="dxa"/>
            <w:tcBorders/>
            <w:vAlign w:val="center"/>
          </w:tcPr>
          <w:p>
            <w:pPr>
              <w:pStyle w:val="TableContents"/>
              <w:bidi w:val="0"/>
              <w:spacing w:before="0" w:after="283"/>
              <w:jc w:val="left"/>
              <w:rPr/>
            </w:pPr>
            <w:r>
              <w:rPr/>
              <w:t>Reproducibility of the build (§4.2)</w:t>
            </w:r>
          </w:p>
        </w:tc>
      </w:tr>
      <w:tr>
        <w:trPr/>
        <w:tc>
          <w:tcPr>
            <w:tcW w:w="330" w:type="dxa"/>
            <w:tcBorders/>
            <w:vAlign w:val="center"/>
          </w:tcPr>
          <w:p>
            <w:pPr>
              <w:pStyle w:val="TableContents"/>
              <w:bidi w:val="0"/>
              <w:spacing w:before="0" w:after="283"/>
              <w:jc w:val="left"/>
              <w:rPr/>
            </w:pPr>
            <w:r>
              <w:rPr/>
              <w:t>C-4</w:t>
            </w:r>
          </w:p>
        </w:tc>
        <w:tc>
          <w:tcPr>
            <w:tcW w:w="3823" w:type="dxa"/>
            <w:tcBorders/>
            <w:vAlign w:val="center"/>
          </w:tcPr>
          <w:p>
            <w:pPr>
              <w:pStyle w:val="TableContents"/>
              <w:bidi w:val="0"/>
              <w:spacing w:before="0" w:after="283"/>
              <w:jc w:val="left"/>
              <w:rPr/>
            </w:pPr>
            <w:r>
              <w:rPr>
                <w:rStyle w:val="Strong"/>
              </w:rPr>
              <w:t>No telemetry, no call-home, no runtime service dependency</w:t>
            </w:r>
          </w:p>
        </w:tc>
        <w:tc>
          <w:tcPr>
            <w:tcW w:w="3966" w:type="dxa"/>
            <w:tcBorders/>
            <w:vAlign w:val="center"/>
          </w:tcPr>
          <w:p>
            <w:pPr>
              <w:pStyle w:val="TableContents"/>
              <w:bidi w:val="0"/>
              <w:spacing w:before="0" w:after="283"/>
              <w:jc w:val="left"/>
              <w:rPr/>
            </w:pPr>
            <w:r>
              <w:rPr/>
              <w:t>QP-01 §2.2 — data does not leave the customer perimeter</w:t>
            </w:r>
          </w:p>
        </w:tc>
      </w:tr>
      <w:tr>
        <w:trPr/>
        <w:tc>
          <w:tcPr>
            <w:tcW w:w="330" w:type="dxa"/>
            <w:tcBorders/>
            <w:vAlign w:val="center"/>
          </w:tcPr>
          <w:p>
            <w:pPr>
              <w:pStyle w:val="TableContents"/>
              <w:bidi w:val="0"/>
              <w:spacing w:before="0" w:after="283"/>
              <w:jc w:val="left"/>
              <w:rPr/>
            </w:pPr>
            <w:r>
              <w:rPr/>
              <w:t>C-5</w:t>
            </w:r>
          </w:p>
        </w:tc>
        <w:tc>
          <w:tcPr>
            <w:tcW w:w="3823" w:type="dxa"/>
            <w:tcBorders/>
            <w:vAlign w:val="center"/>
          </w:tcPr>
          <w:p>
            <w:pPr>
              <w:pStyle w:val="TableContents"/>
              <w:bidi w:val="0"/>
              <w:spacing w:before="0" w:after="283"/>
              <w:jc w:val="left"/>
              <w:rPr/>
            </w:pPr>
            <w:r>
              <w:rPr>
                <w:rStyle w:val="Strong"/>
              </w:rPr>
              <w:t>Runs within the reference hardware envelope</w:t>
            </w:r>
            <w:r>
              <w:rPr/>
              <w:t xml:space="preserve"> (DGX Spark GB10)</w:t>
            </w:r>
          </w:p>
        </w:tc>
        <w:tc>
          <w:tcPr>
            <w:tcW w:w="3966" w:type="dxa"/>
            <w:tcBorders/>
            <w:vAlign w:val="center"/>
          </w:tcPr>
          <w:p>
            <w:pPr>
              <w:pStyle w:val="TableContents"/>
              <w:bidi w:val="0"/>
              <w:spacing w:before="0" w:after="283"/>
              <w:jc w:val="left"/>
              <w:rPr/>
            </w:pPr>
            <w:r>
              <w:rPr/>
              <w:t>A model that does not fit is not a candidate however good it is</w:t>
            </w:r>
          </w:p>
        </w:tc>
      </w:tr>
      <w:tr>
        <w:trPr/>
        <w:tc>
          <w:tcPr>
            <w:tcW w:w="330" w:type="dxa"/>
            <w:tcBorders/>
            <w:vAlign w:val="center"/>
          </w:tcPr>
          <w:p>
            <w:pPr>
              <w:pStyle w:val="TableContents"/>
              <w:bidi w:val="0"/>
              <w:spacing w:before="0" w:after="283"/>
              <w:jc w:val="left"/>
              <w:rPr/>
            </w:pPr>
            <w:r>
              <w:rPr/>
              <w:t>C-6</w:t>
            </w:r>
          </w:p>
        </w:tc>
        <w:tc>
          <w:tcPr>
            <w:tcW w:w="3823" w:type="dxa"/>
            <w:tcBorders/>
            <w:vAlign w:val="center"/>
          </w:tcPr>
          <w:p>
            <w:pPr>
              <w:pStyle w:val="TableContents"/>
              <w:bidi w:val="0"/>
              <w:spacing w:before="0" w:after="283"/>
              <w:jc w:val="left"/>
              <w:rPr/>
            </w:pPr>
            <w:r>
              <w:rPr>
                <w:rStyle w:val="Strong"/>
              </w:rPr>
              <w:t>Measurable on the golden evaluation</w:t>
            </w:r>
          </w:p>
        </w:tc>
        <w:tc>
          <w:tcPr>
            <w:tcW w:w="3966" w:type="dxa"/>
            <w:tcBorders/>
            <w:vAlign w:val="center"/>
          </w:tcPr>
          <w:p>
            <w:pPr>
              <w:pStyle w:val="TableContents"/>
              <w:bidi w:val="0"/>
              <w:spacing w:before="0" w:after="283"/>
              <w:jc w:val="left"/>
              <w:rPr/>
            </w:pPr>
            <w:r>
              <w:rPr/>
              <w:t>A model swap is an S-2 change under SOP-06 and must be evidenced, not asserted</w:t>
            </w:r>
          </w:p>
        </w:tc>
      </w:tr>
      <w:tr>
        <w:trPr/>
        <w:tc>
          <w:tcPr>
            <w:tcW w:w="330" w:type="dxa"/>
            <w:tcBorders/>
            <w:vAlign w:val="center"/>
          </w:tcPr>
          <w:p>
            <w:pPr>
              <w:pStyle w:val="TableContents"/>
              <w:bidi w:val="0"/>
              <w:spacing w:before="0" w:after="283"/>
              <w:jc w:val="left"/>
              <w:rPr/>
            </w:pPr>
            <w:r>
              <w:rPr/>
              <w:t>C-7</w:t>
            </w:r>
          </w:p>
        </w:tc>
        <w:tc>
          <w:tcPr>
            <w:tcW w:w="3823" w:type="dxa"/>
            <w:tcBorders/>
            <w:vAlign w:val="center"/>
          </w:tcPr>
          <w:p>
            <w:pPr>
              <w:pStyle w:val="TableContents"/>
              <w:bidi w:val="0"/>
              <w:spacing w:before="0" w:after="283"/>
              <w:jc w:val="left"/>
              <w:rPr/>
            </w:pPr>
            <w:r>
              <w:rPr>
                <w:rStyle w:val="Strong"/>
              </w:rPr>
              <w:t>Acquisition does not require accepting terms we cannot pass to a customer</w:t>
            </w:r>
          </w:p>
        </w:tc>
        <w:tc>
          <w:tcPr>
            <w:tcW w:w="3966" w:type="dxa"/>
            <w:tcBorders/>
            <w:vAlign w:val="center"/>
          </w:tcPr>
          <w:p>
            <w:pPr>
              <w:pStyle w:val="TableContents"/>
              <w:bidi w:val="0"/>
              <w:spacing w:before="0" w:after="283"/>
              <w:jc w:val="left"/>
              <w:rPr/>
            </w:pPr>
            <w:r>
              <w:rPr/>
              <w:t>Applies directly to the gated Nemotron model (§11)</w:t>
            </w:r>
          </w:p>
        </w:tc>
      </w:tr>
    </w:tbl>
    <w:p>
      <w:pPr>
        <w:pStyle w:val="Heading3"/>
        <w:bidi w:val="0"/>
        <w:jc w:val="left"/>
        <w:rPr/>
      </w:pPr>
      <w:r>
        <w:rPr/>
        <w:t>10.2 Evaluation before adoption</w:t>
      </w:r>
    </w:p>
    <w:p>
      <w:pPr>
        <w:pStyle w:val="BodyText"/>
        <w:numPr>
          <w:ilvl w:val="0"/>
          <w:numId w:val="4"/>
        </w:numPr>
        <w:tabs>
          <w:tab w:val="clear" w:pos="1134"/>
          <w:tab w:val="left" w:pos="709" w:leader="none"/>
        </w:tabs>
        <w:bidi w:val="0"/>
        <w:spacing w:before="0" w:after="0"/>
        <w:ind w:hanging="283" w:left="709"/>
        <w:jc w:val="left"/>
        <w:rPr/>
      </w:pPr>
      <w:r>
        <w:rPr/>
        <w:t xml:space="preserve">The component is added in a branch or working tree and a </w:t>
      </w:r>
      <w:r>
        <w:rPr>
          <w:rStyle w:val="Strong"/>
        </w:rPr>
        <w:t>from-scratch image build</w:t>
      </w:r>
      <w:r>
        <w:rPr/>
        <w:t xml:space="preserve"> is run. A dependency that only works incrementally is not adopted. </w:t>
      </w:r>
    </w:p>
    <w:p>
      <w:pPr>
        <w:pStyle w:val="BodyText"/>
        <w:numPr>
          <w:ilvl w:val="0"/>
          <w:numId w:val="4"/>
        </w:numPr>
        <w:tabs>
          <w:tab w:val="clear" w:pos="1134"/>
          <w:tab w:val="left" w:pos="709" w:leader="none"/>
        </w:tabs>
        <w:bidi w:val="0"/>
        <w:spacing w:before="0" w:after="0"/>
        <w:ind w:hanging="283" w:left="709"/>
        <w:jc w:val="left"/>
        <w:rPr/>
      </w:pPr>
      <w:r>
        <w:rPr/>
        <w:t xml:space="preserve">Verification per SOP-07 §5 is run. For a model swap this includes the golden evaluation, and the report is retained. </w:t>
      </w:r>
    </w:p>
    <w:p>
      <w:pPr>
        <w:pStyle w:val="BodyText"/>
        <w:numPr>
          <w:ilvl w:val="0"/>
          <w:numId w:val="4"/>
        </w:numPr>
        <w:tabs>
          <w:tab w:val="clear" w:pos="1134"/>
          <w:tab w:val="left" w:pos="709" w:leader="none"/>
        </w:tabs>
        <w:bidi w:val="0"/>
        <w:spacing w:before="0" w:after="0"/>
        <w:ind w:hanging="283" w:left="709"/>
        <w:jc w:val="left"/>
        <w:rPr/>
      </w:pPr>
      <w:r>
        <w:rPr/>
        <w:t xml:space="preserve">Licence and provenance are recorded in </w:t>
      </w:r>
      <w:r>
        <w:rPr>
          <w:rStyle w:val="SourceText"/>
        </w:rPr>
        <w:t>registers/REG-02_External_Documents_and_Providers.md</w:t>
      </w:r>
      <w:r>
        <w:rPr/>
        <w:t xml:space="preserve"> </w:t>
      </w:r>
      <w:r>
        <w:rPr>
          <w:rStyle w:val="Strong"/>
        </w:rPr>
        <w:t>before</w:t>
      </w:r>
      <w:r>
        <w:rPr/>
        <w:t xml:space="preserve"> the component is merged. </w:t>
      </w:r>
    </w:p>
    <w:p>
      <w:pPr>
        <w:pStyle w:val="BodyText"/>
        <w:numPr>
          <w:ilvl w:val="0"/>
          <w:numId w:val="4"/>
        </w:numPr>
        <w:tabs>
          <w:tab w:val="clear" w:pos="1134"/>
          <w:tab w:val="left" w:pos="709" w:leader="none"/>
        </w:tabs>
        <w:bidi w:val="0"/>
        <w:ind w:hanging="283" w:left="709"/>
        <w:jc w:val="left"/>
        <w:rPr/>
      </w:pPr>
      <w:r>
        <w:rPr/>
        <w:t xml:space="preserve">The Engineering Lead approves. For a model, the Managing Director confirms the licence position. </w:t>
      </w:r>
    </w:p>
    <w:p>
      <w:pPr>
        <w:pStyle w:val="Heading3"/>
        <w:bidi w:val="0"/>
        <w:jc w:val="left"/>
        <w:rPr/>
      </w:pPr>
      <w:r>
        <w:rPr/>
        <w:t>10.3 Re-evaluation</w:t>
      </w:r>
    </w:p>
    <w:tbl>
      <w:tblPr>
        <w:tblW w:w="8119" w:type="dxa"/>
        <w:jc w:val="left"/>
        <w:tblInd w:w="0" w:type="dxa"/>
        <w:tblLayout w:type="fixed"/>
        <w:tblCellMar>
          <w:top w:w="28" w:type="dxa"/>
          <w:left w:w="28" w:type="dxa"/>
          <w:bottom w:w="28" w:type="dxa"/>
          <w:right w:w="28" w:type="dxa"/>
        </w:tblCellMar>
      </w:tblPr>
      <w:tblGrid>
        <w:gridCol w:w="2321"/>
        <w:gridCol w:w="5798"/>
      </w:tblGrid>
      <w:tr>
        <w:trPr>
          <w:tblHeader w:val="true"/>
        </w:trPr>
        <w:tc>
          <w:tcPr>
            <w:tcW w:w="2321" w:type="dxa"/>
            <w:tcBorders/>
            <w:vAlign w:val="center"/>
          </w:tcPr>
          <w:p>
            <w:pPr>
              <w:pStyle w:val="TableHeading"/>
              <w:suppressLineNumbers/>
              <w:shd w:fill="1F3A5F" w:val="clear"/>
              <w:bidi w:val="0"/>
              <w:spacing w:before="0" w:after="283"/>
              <w:jc w:val="center"/>
              <w:rPr/>
            </w:pPr>
            <w:r>
              <w:rPr/>
              <w:t>Trigger</w:t>
            </w:r>
          </w:p>
        </w:tc>
        <w:tc>
          <w:tcPr>
            <w:tcW w:w="5798" w:type="dxa"/>
            <w:tcBorders/>
            <w:vAlign w:val="center"/>
          </w:tcPr>
          <w:p>
            <w:pPr>
              <w:pStyle w:val="TableHeading"/>
              <w:suppressLineNumbers/>
              <w:shd w:fill="1F3A5F" w:val="clear"/>
              <w:bidi w:val="0"/>
              <w:spacing w:before="0" w:after="283"/>
              <w:jc w:val="center"/>
              <w:rPr/>
            </w:pPr>
            <w:r>
              <w:rPr/>
              <w:t>Action</w:t>
            </w:r>
          </w:p>
        </w:tc>
      </w:tr>
      <w:tr>
        <w:trPr/>
        <w:tc>
          <w:tcPr>
            <w:tcW w:w="2321" w:type="dxa"/>
            <w:tcBorders/>
            <w:vAlign w:val="center"/>
          </w:tcPr>
          <w:p>
            <w:pPr>
              <w:pStyle w:val="TableContents"/>
              <w:bidi w:val="0"/>
              <w:spacing w:before="0" w:after="283"/>
              <w:jc w:val="left"/>
              <w:rPr/>
            </w:pPr>
            <w:r>
              <w:rPr/>
              <w:t>Annually</w:t>
            </w:r>
          </w:p>
        </w:tc>
        <w:tc>
          <w:tcPr>
            <w:tcW w:w="5798" w:type="dxa"/>
            <w:tcBorders/>
            <w:vAlign w:val="center"/>
          </w:tcPr>
          <w:p>
            <w:pPr>
              <w:pStyle w:val="TableContents"/>
              <w:bidi w:val="0"/>
              <w:spacing w:before="0" w:after="283"/>
              <w:jc w:val="left"/>
              <w:rPr/>
            </w:pPr>
            <w:r>
              <w:rPr/>
              <w:t>Review the whole of REG-02: still maintained? licence unchanged? still the best option?</w:t>
            </w:r>
          </w:p>
        </w:tc>
      </w:tr>
      <w:tr>
        <w:trPr/>
        <w:tc>
          <w:tcPr>
            <w:tcW w:w="2321" w:type="dxa"/>
            <w:tcBorders/>
            <w:vAlign w:val="center"/>
          </w:tcPr>
          <w:p>
            <w:pPr>
              <w:pStyle w:val="TableContents"/>
              <w:bidi w:val="0"/>
              <w:spacing w:before="0" w:after="283"/>
              <w:jc w:val="left"/>
              <w:rPr/>
            </w:pPr>
            <w:r>
              <w:rPr/>
              <w:t>A build failure or runtime defect attributable to a provider</w:t>
            </w:r>
          </w:p>
        </w:tc>
        <w:tc>
          <w:tcPr>
            <w:tcW w:w="5798" w:type="dxa"/>
            <w:tcBorders/>
            <w:vAlign w:val="center"/>
          </w:tcPr>
          <w:p>
            <w:pPr>
              <w:pStyle w:val="TableContents"/>
              <w:bidi w:val="0"/>
              <w:spacing w:before="0" w:after="283"/>
              <w:jc w:val="left"/>
              <w:rPr/>
            </w:pPr>
            <w:r>
              <w:rPr/>
              <w:t>Record it against that provider in REG-02; reassess the pinning</w:t>
            </w:r>
          </w:p>
        </w:tc>
      </w:tr>
      <w:tr>
        <w:trPr/>
        <w:tc>
          <w:tcPr>
            <w:tcW w:w="2321" w:type="dxa"/>
            <w:tcBorders/>
            <w:vAlign w:val="center"/>
          </w:tcPr>
          <w:p>
            <w:pPr>
              <w:pStyle w:val="TableContents"/>
              <w:bidi w:val="0"/>
              <w:spacing w:before="0" w:after="283"/>
              <w:jc w:val="left"/>
              <w:rPr/>
            </w:pPr>
            <w:r>
              <w:rPr/>
              <w:t>A provider changes licensing or access terms</w:t>
            </w:r>
          </w:p>
        </w:tc>
        <w:tc>
          <w:tcPr>
            <w:tcW w:w="5798" w:type="dxa"/>
            <w:tcBorders/>
            <w:vAlign w:val="center"/>
          </w:tcPr>
          <w:p>
            <w:pPr>
              <w:pStyle w:val="TableContents"/>
              <w:bidi w:val="0"/>
              <w:spacing w:before="0" w:after="283"/>
              <w:jc w:val="left"/>
              <w:rPr/>
            </w:pPr>
            <w:r>
              <w:rPr/>
              <w:t>Immediate reassessment; a licence change on a shipped model affects every existing customer</w:t>
            </w:r>
          </w:p>
        </w:tc>
      </w:tr>
      <w:tr>
        <w:trPr/>
        <w:tc>
          <w:tcPr>
            <w:tcW w:w="2321" w:type="dxa"/>
            <w:tcBorders/>
            <w:vAlign w:val="center"/>
          </w:tcPr>
          <w:p>
            <w:pPr>
              <w:pStyle w:val="TableContents"/>
              <w:bidi w:val="0"/>
              <w:spacing w:before="0" w:after="283"/>
              <w:jc w:val="left"/>
              <w:rPr/>
            </w:pPr>
            <w:r>
              <w:rPr/>
              <w:t>A model is swapped or upgraded</w:t>
            </w:r>
          </w:p>
        </w:tc>
        <w:tc>
          <w:tcPr>
            <w:tcW w:w="5798" w:type="dxa"/>
            <w:tcBorders/>
            <w:vAlign w:val="center"/>
          </w:tcPr>
          <w:p>
            <w:pPr>
              <w:pStyle w:val="TableContents"/>
              <w:bidi w:val="0"/>
              <w:spacing w:before="0" w:after="283"/>
              <w:jc w:val="left"/>
              <w:rPr/>
            </w:pPr>
            <w:r>
              <w:rPr/>
              <w:t>Full re-evaluation per §10.2</w:t>
            </w:r>
          </w:p>
        </w:tc>
      </w:tr>
      <w:tr>
        <w:trPr/>
        <w:tc>
          <w:tcPr>
            <w:tcW w:w="2321" w:type="dxa"/>
            <w:tcBorders/>
            <w:vAlign w:val="center"/>
          </w:tcPr>
          <w:p>
            <w:pPr>
              <w:pStyle w:val="TableContents"/>
              <w:bidi w:val="0"/>
              <w:spacing w:before="0" w:after="283"/>
              <w:jc w:val="left"/>
              <w:rPr/>
            </w:pPr>
            <w:r>
              <w:rPr/>
              <w:t>Before each release to a customer</w:t>
            </w:r>
          </w:p>
        </w:tc>
        <w:tc>
          <w:tcPr>
            <w:tcW w:w="5798" w:type="dxa"/>
            <w:tcBorders/>
            <w:vAlign w:val="center"/>
          </w:tcPr>
          <w:p>
            <w:pPr>
              <w:pStyle w:val="TableContents"/>
              <w:bidi w:val="0"/>
              <w:spacing w:before="0" w:after="283"/>
              <w:jc w:val="left"/>
              <w:rPr/>
            </w:pPr>
            <w:r>
              <w:rPr/>
              <w:t>Confirm no dependency has silently changed since the last release (which today is only checkable by rebuilding, because nothing is version-stamped — SOP-08 §7)</w:t>
            </w:r>
          </w:p>
        </w:tc>
      </w:tr>
    </w:tbl>
    <w:p>
      <w:pPr>
        <w:pStyle w:val="BodyText"/>
        <w:bidi w:val="0"/>
        <w:jc w:val="left"/>
        <w:rPr/>
      </w:pPr>
      <w:r>
        <w:rPr/>
        <w:t>Provider performance is recorded as it is observed, not invented. The NeMo incident in §8 is the first such record and is the template: what happened, what it cost, what was changed.</w:t>
      </w:r>
    </w:p>
    <w:p>
      <w:pPr>
        <w:pStyle w:val="BodyText"/>
        <w:bidi w:val="0"/>
        <w:jc w:val="left"/>
        <w:rPr/>
      </w:pPr>
      <w:r>
        <w:rPr>
          <w:rStyle w:val="Strong"/>
        </w:rPr>
        <w:t>No formal supplier assessment has been carried out for any provider.</w:t>
      </w:r>
      <w:r>
        <w:rPr/>
        <w:t xml:space="preserve"> Scores, ratings and approved-supplier status: </w:t>
      </w:r>
      <w:r>
        <w:rPr>
          <w:rStyle w:val="SourceText"/>
        </w:rPr>
        <w:t>________________________</w:t>
      </w:r>
      <w:r>
        <w:rPr/>
        <w:t>.</w:t>
      </w:r>
    </w:p>
    <w:p>
      <w:pPr>
        <w:pStyle w:val="Heading2"/>
        <w:bidi w:val="0"/>
        <w:jc w:val="left"/>
        <w:rPr/>
      </w:pPr>
      <w:r>
        <w:rPr/>
        <w:t>11. Licence obligations — an unmet control</w:t>
      </w:r>
    </w:p>
    <w:p>
      <w:pPr>
        <w:pStyle w:val="BodyText"/>
        <w:bidi w:val="0"/>
        <w:jc w:val="left"/>
        <w:rPr/>
      </w:pPr>
      <w:r>
        <w:rPr/>
        <w:t>For a product whose entire value proposition is that it runs open-weight models inside the customer's perimeter, licence position is a customer-facing requirement, not an administrative detail. Defence, government and regulated customers will ask what they are being given the right to run.</w:t>
      </w:r>
    </w:p>
    <w:p>
      <w:pPr>
        <w:pStyle w:val="BodyText"/>
        <w:bidi w:val="0"/>
        <w:jc w:val="left"/>
        <w:rPr/>
      </w:pPr>
      <w:r>
        <w:rPr/>
        <w:t>The following is the state of the repository.</w:t>
      </w:r>
    </w:p>
    <w:tbl>
      <w:tblPr>
        <w:tblW w:w="8119" w:type="dxa"/>
        <w:jc w:val="left"/>
        <w:tblInd w:w="0" w:type="dxa"/>
        <w:tblLayout w:type="fixed"/>
        <w:tblCellMar>
          <w:top w:w="28" w:type="dxa"/>
          <w:left w:w="28" w:type="dxa"/>
          <w:bottom w:w="28" w:type="dxa"/>
          <w:right w:w="28" w:type="dxa"/>
        </w:tblCellMar>
      </w:tblPr>
      <w:tblGrid>
        <w:gridCol w:w="1340"/>
        <w:gridCol w:w="6779"/>
      </w:tblGrid>
      <w:tr>
        <w:trPr>
          <w:tblHeader w:val="true"/>
        </w:trPr>
        <w:tc>
          <w:tcPr>
            <w:tcW w:w="1340" w:type="dxa"/>
            <w:tcBorders/>
            <w:vAlign w:val="center"/>
          </w:tcPr>
          <w:p>
            <w:pPr>
              <w:pStyle w:val="TableHeading"/>
              <w:suppressLineNumbers/>
              <w:shd w:fill="1F3A5F" w:val="clear"/>
              <w:bidi w:val="0"/>
              <w:spacing w:before="0" w:after="283"/>
              <w:jc w:val="center"/>
              <w:rPr/>
            </w:pPr>
            <w:r>
              <w:rPr/>
              <w:t>Obligation</w:t>
            </w:r>
          </w:p>
        </w:tc>
        <w:tc>
          <w:tcPr>
            <w:tcW w:w="6779" w:type="dxa"/>
            <w:tcBorders/>
            <w:vAlign w:val="center"/>
          </w:tcPr>
          <w:p>
            <w:pPr>
              <w:pStyle w:val="TableHeading"/>
              <w:suppressLineNumbers/>
              <w:shd w:fill="1F3A5F" w:val="clear"/>
              <w:bidi w:val="0"/>
              <w:spacing w:before="0" w:after="283"/>
              <w:jc w:val="center"/>
              <w:rPr/>
            </w:pPr>
            <w:r>
              <w:rPr/>
              <w:t>Present state</w:t>
            </w:r>
          </w:p>
        </w:tc>
      </w:tr>
      <w:tr>
        <w:trPr/>
        <w:tc>
          <w:tcPr>
            <w:tcW w:w="1340" w:type="dxa"/>
            <w:tcBorders/>
            <w:vAlign w:val="center"/>
          </w:tcPr>
          <w:p>
            <w:pPr>
              <w:pStyle w:val="TableContents"/>
              <w:bidi w:val="0"/>
              <w:spacing w:before="0" w:after="283"/>
              <w:jc w:val="left"/>
              <w:rPr/>
            </w:pPr>
            <w:r>
              <w:rPr/>
              <w:t>A licence for Ajace AI's own code</w:t>
            </w:r>
          </w:p>
        </w:tc>
        <w:tc>
          <w:tcPr>
            <w:tcW w:w="6779" w:type="dxa"/>
            <w:tcBorders/>
            <w:vAlign w:val="center"/>
          </w:tcPr>
          <w:p>
            <w:pPr>
              <w:pStyle w:val="TableContents"/>
              <w:bidi w:val="0"/>
              <w:spacing w:before="0" w:after="283"/>
              <w:jc w:val="left"/>
              <w:rPr/>
            </w:pPr>
            <w:r>
              <w:rPr>
                <w:rStyle w:val="Strong"/>
              </w:rPr>
              <w:t xml:space="preserve">No </w:t>
            </w:r>
            <w:r>
              <w:rPr>
                <w:rStyle w:val="SourceText"/>
              </w:rPr>
              <w:t>LICENSE</w:t>
            </w:r>
            <w:r>
              <w:rPr>
                <w:rStyle w:val="Strong"/>
              </w:rPr>
              <w:t xml:space="preserve"> file exists</w:t>
            </w:r>
            <w:r>
              <w:rPr/>
              <w:t xml:space="preserve"> in the repository</w:t>
            </w:r>
          </w:p>
        </w:tc>
      </w:tr>
      <w:tr>
        <w:trPr/>
        <w:tc>
          <w:tcPr>
            <w:tcW w:w="1340" w:type="dxa"/>
            <w:tcBorders/>
            <w:vAlign w:val="center"/>
          </w:tcPr>
          <w:p>
            <w:pPr>
              <w:pStyle w:val="TableContents"/>
              <w:bidi w:val="0"/>
              <w:spacing w:before="0" w:after="283"/>
              <w:jc w:val="left"/>
              <w:rPr/>
            </w:pPr>
            <w:r>
              <w:rPr/>
              <w:t>Attribution for third-party components</w:t>
            </w:r>
          </w:p>
        </w:tc>
        <w:tc>
          <w:tcPr>
            <w:tcW w:w="6779" w:type="dxa"/>
            <w:tcBorders/>
            <w:vAlign w:val="center"/>
          </w:tcPr>
          <w:p>
            <w:pPr>
              <w:pStyle w:val="TableContents"/>
              <w:bidi w:val="0"/>
              <w:spacing w:before="0" w:after="283"/>
              <w:jc w:val="left"/>
              <w:rPr/>
            </w:pPr>
            <w:r>
              <w:rPr>
                <w:rStyle w:val="Strong"/>
              </w:rPr>
              <w:t xml:space="preserve">No </w:t>
            </w:r>
            <w:r>
              <w:rPr>
                <w:rStyle w:val="SourceText"/>
              </w:rPr>
              <w:t>NOTICE</w:t>
            </w:r>
            <w:r>
              <w:rPr>
                <w:rStyle w:val="Strong"/>
              </w:rPr>
              <w:t xml:space="preserve"> file and no third-party attribution document exists</w:t>
            </w:r>
          </w:p>
        </w:tc>
      </w:tr>
      <w:tr>
        <w:trPr/>
        <w:tc>
          <w:tcPr>
            <w:tcW w:w="1340" w:type="dxa"/>
            <w:tcBorders/>
            <w:vAlign w:val="center"/>
          </w:tcPr>
          <w:p>
            <w:pPr>
              <w:pStyle w:val="TableContents"/>
              <w:bidi w:val="0"/>
              <w:spacing w:before="0" w:after="283"/>
              <w:jc w:val="left"/>
              <w:rPr/>
            </w:pPr>
            <w:r>
              <w:rPr/>
              <w:t>An inventory of model licences</w:t>
            </w:r>
          </w:p>
        </w:tc>
        <w:tc>
          <w:tcPr>
            <w:tcW w:w="6779" w:type="dxa"/>
            <w:tcBorders/>
            <w:vAlign w:val="center"/>
          </w:tcPr>
          <w:p>
            <w:pPr>
              <w:pStyle w:val="TableContents"/>
              <w:bidi w:val="0"/>
              <w:spacing w:before="0" w:after="283"/>
              <w:jc w:val="left"/>
              <w:rPr/>
            </w:pPr>
            <w:r>
              <w:rPr>
                <w:rStyle w:val="Strong"/>
              </w:rPr>
              <w:t>None.</w:t>
            </w:r>
            <w:r>
              <w:rPr/>
              <w:t xml:space="preserve"> No model card, licence text or licence reference is held in-repo for any of the ten models in §6</w:t>
            </w:r>
          </w:p>
        </w:tc>
      </w:tr>
      <w:tr>
        <w:trPr/>
        <w:tc>
          <w:tcPr>
            <w:tcW w:w="1340" w:type="dxa"/>
            <w:tcBorders/>
            <w:vAlign w:val="center"/>
          </w:tcPr>
          <w:p>
            <w:pPr>
              <w:pStyle w:val="TableContents"/>
              <w:bidi w:val="0"/>
              <w:spacing w:before="0" w:after="283"/>
              <w:jc w:val="left"/>
              <w:rPr/>
            </w:pPr>
            <w:r>
              <w:rPr/>
              <w:t>A software bill of materials</w:t>
            </w:r>
          </w:p>
        </w:tc>
        <w:tc>
          <w:tcPr>
            <w:tcW w:w="6779" w:type="dxa"/>
            <w:tcBorders/>
            <w:vAlign w:val="center"/>
          </w:tcPr>
          <w:p>
            <w:pPr>
              <w:pStyle w:val="TableContents"/>
              <w:bidi w:val="0"/>
              <w:spacing w:before="0" w:after="283"/>
              <w:jc w:val="left"/>
              <w:rPr/>
            </w:pPr>
            <w:r>
              <w:rPr>
                <w:rStyle w:val="Strong"/>
              </w:rPr>
              <w:t>None.</w:t>
            </w:r>
            <w:r>
              <w:rPr/>
              <w:t xml:space="preserve"> No SBOM is generated at build or shipped with the offline bundle</w:t>
            </w:r>
          </w:p>
        </w:tc>
      </w:tr>
      <w:tr>
        <w:trPr/>
        <w:tc>
          <w:tcPr>
            <w:tcW w:w="1340" w:type="dxa"/>
            <w:tcBorders/>
            <w:vAlign w:val="center"/>
          </w:tcPr>
          <w:p>
            <w:pPr>
              <w:pStyle w:val="TableContents"/>
              <w:bidi w:val="0"/>
              <w:spacing w:before="0" w:after="283"/>
              <w:jc w:val="left"/>
              <w:rPr/>
            </w:pPr>
            <w:r>
              <w:rPr/>
              <w:t>Evidence for public claims</w:t>
            </w:r>
          </w:p>
        </w:tc>
        <w:tc>
          <w:tcPr>
            <w:tcW w:w="6779" w:type="dxa"/>
            <w:tcBorders/>
            <w:vAlign w:val="center"/>
          </w:tcPr>
          <w:p>
            <w:pPr>
              <w:pStyle w:val="TableContents"/>
              <w:bidi w:val="0"/>
              <w:spacing w:before="0" w:after="283"/>
              <w:jc w:val="left"/>
              <w:rPr/>
            </w:pPr>
            <w:r>
              <w:rPr>
                <w:rStyle w:val="SourceText"/>
              </w:rPr>
              <w:t>README.md</w:t>
            </w:r>
            <w:r>
              <w:rPr/>
              <w:t xml:space="preserve"> asserts </w:t>
            </w:r>
            <w:r>
              <w:rPr>
                <w:rStyle w:val="Emphasis"/>
              </w:rPr>
              <w:t>"Models (all local, all open-weight)"</w:t>
            </w:r>
            <w:r>
              <w:rPr/>
              <w:t xml:space="preserve">. The statement may well be correct, but </w:t>
            </w:r>
            <w:r>
              <w:rPr>
                <w:rStyle w:val="Strong"/>
              </w:rPr>
              <w:t>no licence evidence supporting it exists in the repository</w:t>
            </w:r>
            <w:r>
              <w:rPr/>
              <w:t>, so it cannot presently be substantiated on request</w:t>
            </w:r>
          </w:p>
        </w:tc>
      </w:tr>
      <w:tr>
        <w:trPr/>
        <w:tc>
          <w:tcPr>
            <w:tcW w:w="1340" w:type="dxa"/>
            <w:tcBorders/>
            <w:vAlign w:val="center"/>
          </w:tcPr>
          <w:p>
            <w:pPr>
              <w:pStyle w:val="TableContents"/>
              <w:bidi w:val="0"/>
              <w:spacing w:before="0" w:after="283"/>
              <w:jc w:val="left"/>
              <w:rPr/>
            </w:pPr>
            <w:r>
              <w:rPr/>
              <w:t>Gated-model terms</w:t>
            </w:r>
          </w:p>
        </w:tc>
        <w:tc>
          <w:tcPr>
            <w:tcW w:w="6779" w:type="dxa"/>
            <w:tcBorders/>
            <w:vAlign w:val="center"/>
          </w:tcPr>
          <w:p>
            <w:pPr>
              <w:pStyle w:val="TableContents"/>
              <w:bidi w:val="0"/>
              <w:spacing w:before="0" w:after="283"/>
              <w:jc w:val="left"/>
              <w:rPr/>
            </w:pPr>
            <w:r>
              <w:rPr>
                <w:rStyle w:val="SourceText"/>
              </w:rPr>
              <w:t>nvidia/nemotron-speech-streaming-en-0.6b</w:t>
            </w:r>
            <w:r>
              <w:rPr/>
              <w:t xml:space="preserve"> is an acceptance-gated model requiring </w:t>
            </w:r>
            <w:r>
              <w:rPr>
                <w:rStyle w:val="SourceText"/>
              </w:rPr>
              <w:t>HF_TOKEN</w:t>
            </w:r>
            <w:r>
              <w:rPr/>
              <w:t xml:space="preserve"> (</w:t>
            </w:r>
            <w:r>
              <w:rPr>
                <w:rStyle w:val="SourceText"/>
              </w:rPr>
              <w:t>docker-compose.yml:20-21</w:t>
            </w:r>
            <w:r>
              <w:rPr/>
              <w:t xml:space="preserve">, </w:t>
            </w:r>
            <w:r>
              <w:rPr>
                <w:rStyle w:val="SourceText"/>
              </w:rPr>
              <w:t>:148</w:t>
            </w:r>
            <w:r>
              <w:rPr/>
              <w:t xml:space="preserve">). The weights are then </w:t>
            </w:r>
            <w:r>
              <w:rPr>
                <w:rStyle w:val="Strong"/>
              </w:rPr>
              <w:t>baked into images</w:t>
            </w:r>
            <w:r>
              <w:rPr/>
              <w:t xml:space="preserve"> (</w:t>
            </w:r>
            <w:r>
              <w:rPr>
                <w:rStyle w:val="SourceText"/>
              </w:rPr>
              <w:t>backend/Dockerfile:42</w:t>
            </w:r>
            <w:r>
              <w:rPr/>
              <w:t xml:space="preserve">, </w:t>
            </w:r>
            <w:r>
              <w:rPr>
                <w:rStyle w:val="SourceText"/>
              </w:rPr>
              <w:t>voice/Dockerfile:44</w:t>
            </w:r>
            <w:r>
              <w:rPr/>
              <w:t xml:space="preserve">) and </w:t>
            </w:r>
            <w:r>
              <w:rPr>
                <w:rStyle w:val="Strong"/>
              </w:rPr>
              <w:t>shipped in the offline bundle</w:t>
            </w:r>
            <w:r>
              <w:rPr/>
              <w:t xml:space="preserve"> (</w:t>
            </w:r>
            <w:r>
              <w:rPr>
                <w:rStyle w:val="SourceText"/>
              </w:rPr>
              <w:t>scripts/export_offline_bundle.sh:41</w:t>
            </w:r>
            <w:r>
              <w:rPr/>
              <w:t xml:space="preserve">) to customers who never accepted those terms. Whether that redistribution is permitted has not been assessed, and the assessment is: </w:t>
            </w:r>
            <w:r>
              <w:rPr>
                <w:rStyle w:val="SourceText"/>
              </w:rPr>
              <w:t>________________________</w:t>
            </w:r>
          </w:p>
        </w:tc>
      </w:tr>
    </w:tbl>
    <w:p>
      <w:pPr>
        <w:pStyle w:val="BodyText"/>
        <w:bidi w:val="0"/>
        <w:jc w:val="left"/>
        <w:rPr/>
      </w:pPr>
      <w:r>
        <w:rPr/>
        <w:t xml:space="preserve">QP-01 §2.3 commits the organisation to claims that are reproducible from recorded evidence. The open-weight claim currently is not. Closing this needs four artefacts: a </w:t>
      </w:r>
      <w:r>
        <w:rPr>
          <w:rStyle w:val="SourceText"/>
        </w:rPr>
        <w:t>LICENSE</w:t>
      </w:r>
      <w:r>
        <w:rPr/>
        <w:t xml:space="preserve">, a </w:t>
      </w:r>
      <w:r>
        <w:rPr>
          <w:rStyle w:val="SourceText"/>
        </w:rPr>
        <w:t>NOTICE</w:t>
      </w:r>
      <w:r>
        <w:rPr/>
        <w:t>, a model-licence inventory in REG-02, and an SBOM generated at build and included in the bundle.</w:t>
      </w:r>
    </w:p>
    <w:p>
      <w:pPr>
        <w:pStyle w:val="Heading2"/>
        <w:bidi w:val="0"/>
        <w:jc w:val="left"/>
        <w:rPr/>
      </w:pPr>
      <w:r>
        <w:rPr/>
        <w:t>12. Communicating requirements to providers (8.4.3)</w:t>
      </w:r>
    </w:p>
    <w:p>
      <w:pPr>
        <w:pStyle w:val="BodyText"/>
        <w:bidi w:val="0"/>
        <w:jc w:val="left"/>
        <w:rPr/>
      </w:pPr>
      <w:r>
        <w:rPr/>
        <w:t xml:space="preserve">Clause 8.4.3 requires requirements to be communicated to the provider before reliance. For this product the position is honest and simple: </w:t>
      </w:r>
      <w:r>
        <w:rPr>
          <w:rStyle w:val="Strong"/>
        </w:rPr>
        <w:t>Ajace AI has no contractual relationship with any of the providers in §2 or §6.</w:t>
      </w:r>
      <w:r>
        <w:rPr/>
        <w:t xml:space="preserve"> Every one of them is consumed under its public terms — a model licence, an open-source licence, or a public service's terms of use. There is nothing to negotiate and no provider to communicate a specification to.</w:t>
      </w:r>
    </w:p>
    <w:p>
      <w:pPr>
        <w:pStyle w:val="BodyText"/>
        <w:bidi w:val="0"/>
        <w:jc w:val="left"/>
        <w:rPr/>
      </w:pPr>
      <w:r>
        <w:rPr/>
        <w:t xml:space="preserve">The obligation therefore inverts. What must be communicated is what the organisation </w:t>
      </w:r>
      <w:r>
        <w:rPr>
          <w:rStyle w:val="Strong"/>
        </w:rPr>
        <w:t>accepts</w:t>
      </w:r>
      <w:r>
        <w:rPr/>
        <w:t xml:space="preserve">: the terms attached to each component. That acceptance is recorded in </w:t>
      </w:r>
      <w:r>
        <w:rPr>
          <w:rStyle w:val="SourceText"/>
        </w:rPr>
        <w:t>registers/REG-02_External_Documents_and_Providers.md</w:t>
      </w:r>
      <w:r>
        <w:rPr/>
        <w:t>, which is the 8.4.3 record for this product.</w:t>
      </w:r>
    </w:p>
    <w:p>
      <w:pPr>
        <w:pStyle w:val="BodyText"/>
        <w:bidi w:val="0"/>
        <w:jc w:val="left"/>
        <w:rPr/>
      </w:pPr>
      <w:r>
        <w:rPr/>
        <w:t xml:space="preserve">The one relationship with a commercial account behind it is </w:t>
      </w:r>
      <w:r>
        <w:rPr>
          <w:rStyle w:val="Strong"/>
        </w:rPr>
        <w:t>Cloudflare</w:t>
      </w:r>
      <w:r>
        <w:rPr/>
        <w:t xml:space="preserve"> (Tunnel and Access on the public reference instance). Its terms and the account under which it operates are recorded in REG-02.</w:t>
      </w:r>
    </w:p>
    <w:p>
      <w:pPr>
        <w:pStyle w:val="Heading2"/>
        <w:bidi w:val="0"/>
        <w:jc w:val="left"/>
        <w:rPr/>
      </w:pPr>
      <w:r>
        <w:rPr/>
        <w:t>13. Records</w:t>
      </w:r>
    </w:p>
    <w:tbl>
      <w:tblPr>
        <w:tblW w:w="8119" w:type="dxa"/>
        <w:jc w:val="left"/>
        <w:tblInd w:w="0" w:type="dxa"/>
        <w:tblLayout w:type="fixed"/>
        <w:tblCellMar>
          <w:top w:w="28" w:type="dxa"/>
          <w:left w:w="28" w:type="dxa"/>
          <w:bottom w:w="28" w:type="dxa"/>
          <w:right w:w="28" w:type="dxa"/>
        </w:tblCellMar>
      </w:tblPr>
      <w:tblGrid>
        <w:gridCol w:w="2508"/>
        <w:gridCol w:w="4071"/>
        <w:gridCol w:w="1540"/>
      </w:tblGrid>
      <w:tr>
        <w:trPr>
          <w:tblHeader w:val="true"/>
        </w:trPr>
        <w:tc>
          <w:tcPr>
            <w:tcW w:w="2508" w:type="dxa"/>
            <w:tcBorders/>
            <w:vAlign w:val="center"/>
          </w:tcPr>
          <w:p>
            <w:pPr>
              <w:pStyle w:val="TableHeading"/>
              <w:suppressLineNumbers/>
              <w:shd w:fill="1F3A5F" w:val="clear"/>
              <w:bidi w:val="0"/>
              <w:spacing w:before="0" w:after="283"/>
              <w:jc w:val="center"/>
              <w:rPr/>
            </w:pPr>
            <w:r>
              <w:rPr/>
              <w:t>Record</w:t>
            </w:r>
          </w:p>
        </w:tc>
        <w:tc>
          <w:tcPr>
            <w:tcW w:w="4071" w:type="dxa"/>
            <w:tcBorders/>
            <w:vAlign w:val="center"/>
          </w:tcPr>
          <w:p>
            <w:pPr>
              <w:pStyle w:val="TableHeading"/>
              <w:suppressLineNumbers/>
              <w:shd w:fill="1F3A5F" w:val="clear"/>
              <w:bidi w:val="0"/>
              <w:spacing w:before="0" w:after="283"/>
              <w:jc w:val="center"/>
              <w:rPr/>
            </w:pPr>
            <w:r>
              <w:rPr/>
              <w:t>Where it lives</w:t>
            </w:r>
          </w:p>
        </w:tc>
        <w:tc>
          <w:tcPr>
            <w:tcW w:w="1540" w:type="dxa"/>
            <w:tcBorders/>
            <w:vAlign w:val="center"/>
          </w:tcPr>
          <w:p>
            <w:pPr>
              <w:pStyle w:val="TableHeading"/>
              <w:suppressLineNumbers/>
              <w:shd w:fill="1F3A5F" w:val="clear"/>
              <w:bidi w:val="0"/>
              <w:spacing w:before="0" w:after="283"/>
              <w:jc w:val="center"/>
              <w:rPr/>
            </w:pPr>
            <w:r>
              <w:rPr/>
              <w:t>Retention</w:t>
            </w:r>
          </w:p>
        </w:tc>
      </w:tr>
      <w:tr>
        <w:trPr/>
        <w:tc>
          <w:tcPr>
            <w:tcW w:w="2508" w:type="dxa"/>
            <w:tcBorders/>
            <w:vAlign w:val="center"/>
          </w:tcPr>
          <w:p>
            <w:pPr>
              <w:pStyle w:val="TableContents"/>
              <w:bidi w:val="0"/>
              <w:spacing w:before="0" w:after="283"/>
              <w:jc w:val="left"/>
              <w:rPr/>
            </w:pPr>
            <w:r>
              <w:rPr/>
              <w:t>External providers and documents register, including model licences and versions in use</w:t>
            </w:r>
          </w:p>
        </w:tc>
        <w:tc>
          <w:tcPr>
            <w:tcW w:w="4071" w:type="dxa"/>
            <w:tcBorders/>
            <w:vAlign w:val="center"/>
          </w:tcPr>
          <w:p>
            <w:pPr>
              <w:pStyle w:val="TableContents"/>
              <w:bidi w:val="0"/>
              <w:spacing w:before="0" w:after="283"/>
              <w:jc w:val="left"/>
              <w:rPr/>
            </w:pPr>
            <w:r>
              <w:rPr>
                <w:rStyle w:val="SourceText"/>
              </w:rPr>
              <w:t>registers/REG-02_External_Documents_and_Providers.md</w:t>
            </w:r>
          </w:p>
        </w:tc>
        <w:tc>
          <w:tcPr>
            <w:tcW w:w="1540" w:type="dxa"/>
            <w:tcBorders/>
            <w:vAlign w:val="center"/>
          </w:tcPr>
          <w:p>
            <w:pPr>
              <w:pStyle w:val="TableContents"/>
              <w:bidi w:val="0"/>
              <w:spacing w:before="0" w:after="283"/>
              <w:jc w:val="left"/>
              <w:rPr/>
            </w:pPr>
            <w:r>
              <w:rPr/>
              <w:t>Life of the product + 3 years (SOP-01 §8)</w:t>
            </w:r>
          </w:p>
        </w:tc>
      </w:tr>
      <w:tr>
        <w:trPr/>
        <w:tc>
          <w:tcPr>
            <w:tcW w:w="2508" w:type="dxa"/>
            <w:tcBorders/>
            <w:vAlign w:val="center"/>
          </w:tcPr>
          <w:p>
            <w:pPr>
              <w:pStyle w:val="TableContents"/>
              <w:bidi w:val="0"/>
              <w:spacing w:before="0" w:after="283"/>
              <w:jc w:val="left"/>
              <w:rPr/>
            </w:pPr>
            <w:r>
              <w:rPr/>
              <w:t>Pinned dependency versions at a point in time</w:t>
            </w:r>
          </w:p>
        </w:tc>
        <w:tc>
          <w:tcPr>
            <w:tcW w:w="4071" w:type="dxa"/>
            <w:tcBorders/>
            <w:vAlign w:val="center"/>
          </w:tcPr>
          <w:p>
            <w:pPr>
              <w:pStyle w:val="TableContents"/>
              <w:bidi w:val="0"/>
              <w:spacing w:before="0" w:after="283"/>
              <w:jc w:val="left"/>
              <w:rPr/>
            </w:pPr>
            <w:r>
              <w:rPr>
                <w:rStyle w:val="SourceText"/>
              </w:rPr>
              <w:t>backend/requirements.txt</w:t>
            </w:r>
            <w:r>
              <w:rPr/>
              <w:t xml:space="preserve">, </w:t>
            </w:r>
            <w:r>
              <w:rPr>
                <w:rStyle w:val="SourceText"/>
              </w:rPr>
              <w:t>voice/requirements.txt</w:t>
            </w:r>
            <w:r>
              <w:rPr/>
              <w:t xml:space="preserve">, </w:t>
            </w:r>
            <w:r>
              <w:rPr>
                <w:rStyle w:val="SourceText"/>
              </w:rPr>
              <w:t>frontend/package-lock.json</w:t>
            </w:r>
            <w:r>
              <w:rPr/>
              <w:t>, the Dockerfiles — all in Git history</w:t>
            </w:r>
          </w:p>
        </w:tc>
        <w:tc>
          <w:tcPr>
            <w:tcW w:w="1540" w:type="dxa"/>
            <w:tcBorders/>
            <w:vAlign w:val="center"/>
          </w:tcPr>
          <w:p>
            <w:pPr>
              <w:pStyle w:val="TableContents"/>
              <w:bidi w:val="0"/>
              <w:spacing w:before="0" w:after="283"/>
              <w:jc w:val="left"/>
              <w:rPr/>
            </w:pPr>
            <w:r>
              <w:rPr/>
              <w:t>As above</w:t>
            </w:r>
          </w:p>
        </w:tc>
      </w:tr>
      <w:tr>
        <w:trPr/>
        <w:tc>
          <w:tcPr>
            <w:tcW w:w="2508" w:type="dxa"/>
            <w:tcBorders/>
            <w:vAlign w:val="center"/>
          </w:tcPr>
          <w:p>
            <w:pPr>
              <w:pStyle w:val="TableContents"/>
              <w:bidi w:val="0"/>
              <w:spacing w:before="0" w:after="283"/>
              <w:jc w:val="left"/>
              <w:rPr/>
            </w:pPr>
            <w:r>
              <w:rPr/>
              <w:t>Rationale for adding, upgrading or unpinning a dependency</w:t>
            </w:r>
          </w:p>
        </w:tc>
        <w:tc>
          <w:tcPr>
            <w:tcW w:w="4071" w:type="dxa"/>
            <w:tcBorders/>
            <w:vAlign w:val="center"/>
          </w:tcPr>
          <w:p>
            <w:pPr>
              <w:pStyle w:val="TableContents"/>
              <w:bidi w:val="0"/>
              <w:spacing w:before="0" w:after="283"/>
              <w:jc w:val="left"/>
              <w:rPr/>
            </w:pPr>
            <w:r>
              <w:rPr/>
              <w:t>The commit body (SOP-06 §5)</w:t>
            </w:r>
          </w:p>
        </w:tc>
        <w:tc>
          <w:tcPr>
            <w:tcW w:w="1540" w:type="dxa"/>
            <w:tcBorders/>
            <w:vAlign w:val="center"/>
          </w:tcPr>
          <w:p>
            <w:pPr>
              <w:pStyle w:val="TableContents"/>
              <w:bidi w:val="0"/>
              <w:spacing w:before="0" w:after="283"/>
              <w:jc w:val="left"/>
              <w:rPr/>
            </w:pPr>
            <w:r>
              <w:rPr/>
              <w:t>As above</w:t>
            </w:r>
          </w:p>
        </w:tc>
      </w:tr>
      <w:tr>
        <w:trPr/>
        <w:tc>
          <w:tcPr>
            <w:tcW w:w="2508" w:type="dxa"/>
            <w:tcBorders/>
            <w:vAlign w:val="center"/>
          </w:tcPr>
          <w:p>
            <w:pPr>
              <w:pStyle w:val="TableContents"/>
              <w:bidi w:val="0"/>
              <w:spacing w:before="0" w:after="283"/>
              <w:jc w:val="left"/>
              <w:rPr/>
            </w:pPr>
            <w:r>
              <w:rPr/>
              <w:t>Provider incidents and their resolution</w:t>
            </w:r>
          </w:p>
        </w:tc>
        <w:tc>
          <w:tcPr>
            <w:tcW w:w="4071" w:type="dxa"/>
            <w:tcBorders/>
            <w:vAlign w:val="center"/>
          </w:tcPr>
          <w:p>
            <w:pPr>
              <w:pStyle w:val="TableContents"/>
              <w:bidi w:val="0"/>
              <w:spacing w:before="0" w:after="283"/>
              <w:jc w:val="left"/>
              <w:rPr/>
            </w:pPr>
            <w:r>
              <w:rPr/>
              <w:t xml:space="preserve">The commit body of the fix (e.g. </w:t>
            </w:r>
            <w:r>
              <w:rPr>
                <w:rStyle w:val="SourceText"/>
              </w:rPr>
              <w:t>724fb98</w:t>
            </w:r>
            <w:r>
              <w:rPr/>
              <w:t>), summarised against the provider in REG-02</w:t>
            </w:r>
          </w:p>
        </w:tc>
        <w:tc>
          <w:tcPr>
            <w:tcW w:w="1540" w:type="dxa"/>
            <w:tcBorders/>
            <w:vAlign w:val="center"/>
          </w:tcPr>
          <w:p>
            <w:pPr>
              <w:pStyle w:val="TableContents"/>
              <w:bidi w:val="0"/>
              <w:spacing w:before="0" w:after="283"/>
              <w:jc w:val="left"/>
              <w:rPr/>
            </w:pPr>
            <w:r>
              <w:rPr/>
              <w:t>3 years</w:t>
            </w:r>
          </w:p>
        </w:tc>
      </w:tr>
      <w:tr>
        <w:trPr/>
        <w:tc>
          <w:tcPr>
            <w:tcW w:w="2508" w:type="dxa"/>
            <w:tcBorders/>
            <w:vAlign w:val="center"/>
          </w:tcPr>
          <w:p>
            <w:pPr>
              <w:pStyle w:val="TableContents"/>
              <w:bidi w:val="0"/>
              <w:spacing w:before="0" w:after="283"/>
              <w:jc w:val="left"/>
              <w:rPr/>
            </w:pPr>
            <w:r>
              <w:rPr/>
              <w:t>Verification evidence for a model swap</w:t>
            </w:r>
          </w:p>
        </w:tc>
        <w:tc>
          <w:tcPr>
            <w:tcW w:w="4071" w:type="dxa"/>
            <w:tcBorders/>
            <w:vAlign w:val="center"/>
          </w:tcPr>
          <w:p>
            <w:pPr>
              <w:pStyle w:val="TableContents"/>
              <w:bidi w:val="0"/>
              <w:spacing w:before="0" w:after="283"/>
              <w:jc w:val="left"/>
              <w:rPr/>
            </w:pPr>
            <w:r>
              <w:rPr/>
              <w:t>Golden evaluation report retained per SOP-07 §8.3</w:t>
            </w:r>
          </w:p>
        </w:tc>
        <w:tc>
          <w:tcPr>
            <w:tcW w:w="1540" w:type="dxa"/>
            <w:tcBorders/>
            <w:vAlign w:val="center"/>
          </w:tcPr>
          <w:p>
            <w:pPr>
              <w:pStyle w:val="TableContents"/>
              <w:bidi w:val="0"/>
              <w:spacing w:before="0" w:after="283"/>
              <w:jc w:val="left"/>
              <w:rPr/>
            </w:pPr>
            <w:r>
              <w:rPr/>
              <w:t>Life of the release + 3 years</w:t>
            </w:r>
          </w:p>
        </w:tc>
      </w:tr>
      <w:tr>
        <w:trPr/>
        <w:tc>
          <w:tcPr>
            <w:tcW w:w="2508" w:type="dxa"/>
            <w:tcBorders/>
            <w:vAlign w:val="center"/>
          </w:tcPr>
          <w:p>
            <w:pPr>
              <w:pStyle w:val="TableContents"/>
              <w:bidi w:val="0"/>
              <w:spacing w:before="0" w:after="283"/>
              <w:jc w:val="left"/>
              <w:rPr/>
            </w:pPr>
            <w:r>
              <w:rPr/>
              <w:t>Offline bundle contents as delivered</w:t>
            </w:r>
          </w:p>
        </w:tc>
        <w:tc>
          <w:tcPr>
            <w:tcW w:w="4071" w:type="dxa"/>
            <w:tcBorders/>
            <w:vAlign w:val="center"/>
          </w:tcPr>
          <w:p>
            <w:pPr>
              <w:pStyle w:val="TableContents"/>
              <w:bidi w:val="0"/>
              <w:spacing w:before="0" w:after="283"/>
              <w:jc w:val="left"/>
              <w:rPr/>
            </w:pPr>
            <w:r>
              <w:rPr>
                <w:rStyle w:val="SourceText"/>
              </w:rPr>
              <w:t>MANIFEST.txt</w:t>
            </w:r>
            <w:r>
              <w:rPr/>
              <w:t xml:space="preserve"> in the bundle; copy retained with the release record</w:t>
            </w:r>
          </w:p>
        </w:tc>
        <w:tc>
          <w:tcPr>
            <w:tcW w:w="1540" w:type="dxa"/>
            <w:tcBorders/>
            <w:vAlign w:val="center"/>
          </w:tcPr>
          <w:p>
            <w:pPr>
              <w:pStyle w:val="TableContents"/>
              <w:bidi w:val="0"/>
              <w:spacing w:before="0" w:after="283"/>
              <w:jc w:val="left"/>
              <w:rPr/>
            </w:pPr>
            <w:r>
              <w:rPr/>
              <w:t>Life of the release + 3 years</w:t>
            </w:r>
          </w:p>
        </w:tc>
      </w:tr>
      <w:tr>
        <w:trPr/>
        <w:tc>
          <w:tcPr>
            <w:tcW w:w="2508" w:type="dxa"/>
            <w:tcBorders/>
            <w:vAlign w:val="center"/>
          </w:tcPr>
          <w:p>
            <w:pPr>
              <w:pStyle w:val="TableContents"/>
              <w:bidi w:val="0"/>
              <w:spacing w:before="0" w:after="283"/>
              <w:jc w:val="left"/>
              <w:rPr/>
            </w:pPr>
            <w:r>
              <w:rPr/>
              <w:t xml:space="preserve">Licence inventory, </w:t>
            </w:r>
            <w:r>
              <w:rPr>
                <w:rStyle w:val="SourceText"/>
              </w:rPr>
              <w:t>LICENSE</w:t>
            </w:r>
            <w:r>
              <w:rPr/>
              <w:t xml:space="preserve">, </w:t>
            </w:r>
            <w:r>
              <w:rPr>
                <w:rStyle w:val="SourceText"/>
              </w:rPr>
              <w:t>NOTICE</w:t>
            </w:r>
            <w:r>
              <w:rPr/>
              <w:t>, SBOM</w:t>
            </w:r>
          </w:p>
        </w:tc>
        <w:tc>
          <w:tcPr>
            <w:tcW w:w="4071" w:type="dxa"/>
            <w:tcBorders/>
            <w:vAlign w:val="center"/>
          </w:tcPr>
          <w:p>
            <w:pPr>
              <w:pStyle w:val="TableContents"/>
              <w:bidi w:val="0"/>
              <w:spacing w:before="0" w:after="283"/>
              <w:jc w:val="left"/>
              <w:rPr/>
            </w:pPr>
            <w:r>
              <w:rPr/>
              <w:t>To be created — see §14</w:t>
            </w:r>
          </w:p>
        </w:tc>
        <w:tc>
          <w:tcPr>
            <w:tcW w:w="1540" w:type="dxa"/>
            <w:tcBorders/>
            <w:vAlign w:val="center"/>
          </w:tcPr>
          <w:p>
            <w:pPr>
              <w:pStyle w:val="TableContents"/>
              <w:bidi w:val="0"/>
              <w:spacing w:before="0" w:after="283"/>
              <w:jc w:val="left"/>
              <w:rPr/>
            </w:pPr>
            <w:r>
              <w:rPr/>
              <w:t>Life of the product + 3 years</w:t>
            </w:r>
          </w:p>
        </w:tc>
      </w:tr>
    </w:tbl>
    <w:p>
      <w:pPr>
        <w:pStyle w:val="Heading2"/>
        <w:bidi w:val="0"/>
        <w:jc w:val="left"/>
        <w:rPr/>
      </w:pPr>
      <w:r>
        <w:rPr/>
        <w:t>14. Current state and gaps</w:t>
      </w:r>
    </w:p>
    <w:tbl>
      <w:tblPr>
        <w:tblW w:w="8119" w:type="dxa"/>
        <w:jc w:val="left"/>
        <w:tblInd w:w="0" w:type="dxa"/>
        <w:tblLayout w:type="fixed"/>
        <w:tblCellMar>
          <w:top w:w="28" w:type="dxa"/>
          <w:left w:w="28" w:type="dxa"/>
          <w:bottom w:w="28" w:type="dxa"/>
          <w:right w:w="28" w:type="dxa"/>
        </w:tblCellMar>
      </w:tblPr>
      <w:tblGrid>
        <w:gridCol w:w="338"/>
        <w:gridCol w:w="1671"/>
        <w:gridCol w:w="3868"/>
        <w:gridCol w:w="2242"/>
      </w:tblGrid>
      <w:tr>
        <w:trPr>
          <w:tblHeader w:val="true"/>
        </w:trPr>
        <w:tc>
          <w:tcPr>
            <w:tcW w:w="338" w:type="dxa"/>
            <w:tcBorders/>
            <w:vAlign w:val="center"/>
          </w:tcPr>
          <w:p>
            <w:pPr>
              <w:pStyle w:val="TableHeading"/>
              <w:suppressLineNumbers/>
              <w:shd w:fill="1F3A5F" w:val="clear"/>
              <w:bidi w:val="0"/>
              <w:spacing w:before="0" w:after="283"/>
              <w:jc w:val="center"/>
              <w:rPr/>
            </w:pPr>
            <w:r>
              <w:rPr/>
              <w:t>#</w:t>
            </w:r>
          </w:p>
        </w:tc>
        <w:tc>
          <w:tcPr>
            <w:tcW w:w="1671" w:type="dxa"/>
            <w:tcBorders/>
            <w:vAlign w:val="center"/>
          </w:tcPr>
          <w:p>
            <w:pPr>
              <w:pStyle w:val="TableHeading"/>
              <w:suppressLineNumbers/>
              <w:shd w:fill="1F3A5F" w:val="clear"/>
              <w:bidi w:val="0"/>
              <w:spacing w:before="0" w:after="283"/>
              <w:jc w:val="center"/>
              <w:rPr/>
            </w:pPr>
            <w:r>
              <w:rPr/>
              <w:t>Requirement of this procedure</w:t>
            </w:r>
          </w:p>
        </w:tc>
        <w:tc>
          <w:tcPr>
            <w:tcW w:w="3868" w:type="dxa"/>
            <w:tcBorders/>
            <w:vAlign w:val="center"/>
          </w:tcPr>
          <w:p>
            <w:pPr>
              <w:pStyle w:val="TableHeading"/>
              <w:suppressLineNumbers/>
              <w:shd w:fill="1F3A5F" w:val="clear"/>
              <w:bidi w:val="0"/>
              <w:spacing w:before="0" w:after="283"/>
              <w:jc w:val="center"/>
              <w:rPr/>
            </w:pPr>
            <w:r>
              <w:rPr/>
              <w:t>Present state</w:t>
            </w:r>
          </w:p>
        </w:tc>
        <w:tc>
          <w:tcPr>
            <w:tcW w:w="2242" w:type="dxa"/>
            <w:tcBorders/>
            <w:vAlign w:val="center"/>
          </w:tcPr>
          <w:p>
            <w:pPr>
              <w:pStyle w:val="TableHeading"/>
              <w:suppressLineNumbers/>
              <w:shd w:fill="1F3A5F" w:val="clear"/>
              <w:bidi w:val="0"/>
              <w:spacing w:before="0" w:after="283"/>
              <w:jc w:val="center"/>
              <w:rPr/>
            </w:pPr>
            <w:r>
              <w:rPr/>
              <w:t>Gap</w:t>
            </w:r>
          </w:p>
        </w:tc>
      </w:tr>
      <w:tr>
        <w:trPr/>
        <w:tc>
          <w:tcPr>
            <w:tcW w:w="338" w:type="dxa"/>
            <w:tcBorders/>
            <w:vAlign w:val="center"/>
          </w:tcPr>
          <w:p>
            <w:pPr>
              <w:pStyle w:val="TableContents"/>
              <w:bidi w:val="0"/>
              <w:spacing w:before="0" w:after="283"/>
              <w:jc w:val="left"/>
              <w:rPr/>
            </w:pPr>
            <w:r>
              <w:rPr/>
              <w:t>G-1</w:t>
            </w:r>
          </w:p>
        </w:tc>
        <w:tc>
          <w:tcPr>
            <w:tcW w:w="1671" w:type="dxa"/>
            <w:tcBorders/>
            <w:vAlign w:val="center"/>
          </w:tcPr>
          <w:p>
            <w:pPr>
              <w:pStyle w:val="TableContents"/>
              <w:bidi w:val="0"/>
              <w:spacing w:before="0" w:after="283"/>
              <w:jc w:val="left"/>
              <w:rPr/>
            </w:pPr>
            <w:r>
              <w:rPr/>
              <w:t>Build-time dependencies are pinned to something immutable</w:t>
            </w:r>
          </w:p>
        </w:tc>
        <w:tc>
          <w:tcPr>
            <w:tcW w:w="3868" w:type="dxa"/>
            <w:tcBorders/>
            <w:vAlign w:val="center"/>
          </w:tcPr>
          <w:p>
            <w:pPr>
              <w:pStyle w:val="TableContents"/>
              <w:bidi w:val="0"/>
              <w:spacing w:before="0" w:after="283"/>
              <w:jc w:val="left"/>
              <w:rPr/>
            </w:pPr>
            <w:r>
              <w:rPr>
                <w:rStyle w:val="SourceText"/>
              </w:rPr>
              <w:t>nemo_toolkit @ git+…@main</w:t>
            </w:r>
            <w:r>
              <w:rPr/>
              <w:t xml:space="preserve"> in both images; </w:t>
            </w:r>
            <w:r>
              <w:rPr>
                <w:rStyle w:val="SourceText"/>
              </w:rPr>
              <w:t>torchvision --upgrade</w:t>
            </w:r>
            <w:r>
              <w:rPr/>
              <w:t xml:space="preserve">; </w:t>
            </w:r>
            <w:r>
              <w:rPr>
                <w:rStyle w:val="SourceText"/>
              </w:rPr>
              <w:t>kokoro</w:t>
            </w:r>
            <w:r>
              <w:rPr/>
              <w:t>/</w:t>
            </w:r>
            <w:r>
              <w:rPr>
                <w:rStyle w:val="SourceText"/>
              </w:rPr>
              <w:t>soundfile</w:t>
            </w:r>
            <w:r>
              <w:rPr/>
              <w:t xml:space="preserve"> reinstall; </w:t>
            </w:r>
            <w:r>
              <w:rPr>
                <w:rStyle w:val="SourceText"/>
              </w:rPr>
              <w:t>ollama/ollama:latest</w:t>
            </w:r>
            <w:r>
              <w:rPr/>
              <w:t xml:space="preserve">; </w:t>
            </w:r>
            <w:r>
              <w:rPr>
                <w:rStyle w:val="SourceText"/>
              </w:rPr>
              <w:t>cloudflare/cloudflared:latest</w:t>
            </w:r>
          </w:p>
        </w:tc>
        <w:tc>
          <w:tcPr>
            <w:tcW w:w="2242" w:type="dxa"/>
            <w:tcBorders/>
            <w:vAlign w:val="center"/>
          </w:tcPr>
          <w:p>
            <w:pPr>
              <w:pStyle w:val="TableContents"/>
              <w:bidi w:val="0"/>
              <w:spacing w:before="0" w:after="283"/>
              <w:jc w:val="left"/>
              <w:rPr/>
            </w:pPr>
            <w:r>
              <w:rPr>
                <w:rStyle w:val="Strong"/>
              </w:rPr>
              <w:t>Open.</w:t>
            </w:r>
            <w:r>
              <w:rPr/>
              <w:t xml:space="preserve"> NeMo on </w:t>
            </w:r>
            <w:r>
              <w:rPr>
                <w:rStyle w:val="SourceText"/>
              </w:rPr>
              <w:t>main</w:t>
            </w:r>
            <w:r>
              <w:rPr/>
              <w:t xml:space="preserve"> is the highest-severity item and has already caused one evidenced outage (§8)</w:t>
            </w:r>
          </w:p>
        </w:tc>
      </w:tr>
      <w:tr>
        <w:trPr/>
        <w:tc>
          <w:tcPr>
            <w:tcW w:w="338" w:type="dxa"/>
            <w:tcBorders/>
            <w:vAlign w:val="center"/>
          </w:tcPr>
          <w:p>
            <w:pPr>
              <w:pStyle w:val="TableContents"/>
              <w:bidi w:val="0"/>
              <w:spacing w:before="0" w:after="283"/>
              <w:jc w:val="left"/>
              <w:rPr/>
            </w:pPr>
            <w:r>
              <w:rPr/>
              <w:t>G-2</w:t>
            </w:r>
          </w:p>
        </w:tc>
        <w:tc>
          <w:tcPr>
            <w:tcW w:w="1671" w:type="dxa"/>
            <w:tcBorders/>
            <w:vAlign w:val="center"/>
          </w:tcPr>
          <w:p>
            <w:pPr>
              <w:pStyle w:val="TableContents"/>
              <w:bidi w:val="0"/>
              <w:spacing w:before="0" w:after="283"/>
              <w:jc w:val="left"/>
              <w:rPr/>
            </w:pPr>
            <w:r>
              <w:rPr/>
              <w:t>Unbounded version ranges are avoided</w:t>
            </w:r>
          </w:p>
        </w:tc>
        <w:tc>
          <w:tcPr>
            <w:tcW w:w="3868" w:type="dxa"/>
            <w:tcBorders/>
            <w:vAlign w:val="center"/>
          </w:tcPr>
          <w:p>
            <w:pPr>
              <w:pStyle w:val="TableContents"/>
              <w:bidi w:val="0"/>
              <w:spacing w:before="0" w:after="283"/>
              <w:jc w:val="left"/>
              <w:rPr/>
            </w:pPr>
            <w:r>
              <w:rPr>
                <w:rStyle w:val="SourceText"/>
              </w:rPr>
              <w:t>accelerate&gt;=0.26.0</w:t>
            </w:r>
            <w:r>
              <w:rPr/>
              <w:t xml:space="preserve"> and </w:t>
            </w:r>
            <w:r>
              <w:rPr>
                <w:rStyle w:val="SourceText"/>
              </w:rPr>
              <w:t>huggingface_hub&gt;=0.20.0</w:t>
            </w:r>
            <w:r>
              <w:rPr/>
              <w:t xml:space="preserve"> have no upper bound</w:t>
            </w:r>
          </w:p>
        </w:tc>
        <w:tc>
          <w:tcPr>
            <w:tcW w:w="2242" w:type="dxa"/>
            <w:tcBorders/>
            <w:vAlign w:val="center"/>
          </w:tcPr>
          <w:p>
            <w:pPr>
              <w:pStyle w:val="TableContents"/>
              <w:bidi w:val="0"/>
              <w:spacing w:before="0" w:after="283"/>
              <w:jc w:val="left"/>
              <w:rPr/>
            </w:pPr>
            <w:r>
              <w:rPr>
                <w:rStyle w:val="Strong"/>
              </w:rPr>
              <w:t>Open</w:t>
            </w:r>
          </w:p>
        </w:tc>
      </w:tr>
      <w:tr>
        <w:trPr/>
        <w:tc>
          <w:tcPr>
            <w:tcW w:w="338" w:type="dxa"/>
            <w:tcBorders/>
            <w:vAlign w:val="center"/>
          </w:tcPr>
          <w:p>
            <w:pPr>
              <w:pStyle w:val="TableContents"/>
              <w:bidi w:val="0"/>
              <w:spacing w:before="0" w:after="283"/>
              <w:jc w:val="left"/>
              <w:rPr/>
            </w:pPr>
            <w:r>
              <w:rPr/>
              <w:t>G-3</w:t>
            </w:r>
          </w:p>
        </w:tc>
        <w:tc>
          <w:tcPr>
            <w:tcW w:w="1671" w:type="dxa"/>
            <w:tcBorders/>
            <w:vAlign w:val="center"/>
          </w:tcPr>
          <w:p>
            <w:pPr>
              <w:pStyle w:val="TableContents"/>
              <w:bidi w:val="0"/>
              <w:spacing w:before="0" w:after="283"/>
              <w:jc w:val="left"/>
              <w:rPr/>
            </w:pPr>
            <w:r>
              <w:rPr/>
              <w:t>Every model used at runtime is pre-cached</w:t>
            </w:r>
          </w:p>
        </w:tc>
        <w:tc>
          <w:tcPr>
            <w:tcW w:w="3868" w:type="dxa"/>
            <w:tcBorders/>
            <w:vAlign w:val="center"/>
          </w:tcPr>
          <w:p>
            <w:pPr>
              <w:pStyle w:val="TableContents"/>
              <w:bidi w:val="0"/>
              <w:spacing w:before="0" w:after="283"/>
              <w:jc w:val="left"/>
              <w:rPr/>
            </w:pPr>
            <w:r>
              <w:rPr/>
              <w:t xml:space="preserve">The reranker </w:t>
            </w:r>
            <w:r>
              <w:rPr>
                <w:rStyle w:val="SourceText"/>
              </w:rPr>
              <w:t>cross-encoder/ms-marco-MiniLM-L-6-v2</w:t>
            </w:r>
            <w:r>
              <w:rPr/>
              <w:t xml:space="preserve"> is not pre-downloaded despite the requirements comment saying it should be; with </w:t>
            </w:r>
            <w:r>
              <w:rPr>
                <w:rStyle w:val="SourceText"/>
              </w:rPr>
              <w:t>HF_HUB_OFFLINE=1</w:t>
            </w:r>
            <w:r>
              <w:rPr/>
              <w:t xml:space="preserve"> the code silently falls back to the LLM rerank</w:t>
            </w:r>
          </w:p>
        </w:tc>
        <w:tc>
          <w:tcPr>
            <w:tcW w:w="2242" w:type="dxa"/>
            <w:tcBorders/>
            <w:vAlign w:val="center"/>
          </w:tcPr>
          <w:p>
            <w:pPr>
              <w:pStyle w:val="TableContents"/>
              <w:bidi w:val="0"/>
              <w:spacing w:before="0" w:after="283"/>
              <w:jc w:val="left"/>
              <w:rPr/>
            </w:pPr>
            <w:r>
              <w:rPr>
                <w:rStyle w:val="Strong"/>
              </w:rPr>
              <w:t>Open.</w:t>
            </w:r>
            <w:r>
              <w:rPr/>
              <w:t xml:space="preserve"> Functional and performance impact today</w:t>
            </w:r>
          </w:p>
        </w:tc>
      </w:tr>
      <w:tr>
        <w:trPr/>
        <w:tc>
          <w:tcPr>
            <w:tcW w:w="338" w:type="dxa"/>
            <w:tcBorders/>
            <w:vAlign w:val="center"/>
          </w:tcPr>
          <w:p>
            <w:pPr>
              <w:pStyle w:val="TableContents"/>
              <w:bidi w:val="0"/>
              <w:spacing w:before="0" w:after="283"/>
              <w:jc w:val="left"/>
              <w:rPr/>
            </w:pPr>
            <w:r>
              <w:rPr/>
              <w:t>G-4</w:t>
            </w:r>
          </w:p>
        </w:tc>
        <w:tc>
          <w:tcPr>
            <w:tcW w:w="1671" w:type="dxa"/>
            <w:tcBorders/>
            <w:vAlign w:val="center"/>
          </w:tcPr>
          <w:p>
            <w:pPr>
              <w:pStyle w:val="TableContents"/>
              <w:bidi w:val="0"/>
              <w:spacing w:before="0" w:after="283"/>
              <w:jc w:val="left"/>
              <w:rPr/>
            </w:pPr>
            <w:r>
              <w:rPr/>
              <w:t>Repository carries a licence</w:t>
            </w:r>
          </w:p>
        </w:tc>
        <w:tc>
          <w:tcPr>
            <w:tcW w:w="3868" w:type="dxa"/>
            <w:tcBorders/>
            <w:vAlign w:val="center"/>
          </w:tcPr>
          <w:p>
            <w:pPr>
              <w:pStyle w:val="TableContents"/>
              <w:bidi w:val="0"/>
              <w:spacing w:before="0" w:after="283"/>
              <w:jc w:val="left"/>
              <w:rPr/>
            </w:pPr>
            <w:r>
              <w:rPr/>
              <w:t xml:space="preserve">No </w:t>
            </w:r>
            <w:r>
              <w:rPr>
                <w:rStyle w:val="SourceText"/>
              </w:rPr>
              <w:t>LICENSE</w:t>
            </w:r>
            <w:r>
              <w:rPr/>
              <w:t xml:space="preserve"> file</w:t>
            </w:r>
          </w:p>
        </w:tc>
        <w:tc>
          <w:tcPr>
            <w:tcW w:w="2242" w:type="dxa"/>
            <w:tcBorders/>
            <w:vAlign w:val="center"/>
          </w:tcPr>
          <w:p>
            <w:pPr>
              <w:pStyle w:val="TableContents"/>
              <w:bidi w:val="0"/>
              <w:spacing w:before="0" w:after="283"/>
              <w:jc w:val="left"/>
              <w:rPr/>
            </w:pPr>
            <w:r>
              <w:rPr>
                <w:rStyle w:val="Strong"/>
              </w:rPr>
              <w:t>Open</w:t>
            </w:r>
          </w:p>
        </w:tc>
      </w:tr>
      <w:tr>
        <w:trPr/>
        <w:tc>
          <w:tcPr>
            <w:tcW w:w="338" w:type="dxa"/>
            <w:tcBorders/>
            <w:vAlign w:val="center"/>
          </w:tcPr>
          <w:p>
            <w:pPr>
              <w:pStyle w:val="TableContents"/>
              <w:bidi w:val="0"/>
              <w:spacing w:before="0" w:after="283"/>
              <w:jc w:val="left"/>
              <w:rPr/>
            </w:pPr>
            <w:r>
              <w:rPr/>
              <w:t>G-5</w:t>
            </w:r>
          </w:p>
        </w:tc>
        <w:tc>
          <w:tcPr>
            <w:tcW w:w="1671" w:type="dxa"/>
            <w:tcBorders/>
            <w:vAlign w:val="center"/>
          </w:tcPr>
          <w:p>
            <w:pPr>
              <w:pStyle w:val="TableContents"/>
              <w:bidi w:val="0"/>
              <w:spacing w:before="0" w:after="283"/>
              <w:jc w:val="left"/>
              <w:rPr/>
            </w:pPr>
            <w:r>
              <w:rPr/>
              <w:t>Third-party attribution</w:t>
            </w:r>
          </w:p>
        </w:tc>
        <w:tc>
          <w:tcPr>
            <w:tcW w:w="3868" w:type="dxa"/>
            <w:tcBorders/>
            <w:vAlign w:val="center"/>
          </w:tcPr>
          <w:p>
            <w:pPr>
              <w:pStyle w:val="TableContents"/>
              <w:bidi w:val="0"/>
              <w:spacing w:before="0" w:after="283"/>
              <w:jc w:val="left"/>
              <w:rPr/>
            </w:pPr>
            <w:r>
              <w:rPr/>
              <w:t xml:space="preserve">No </w:t>
            </w:r>
            <w:r>
              <w:rPr>
                <w:rStyle w:val="SourceText"/>
              </w:rPr>
              <w:t>NOTICE</w:t>
            </w:r>
            <w:r>
              <w:rPr/>
              <w:t xml:space="preserve"> file, no attribution document</w:t>
            </w:r>
          </w:p>
        </w:tc>
        <w:tc>
          <w:tcPr>
            <w:tcW w:w="2242" w:type="dxa"/>
            <w:tcBorders/>
            <w:vAlign w:val="center"/>
          </w:tcPr>
          <w:p>
            <w:pPr>
              <w:pStyle w:val="TableContents"/>
              <w:bidi w:val="0"/>
              <w:spacing w:before="0" w:after="283"/>
              <w:jc w:val="left"/>
              <w:rPr/>
            </w:pPr>
            <w:r>
              <w:rPr>
                <w:rStyle w:val="Strong"/>
              </w:rPr>
              <w:t>Open</w:t>
            </w:r>
          </w:p>
        </w:tc>
      </w:tr>
      <w:tr>
        <w:trPr/>
        <w:tc>
          <w:tcPr>
            <w:tcW w:w="338" w:type="dxa"/>
            <w:tcBorders/>
            <w:vAlign w:val="center"/>
          </w:tcPr>
          <w:p>
            <w:pPr>
              <w:pStyle w:val="TableContents"/>
              <w:bidi w:val="0"/>
              <w:spacing w:before="0" w:after="283"/>
              <w:jc w:val="left"/>
              <w:rPr/>
            </w:pPr>
            <w:r>
              <w:rPr/>
              <w:t>G-6</w:t>
            </w:r>
          </w:p>
        </w:tc>
        <w:tc>
          <w:tcPr>
            <w:tcW w:w="1671" w:type="dxa"/>
            <w:tcBorders/>
            <w:vAlign w:val="center"/>
          </w:tcPr>
          <w:p>
            <w:pPr>
              <w:pStyle w:val="TableContents"/>
              <w:bidi w:val="0"/>
              <w:spacing w:before="0" w:after="283"/>
              <w:jc w:val="left"/>
              <w:rPr/>
            </w:pPr>
            <w:r>
              <w:rPr/>
              <w:t>Model-licence inventory</w:t>
            </w:r>
          </w:p>
        </w:tc>
        <w:tc>
          <w:tcPr>
            <w:tcW w:w="3868" w:type="dxa"/>
            <w:tcBorders/>
            <w:vAlign w:val="center"/>
          </w:tcPr>
          <w:p>
            <w:pPr>
              <w:pStyle w:val="TableContents"/>
              <w:bidi w:val="0"/>
              <w:spacing w:before="0" w:after="283"/>
              <w:jc w:val="left"/>
              <w:rPr/>
            </w:pPr>
            <w:r>
              <w:rPr/>
              <w:t>None; no model cards or licence texts held in-repo</w:t>
            </w:r>
          </w:p>
        </w:tc>
        <w:tc>
          <w:tcPr>
            <w:tcW w:w="2242" w:type="dxa"/>
            <w:tcBorders/>
            <w:vAlign w:val="center"/>
          </w:tcPr>
          <w:p>
            <w:pPr>
              <w:pStyle w:val="TableContents"/>
              <w:bidi w:val="0"/>
              <w:spacing w:before="0" w:after="283"/>
              <w:jc w:val="left"/>
              <w:rPr/>
            </w:pPr>
            <w:r>
              <w:rPr>
                <w:rStyle w:val="Strong"/>
              </w:rPr>
              <w:t>Open.</w:t>
            </w:r>
            <w:r>
              <w:rPr/>
              <w:t xml:space="preserve"> Blocks substantiating the README's open-weight claim</w:t>
            </w:r>
          </w:p>
        </w:tc>
      </w:tr>
      <w:tr>
        <w:trPr/>
        <w:tc>
          <w:tcPr>
            <w:tcW w:w="338" w:type="dxa"/>
            <w:tcBorders/>
            <w:vAlign w:val="center"/>
          </w:tcPr>
          <w:p>
            <w:pPr>
              <w:pStyle w:val="TableContents"/>
              <w:bidi w:val="0"/>
              <w:spacing w:before="0" w:after="283"/>
              <w:jc w:val="left"/>
              <w:rPr/>
            </w:pPr>
            <w:r>
              <w:rPr/>
              <w:t>G-7</w:t>
            </w:r>
          </w:p>
        </w:tc>
        <w:tc>
          <w:tcPr>
            <w:tcW w:w="1671" w:type="dxa"/>
            <w:tcBorders/>
            <w:vAlign w:val="center"/>
          </w:tcPr>
          <w:p>
            <w:pPr>
              <w:pStyle w:val="TableContents"/>
              <w:bidi w:val="0"/>
              <w:spacing w:before="0" w:after="283"/>
              <w:jc w:val="left"/>
              <w:rPr/>
            </w:pPr>
            <w:r>
              <w:rPr/>
              <w:t>Software bill of materials</w:t>
            </w:r>
          </w:p>
        </w:tc>
        <w:tc>
          <w:tcPr>
            <w:tcW w:w="3868" w:type="dxa"/>
            <w:tcBorders/>
            <w:vAlign w:val="center"/>
          </w:tcPr>
          <w:p>
            <w:pPr>
              <w:pStyle w:val="TableContents"/>
              <w:bidi w:val="0"/>
              <w:spacing w:before="0" w:after="283"/>
              <w:jc w:val="left"/>
              <w:rPr/>
            </w:pPr>
            <w:r>
              <w:rPr/>
              <w:t>None generated or shipped</w:t>
            </w:r>
          </w:p>
        </w:tc>
        <w:tc>
          <w:tcPr>
            <w:tcW w:w="2242" w:type="dxa"/>
            <w:tcBorders/>
            <w:vAlign w:val="center"/>
          </w:tcPr>
          <w:p>
            <w:pPr>
              <w:pStyle w:val="TableContents"/>
              <w:bidi w:val="0"/>
              <w:spacing w:before="0" w:after="283"/>
              <w:jc w:val="left"/>
              <w:rPr/>
            </w:pPr>
            <w:r>
              <w:rPr>
                <w:rStyle w:val="Strong"/>
              </w:rPr>
              <w:t>Open</w:t>
            </w:r>
          </w:p>
        </w:tc>
      </w:tr>
      <w:tr>
        <w:trPr/>
        <w:tc>
          <w:tcPr>
            <w:tcW w:w="338" w:type="dxa"/>
            <w:tcBorders/>
            <w:vAlign w:val="center"/>
          </w:tcPr>
          <w:p>
            <w:pPr>
              <w:pStyle w:val="TableContents"/>
              <w:bidi w:val="0"/>
              <w:spacing w:before="0" w:after="283"/>
              <w:jc w:val="left"/>
              <w:rPr/>
            </w:pPr>
            <w:r>
              <w:rPr/>
              <w:t>G-8</w:t>
            </w:r>
          </w:p>
        </w:tc>
        <w:tc>
          <w:tcPr>
            <w:tcW w:w="1671" w:type="dxa"/>
            <w:tcBorders/>
            <w:vAlign w:val="center"/>
          </w:tcPr>
          <w:p>
            <w:pPr>
              <w:pStyle w:val="TableContents"/>
              <w:bidi w:val="0"/>
              <w:spacing w:before="0" w:after="283"/>
              <w:jc w:val="left"/>
              <w:rPr/>
            </w:pPr>
            <w:r>
              <w:rPr/>
              <w:t>Gated-model redistribution assessed</w:t>
            </w:r>
          </w:p>
        </w:tc>
        <w:tc>
          <w:tcPr>
            <w:tcW w:w="3868" w:type="dxa"/>
            <w:tcBorders/>
            <w:vAlign w:val="center"/>
          </w:tcPr>
          <w:p>
            <w:pPr>
              <w:pStyle w:val="TableContents"/>
              <w:bidi w:val="0"/>
              <w:spacing w:before="0" w:after="283"/>
              <w:jc w:val="left"/>
              <w:rPr/>
            </w:pPr>
            <w:r>
              <w:rPr/>
              <w:t>Nemotron STT is acceptance-gated, baked into images and shipped in the offline bundle; permissibility unassessed</w:t>
            </w:r>
          </w:p>
        </w:tc>
        <w:tc>
          <w:tcPr>
            <w:tcW w:w="2242" w:type="dxa"/>
            <w:tcBorders/>
            <w:vAlign w:val="center"/>
          </w:tcPr>
          <w:p>
            <w:pPr>
              <w:pStyle w:val="TableContents"/>
              <w:bidi w:val="0"/>
              <w:spacing w:before="0" w:after="283"/>
              <w:jc w:val="left"/>
              <w:rPr/>
            </w:pPr>
            <w:r>
              <w:rPr>
                <w:rStyle w:val="Strong"/>
              </w:rPr>
              <w:t>Open.</w:t>
            </w:r>
            <w:r>
              <w:rPr/>
              <w:t xml:space="preserve"> Assess before the next customer delivery</w:t>
            </w:r>
          </w:p>
        </w:tc>
      </w:tr>
      <w:tr>
        <w:trPr/>
        <w:tc>
          <w:tcPr>
            <w:tcW w:w="338" w:type="dxa"/>
            <w:tcBorders/>
            <w:vAlign w:val="center"/>
          </w:tcPr>
          <w:p>
            <w:pPr>
              <w:pStyle w:val="TableContents"/>
              <w:bidi w:val="0"/>
              <w:spacing w:before="0" w:after="283"/>
              <w:jc w:val="left"/>
              <w:rPr/>
            </w:pPr>
            <w:r>
              <w:rPr/>
              <w:t>G-9</w:t>
            </w:r>
          </w:p>
        </w:tc>
        <w:tc>
          <w:tcPr>
            <w:tcW w:w="1671" w:type="dxa"/>
            <w:tcBorders/>
            <w:vAlign w:val="center"/>
          </w:tcPr>
          <w:p>
            <w:pPr>
              <w:pStyle w:val="TableContents"/>
              <w:bidi w:val="0"/>
              <w:spacing w:before="0" w:after="283"/>
              <w:jc w:val="left"/>
              <w:rPr/>
            </w:pPr>
            <w:r>
              <w:rPr/>
              <w:t>Suppliers are identified</w:t>
            </w:r>
          </w:p>
        </w:tc>
        <w:tc>
          <w:tcPr>
            <w:tcW w:w="3868" w:type="dxa"/>
            <w:tcBorders/>
            <w:vAlign w:val="center"/>
          </w:tcPr>
          <w:p>
            <w:pPr>
              <w:pStyle w:val="TableContents"/>
              <w:bidi w:val="0"/>
              <w:spacing w:before="0" w:after="283"/>
              <w:jc w:val="left"/>
              <w:rPr/>
            </w:pPr>
            <w:r>
              <w:rPr>
                <w:rStyle w:val="SourceText"/>
              </w:rPr>
              <w:t>mirrors.mit.edu</w:t>
            </w:r>
            <w:r>
              <w:rPr/>
              <w:t xml:space="preserve"> was an undocumented dependency of every image build until this procedure</w:t>
            </w:r>
          </w:p>
        </w:tc>
        <w:tc>
          <w:tcPr>
            <w:tcW w:w="2242" w:type="dxa"/>
            <w:tcBorders/>
            <w:vAlign w:val="center"/>
          </w:tcPr>
          <w:p>
            <w:pPr>
              <w:pStyle w:val="TableContents"/>
              <w:bidi w:val="0"/>
              <w:spacing w:before="0" w:after="283"/>
              <w:jc w:val="left"/>
              <w:rPr/>
            </w:pPr>
            <w:r>
              <w:rPr>
                <w:rStyle w:val="Strong"/>
              </w:rPr>
              <w:t>Partly closed</w:t>
            </w:r>
            <w:r>
              <w:rPr/>
              <w:t xml:space="preserve"> by §9; rationale and fallback still to be recorded</w:t>
            </w:r>
          </w:p>
        </w:tc>
      </w:tr>
      <w:tr>
        <w:trPr/>
        <w:tc>
          <w:tcPr>
            <w:tcW w:w="338" w:type="dxa"/>
            <w:tcBorders/>
            <w:vAlign w:val="center"/>
          </w:tcPr>
          <w:p>
            <w:pPr>
              <w:pStyle w:val="TableContents"/>
              <w:bidi w:val="0"/>
              <w:spacing w:before="0" w:after="283"/>
              <w:jc w:val="left"/>
              <w:rPr/>
            </w:pPr>
            <w:r>
              <w:rPr/>
              <w:t>G-10</w:t>
            </w:r>
          </w:p>
        </w:tc>
        <w:tc>
          <w:tcPr>
            <w:tcW w:w="1671" w:type="dxa"/>
            <w:tcBorders/>
            <w:vAlign w:val="center"/>
          </w:tcPr>
          <w:p>
            <w:pPr>
              <w:pStyle w:val="TableContents"/>
              <w:bidi w:val="0"/>
              <w:spacing w:before="0" w:after="283"/>
              <w:jc w:val="left"/>
              <w:rPr/>
            </w:pPr>
            <w:r>
              <w:rPr/>
              <w:t>Formal provider evaluation and re-evaluation</w:t>
            </w:r>
          </w:p>
        </w:tc>
        <w:tc>
          <w:tcPr>
            <w:tcW w:w="3868" w:type="dxa"/>
            <w:tcBorders/>
            <w:vAlign w:val="center"/>
          </w:tcPr>
          <w:p>
            <w:pPr>
              <w:pStyle w:val="TableContents"/>
              <w:bidi w:val="0"/>
              <w:spacing w:before="0" w:after="283"/>
              <w:jc w:val="left"/>
              <w:rPr/>
            </w:pPr>
            <w:r>
              <w:rPr/>
              <w:t>No supplier has been formally assessed; no re-evaluation cycle has run</w:t>
            </w:r>
          </w:p>
        </w:tc>
        <w:tc>
          <w:tcPr>
            <w:tcW w:w="2242" w:type="dxa"/>
            <w:tcBorders/>
            <w:vAlign w:val="center"/>
          </w:tcPr>
          <w:p>
            <w:pPr>
              <w:pStyle w:val="TableContents"/>
              <w:bidi w:val="0"/>
              <w:spacing w:before="0" w:after="283"/>
              <w:jc w:val="left"/>
              <w:rPr/>
            </w:pPr>
            <w:r>
              <w:rPr>
                <w:rStyle w:val="Strong"/>
              </w:rPr>
              <w:t>Open.</w:t>
            </w:r>
            <w:r>
              <w:rPr/>
              <w:t xml:space="preserve"> First review due on approval of this procedure</w:t>
            </w:r>
          </w:p>
        </w:tc>
      </w:tr>
      <w:tr>
        <w:trPr/>
        <w:tc>
          <w:tcPr>
            <w:tcW w:w="338" w:type="dxa"/>
            <w:tcBorders/>
            <w:vAlign w:val="center"/>
          </w:tcPr>
          <w:p>
            <w:pPr>
              <w:pStyle w:val="TableContents"/>
              <w:bidi w:val="0"/>
              <w:spacing w:before="0" w:after="283"/>
              <w:jc w:val="left"/>
              <w:rPr/>
            </w:pPr>
            <w:r>
              <w:rPr/>
              <w:t>G-11</w:t>
            </w:r>
          </w:p>
        </w:tc>
        <w:tc>
          <w:tcPr>
            <w:tcW w:w="1671" w:type="dxa"/>
            <w:tcBorders/>
            <w:vAlign w:val="center"/>
          </w:tcPr>
          <w:p>
            <w:pPr>
              <w:pStyle w:val="TableContents"/>
              <w:bidi w:val="0"/>
              <w:spacing w:before="0" w:after="283"/>
              <w:jc w:val="left"/>
              <w:rPr/>
            </w:pPr>
            <w:r>
              <w:rPr/>
              <w:t>External providers register exists</w:t>
            </w:r>
          </w:p>
        </w:tc>
        <w:tc>
          <w:tcPr>
            <w:tcW w:w="3868" w:type="dxa"/>
            <w:tcBorders/>
            <w:vAlign w:val="center"/>
          </w:tcPr>
          <w:p>
            <w:pPr>
              <w:pStyle w:val="TableContents"/>
              <w:bidi w:val="0"/>
              <w:spacing w:before="0" w:after="283"/>
              <w:jc w:val="left"/>
              <w:rPr/>
            </w:pPr>
            <w:r>
              <w:rPr>
                <w:rStyle w:val="SourceText"/>
              </w:rPr>
              <w:t>docs/qms/registers/</w:t>
            </w:r>
            <w:r>
              <w:rPr/>
              <w:t xml:space="preserve"> is empty; </w:t>
            </w:r>
            <w:r>
              <w:rPr>
                <w:rStyle w:val="SourceText"/>
              </w:rPr>
              <w:t>REG-02</w:t>
            </w:r>
            <w:r>
              <w:rPr/>
              <w:t xml:space="preserve"> does not yet exist</w:t>
            </w:r>
          </w:p>
        </w:tc>
        <w:tc>
          <w:tcPr>
            <w:tcW w:w="2242" w:type="dxa"/>
            <w:tcBorders/>
            <w:vAlign w:val="center"/>
          </w:tcPr>
          <w:p>
            <w:pPr>
              <w:pStyle w:val="TableContents"/>
              <w:bidi w:val="0"/>
              <w:spacing w:before="0" w:after="283"/>
              <w:jc w:val="left"/>
              <w:rPr/>
            </w:pPr>
            <w:r>
              <w:rPr>
                <w:rStyle w:val="Strong"/>
              </w:rPr>
              <w:t>Open.</w:t>
            </w:r>
            <w:r>
              <w:rPr/>
              <w:t xml:space="preserve"> REG-02 is a prerequisite for most of the controls above</w:t>
            </w:r>
          </w:p>
        </w:tc>
      </w:tr>
      <w:tr>
        <w:trPr/>
        <w:tc>
          <w:tcPr>
            <w:tcW w:w="338" w:type="dxa"/>
            <w:tcBorders/>
            <w:vAlign w:val="center"/>
          </w:tcPr>
          <w:p>
            <w:pPr>
              <w:pStyle w:val="TableContents"/>
              <w:bidi w:val="0"/>
              <w:spacing w:before="0" w:after="283"/>
              <w:jc w:val="left"/>
              <w:rPr/>
            </w:pPr>
            <w:r>
              <w:rPr/>
              <w:t>G-12</w:t>
            </w:r>
          </w:p>
        </w:tc>
        <w:tc>
          <w:tcPr>
            <w:tcW w:w="1671" w:type="dxa"/>
            <w:tcBorders/>
            <w:vAlign w:val="center"/>
          </w:tcPr>
          <w:p>
            <w:pPr>
              <w:pStyle w:val="TableContents"/>
              <w:bidi w:val="0"/>
              <w:spacing w:before="0" w:after="283"/>
              <w:jc w:val="left"/>
              <w:rPr/>
            </w:pPr>
            <w:r>
              <w:rPr/>
              <w:t>Verification of external items before use is enforced</w:t>
            </w:r>
          </w:p>
        </w:tc>
        <w:tc>
          <w:tcPr>
            <w:tcW w:w="3868" w:type="dxa"/>
            <w:tcBorders/>
            <w:vAlign w:val="center"/>
          </w:tcPr>
          <w:p>
            <w:pPr>
              <w:pStyle w:val="TableContents"/>
              <w:bidi w:val="0"/>
              <w:spacing w:before="0" w:after="283"/>
              <w:jc w:val="left"/>
              <w:rPr/>
            </w:pPr>
            <w:r>
              <w:rPr/>
              <w:t xml:space="preserve">Practised manually; no CI, so a dependency change can reach </w:t>
            </w:r>
            <w:r>
              <w:rPr>
                <w:rStyle w:val="SourceText"/>
              </w:rPr>
              <w:t>main</w:t>
            </w:r>
            <w:r>
              <w:rPr/>
              <w:t xml:space="preserve"> unverified (SOP-07 §9.1)</w:t>
            </w:r>
          </w:p>
        </w:tc>
        <w:tc>
          <w:tcPr>
            <w:tcW w:w="2242" w:type="dxa"/>
            <w:tcBorders/>
            <w:vAlign w:val="center"/>
          </w:tcPr>
          <w:p>
            <w:pPr>
              <w:pStyle w:val="TableContents"/>
              <w:bidi w:val="0"/>
              <w:spacing w:before="0" w:after="283"/>
              <w:jc w:val="left"/>
              <w:rPr/>
            </w:pPr>
            <w:r>
              <w:rPr>
                <w:rStyle w:val="Strong"/>
              </w:rPr>
              <w:t>Open</w:t>
            </w:r>
          </w:p>
        </w:tc>
      </w:tr>
    </w:tbl>
    <w:p>
      <w:pPr>
        <w:pStyle w:val="BodyText"/>
        <w:bidi w:val="0"/>
        <w:spacing w:before="0" w:after="283"/>
        <w:jc w:val="left"/>
        <w:rPr/>
      </w:pPr>
      <w:r>
        <w:rPr/>
        <w:t xml:space="preserve">All gaps above are to be carried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NumberingSymbols">
    <w:name w:val="Numbering Symbol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