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SOP-11 — Customer Property and Data Handling</w:t>
      </w:r>
    </w:p>
    <w:tbl>
      <w:tblPr>
        <w:tblW w:w="4622" w:type="dxa"/>
        <w:jc w:val="left"/>
        <w:tblInd w:w="0" w:type="dxa"/>
        <w:tblLayout w:type="fixed"/>
        <w:tblCellMar>
          <w:top w:w="28" w:type="dxa"/>
          <w:left w:w="28" w:type="dxa"/>
          <w:bottom w:w="28" w:type="dxa"/>
          <w:right w:w="28" w:type="dxa"/>
        </w:tblCellMar>
      </w:tblPr>
      <w:tblGrid>
        <w:gridCol w:w="1951"/>
        <w:gridCol w:w="2671"/>
      </w:tblGrid>
      <w:tr>
        <w:trPr>
          <w:tblHeader w:val="true"/>
        </w:trPr>
        <w:tc>
          <w:tcPr>
            <w:tcW w:w="1951" w:type="dxa"/>
            <w:tcBorders/>
            <w:vAlign w:val="center"/>
          </w:tcPr>
          <w:p>
            <w:pPr>
              <w:pStyle w:val="TableHeading"/>
              <w:suppressLineNumbers/>
              <w:shd w:fill="1F3A5F" w:val="clear"/>
              <w:bidi w:val="0"/>
              <w:spacing w:before="0" w:after="283"/>
              <w:jc w:val="center"/>
              <w:rPr/>
            </w:pPr>
            <w:r>
              <w:rPr/>
              <w:t>Field</w:t>
            </w:r>
          </w:p>
        </w:tc>
        <w:tc>
          <w:tcPr>
            <w:tcW w:w="2671" w:type="dxa"/>
            <w:tcBorders/>
            <w:vAlign w:val="center"/>
          </w:tcPr>
          <w:p>
            <w:pPr>
              <w:pStyle w:val="TableHeading"/>
              <w:suppressLineNumbers/>
              <w:shd w:fill="1F3A5F" w:val="clear"/>
              <w:bidi w:val="0"/>
              <w:spacing w:before="0" w:after="283"/>
              <w:jc w:val="center"/>
              <w:rPr/>
            </w:pPr>
            <w:r>
              <w:rPr/>
              <w:t>Value</w:t>
            </w:r>
          </w:p>
        </w:tc>
      </w:tr>
      <w:tr>
        <w:trPr/>
        <w:tc>
          <w:tcPr>
            <w:tcW w:w="1951" w:type="dxa"/>
            <w:tcBorders/>
            <w:vAlign w:val="center"/>
          </w:tcPr>
          <w:p>
            <w:pPr>
              <w:pStyle w:val="TableContents"/>
              <w:bidi w:val="0"/>
              <w:spacing w:before="0" w:after="283"/>
              <w:jc w:val="left"/>
              <w:rPr/>
            </w:pPr>
            <w:r>
              <w:rPr/>
              <w:t>Document ID</w:t>
            </w:r>
          </w:p>
        </w:tc>
        <w:tc>
          <w:tcPr>
            <w:tcW w:w="2671" w:type="dxa"/>
            <w:tcBorders/>
            <w:vAlign w:val="center"/>
          </w:tcPr>
          <w:p>
            <w:pPr>
              <w:pStyle w:val="TableContents"/>
              <w:bidi w:val="0"/>
              <w:spacing w:before="0" w:after="283"/>
              <w:jc w:val="left"/>
              <w:rPr/>
            </w:pPr>
            <w:r>
              <w:rPr/>
              <w:t>SOP-11</w:t>
            </w:r>
          </w:p>
        </w:tc>
      </w:tr>
      <w:tr>
        <w:trPr/>
        <w:tc>
          <w:tcPr>
            <w:tcW w:w="1951" w:type="dxa"/>
            <w:tcBorders/>
            <w:vAlign w:val="center"/>
          </w:tcPr>
          <w:p>
            <w:pPr>
              <w:pStyle w:val="TableContents"/>
              <w:bidi w:val="0"/>
              <w:spacing w:before="0" w:after="283"/>
              <w:jc w:val="left"/>
              <w:rPr/>
            </w:pPr>
            <w:r>
              <w:rPr/>
              <w:t>Revision</w:t>
            </w:r>
          </w:p>
        </w:tc>
        <w:tc>
          <w:tcPr>
            <w:tcW w:w="2671" w:type="dxa"/>
            <w:tcBorders/>
            <w:vAlign w:val="center"/>
          </w:tcPr>
          <w:p>
            <w:pPr>
              <w:pStyle w:val="TableContents"/>
              <w:bidi w:val="0"/>
              <w:spacing w:before="0" w:after="283"/>
              <w:jc w:val="left"/>
              <w:rPr/>
            </w:pPr>
            <w:r>
              <w:rPr/>
              <w:t>1.2</w:t>
            </w:r>
          </w:p>
        </w:tc>
      </w:tr>
      <w:tr>
        <w:trPr/>
        <w:tc>
          <w:tcPr>
            <w:tcW w:w="1951" w:type="dxa"/>
            <w:tcBorders/>
            <w:vAlign w:val="center"/>
          </w:tcPr>
          <w:p>
            <w:pPr>
              <w:pStyle w:val="TableContents"/>
              <w:bidi w:val="0"/>
              <w:spacing w:before="0" w:after="283"/>
              <w:jc w:val="left"/>
              <w:rPr/>
            </w:pPr>
            <w:r>
              <w:rPr/>
              <w:t>Status</w:t>
            </w:r>
          </w:p>
        </w:tc>
        <w:tc>
          <w:tcPr>
            <w:tcW w:w="2671" w:type="dxa"/>
            <w:tcBorders/>
            <w:vAlign w:val="center"/>
          </w:tcPr>
          <w:p>
            <w:pPr>
              <w:pStyle w:val="TableContents"/>
              <w:bidi w:val="0"/>
              <w:spacing w:before="0" w:after="283"/>
              <w:jc w:val="left"/>
              <w:rPr/>
            </w:pPr>
            <w:r>
              <w:rPr>
                <w:rStyle w:val="Strong"/>
              </w:rPr>
              <w:t>DRAFT — not yet approved</w:t>
            </w:r>
          </w:p>
        </w:tc>
      </w:tr>
      <w:tr>
        <w:trPr/>
        <w:tc>
          <w:tcPr>
            <w:tcW w:w="1951" w:type="dxa"/>
            <w:tcBorders/>
            <w:vAlign w:val="center"/>
          </w:tcPr>
          <w:p>
            <w:pPr>
              <w:pStyle w:val="TableContents"/>
              <w:bidi w:val="0"/>
              <w:spacing w:before="0" w:after="283"/>
              <w:jc w:val="left"/>
              <w:rPr/>
            </w:pPr>
            <w:r>
              <w:rPr/>
              <w:t>Owner</w:t>
            </w:r>
          </w:p>
        </w:tc>
        <w:tc>
          <w:tcPr>
            <w:tcW w:w="2671" w:type="dxa"/>
            <w:tcBorders/>
            <w:vAlign w:val="center"/>
          </w:tcPr>
          <w:p>
            <w:pPr>
              <w:pStyle w:val="TableContents"/>
              <w:bidi w:val="0"/>
              <w:spacing w:before="0" w:after="283"/>
              <w:jc w:val="left"/>
              <w:rPr/>
            </w:pPr>
            <w:r>
              <w:rPr/>
              <w:t>Managing Director</w:t>
            </w:r>
          </w:p>
        </w:tc>
      </w:tr>
      <w:tr>
        <w:trPr/>
        <w:tc>
          <w:tcPr>
            <w:tcW w:w="1951" w:type="dxa"/>
            <w:tcBorders/>
            <w:vAlign w:val="center"/>
          </w:tcPr>
          <w:p>
            <w:pPr>
              <w:pStyle w:val="TableContents"/>
              <w:bidi w:val="0"/>
              <w:spacing w:before="0" w:after="283"/>
              <w:jc w:val="left"/>
              <w:rPr/>
            </w:pPr>
            <w:r>
              <w:rPr/>
              <w:t>Approved by</w:t>
            </w:r>
          </w:p>
        </w:tc>
        <w:tc>
          <w:tcPr>
            <w:tcW w:w="2671" w:type="dxa"/>
            <w:tcBorders/>
            <w:vAlign w:val="center"/>
          </w:tcPr>
          <w:p>
            <w:pPr>
              <w:pStyle w:val="TableContents"/>
              <w:bidi w:val="0"/>
              <w:spacing w:before="0" w:after="283"/>
              <w:jc w:val="left"/>
              <w:rPr/>
            </w:pPr>
            <w:r>
              <w:rPr>
                <w:rStyle w:val="SourceText"/>
              </w:rPr>
              <w:t>________________________</w:t>
            </w:r>
          </w:p>
        </w:tc>
      </w:tr>
      <w:tr>
        <w:trPr/>
        <w:tc>
          <w:tcPr>
            <w:tcW w:w="1951" w:type="dxa"/>
            <w:tcBorders/>
            <w:vAlign w:val="center"/>
          </w:tcPr>
          <w:p>
            <w:pPr>
              <w:pStyle w:val="TableContents"/>
              <w:bidi w:val="0"/>
              <w:spacing w:before="0" w:after="283"/>
              <w:jc w:val="left"/>
              <w:rPr/>
            </w:pPr>
            <w:r>
              <w:rPr/>
              <w:t>Approval date</w:t>
            </w:r>
          </w:p>
        </w:tc>
        <w:tc>
          <w:tcPr>
            <w:tcW w:w="2671" w:type="dxa"/>
            <w:tcBorders/>
            <w:vAlign w:val="center"/>
          </w:tcPr>
          <w:p>
            <w:pPr>
              <w:pStyle w:val="TableContents"/>
              <w:bidi w:val="0"/>
              <w:spacing w:before="0" w:after="283"/>
              <w:jc w:val="left"/>
              <w:rPr/>
            </w:pPr>
            <w:r>
              <w:rPr>
                <w:rStyle w:val="SourceText"/>
              </w:rPr>
              <w:t>____ / ____ / ________</w:t>
            </w:r>
          </w:p>
        </w:tc>
      </w:tr>
      <w:tr>
        <w:trPr/>
        <w:tc>
          <w:tcPr>
            <w:tcW w:w="1951" w:type="dxa"/>
            <w:tcBorders/>
            <w:vAlign w:val="center"/>
          </w:tcPr>
          <w:p>
            <w:pPr>
              <w:pStyle w:val="TableContents"/>
              <w:bidi w:val="0"/>
              <w:spacing w:before="0" w:after="283"/>
              <w:jc w:val="left"/>
              <w:rPr/>
            </w:pPr>
            <w:r>
              <w:rPr/>
              <w:t>ISO 9001:2015 clauses</w:t>
            </w:r>
          </w:p>
        </w:tc>
        <w:tc>
          <w:tcPr>
            <w:tcW w:w="2671" w:type="dxa"/>
            <w:tcBorders/>
            <w:vAlign w:val="center"/>
          </w:tcPr>
          <w:p>
            <w:pPr>
              <w:pStyle w:val="TableContents"/>
              <w:bidi w:val="0"/>
              <w:spacing w:before="0" w:after="283"/>
              <w:jc w:val="left"/>
              <w:rPr/>
            </w:pPr>
            <w:r>
              <w:rPr/>
              <w:t>8.5.3, 8.5.4, 7.5.3.2</w:t>
            </w:r>
          </w:p>
        </w:tc>
      </w:tr>
    </w:tbl>
    <w:p>
      <w:pPr>
        <w:pStyle w:val="HorizontalLine"/>
        <w:bidi w:val="0"/>
        <w:jc w:val="left"/>
        <w:rPr/>
      </w:pPr>
      <w:r>
        <w:rPr/>
      </w:r>
    </w:p>
    <w:p>
      <w:pPr>
        <w:pStyle w:val="Heading2"/>
        <w:bidi w:val="0"/>
        <w:jc w:val="left"/>
        <w:rPr/>
      </w:pPr>
      <w:r>
        <w:rPr/>
        <w:t>1. Purpose</w:t>
      </w:r>
    </w:p>
    <w:p>
      <w:pPr>
        <w:pStyle w:val="BodyText"/>
        <w:bidi w:val="0"/>
        <w:jc w:val="left"/>
        <w:rPr/>
      </w:pPr>
      <w:r>
        <w:rPr/>
        <w:t>To define how Ajace AI identifies, verifies, protects and safeguards property belonging to customers and to external providers while it is under Ajace AI's control or in use by the EchoMind Enterprise platform, and how loss, damage or unsuitability of that property is reported to the customer.</w:t>
      </w:r>
    </w:p>
    <w:p>
      <w:pPr>
        <w:pStyle w:val="BodyText"/>
        <w:bidi w:val="0"/>
        <w:jc w:val="left"/>
        <w:rPr/>
      </w:pPr>
      <w:r>
        <w:rPr/>
        <w:t>This is the procedure that matters most to the organisation's customers. EchoMind Enterprise exists because defence, government, legal, finance and healthcare organisations cannot send their material to a third-party AI service. Everything below should be read against that promise.</w:t>
      </w:r>
    </w:p>
    <w:p>
      <w:pPr>
        <w:pStyle w:val="Heading2"/>
        <w:bidi w:val="0"/>
        <w:jc w:val="left"/>
        <w:rPr/>
      </w:pPr>
      <w:r>
        <w:rPr/>
        <w:t>2. Scope</w:t>
      </w:r>
    </w:p>
    <w:p>
      <w:pPr>
        <w:pStyle w:val="BodyText"/>
        <w:bidi w:val="0"/>
        <w:jc w:val="left"/>
        <w:rPr/>
      </w:pPr>
      <w:r>
        <w:rPr/>
        <w:t>All customer property handled by the platform in a deployment, and all customer material handled by Ajace AI during pre-sales, customisation and support.</w:t>
      </w:r>
    </w:p>
    <w:p>
      <w:pPr>
        <w:pStyle w:val="BodyText"/>
        <w:bidi w:val="0"/>
        <w:jc w:val="left"/>
        <w:rPr/>
      </w:pPr>
      <w:r>
        <w:rPr>
          <w:rStyle w:val="Strong"/>
        </w:rPr>
        <w:t>The controlling fact of this procedure is that the platform runs on hardware the customer owns and controls.</w:t>
      </w:r>
      <w:r>
        <w:rPr/>
        <w:t xml:space="preserve"> In the standard deployment Ajace AI holds no customer data at all: the data is on the customer's machine, in Docker volumes the customer administers. Ajace AI's obligation under 8.5.3 is therefore primarily one of </w:t>
      </w:r>
      <w:r>
        <w:rPr>
          <w:rStyle w:val="Emphasis"/>
        </w:rPr>
        <w:t>design</w:t>
      </w:r>
      <w:r>
        <w:rPr/>
        <w:t xml:space="preserve"> — the platform must protect the property placed into it — and secondarily one of </w:t>
      </w:r>
      <w:r>
        <w:rPr>
          <w:rStyle w:val="Emphasis"/>
        </w:rPr>
        <w:t>conduct</w:t>
      </w:r>
      <w:r>
        <w:rPr/>
        <w:t xml:space="preserve"> during any support or customisation engagement in which Ajace AI is given access to real customer material.</w:t>
      </w:r>
    </w:p>
    <w:p>
      <w:pPr>
        <w:pStyle w:val="BodyText"/>
        <w:bidi w:val="0"/>
        <w:jc w:val="left"/>
        <w:rPr/>
      </w:pPr>
      <w:r>
        <w:rPr/>
        <w:t>This procedure does not cover the customer's own obligations to their data subjects or regulators. It states what the platform does, so that the customer can discharge those obligations.</w:t>
      </w:r>
    </w:p>
    <w:p>
      <w:pPr>
        <w:pStyle w:val="Heading2"/>
        <w:bidi w:val="0"/>
        <w:jc w:val="left"/>
        <w:rPr/>
      </w:pPr>
      <w:r>
        <w:rPr/>
        <w:t>3. Responsibilities</w:t>
      </w:r>
    </w:p>
    <w:tbl>
      <w:tblPr>
        <w:tblW w:w="6169" w:type="dxa"/>
        <w:jc w:val="left"/>
        <w:tblInd w:w="0" w:type="dxa"/>
        <w:tblLayout w:type="fixed"/>
        <w:tblCellMar>
          <w:top w:w="28" w:type="dxa"/>
          <w:left w:w="28" w:type="dxa"/>
          <w:bottom w:w="28" w:type="dxa"/>
          <w:right w:w="28" w:type="dxa"/>
        </w:tblCellMar>
      </w:tblPr>
      <w:tblGrid>
        <w:gridCol w:w="1938"/>
        <w:gridCol w:w="4231"/>
      </w:tblGrid>
      <w:tr>
        <w:trPr>
          <w:tblHeader w:val="true"/>
        </w:trPr>
        <w:tc>
          <w:tcPr>
            <w:tcW w:w="1938" w:type="dxa"/>
            <w:tcBorders/>
            <w:vAlign w:val="center"/>
          </w:tcPr>
          <w:p>
            <w:pPr>
              <w:pStyle w:val="TableHeading"/>
              <w:suppressLineNumbers/>
              <w:shd w:fill="1F3A5F" w:val="clear"/>
              <w:bidi w:val="0"/>
              <w:spacing w:before="0" w:after="283"/>
              <w:jc w:val="center"/>
              <w:rPr/>
            </w:pPr>
            <w:r>
              <w:rPr/>
              <w:t>Role</w:t>
            </w:r>
          </w:p>
        </w:tc>
        <w:tc>
          <w:tcPr>
            <w:tcW w:w="4231" w:type="dxa"/>
            <w:tcBorders/>
            <w:vAlign w:val="center"/>
          </w:tcPr>
          <w:p>
            <w:pPr>
              <w:pStyle w:val="TableHeading"/>
              <w:suppressLineNumbers/>
              <w:shd w:fill="1F3A5F" w:val="clear"/>
              <w:bidi w:val="0"/>
              <w:spacing w:before="0" w:after="283"/>
              <w:jc w:val="center"/>
              <w:rPr/>
            </w:pPr>
            <w:r>
              <w:rPr/>
              <w:t>Responsibility</w:t>
            </w:r>
          </w:p>
        </w:tc>
      </w:tr>
      <w:tr>
        <w:trPr/>
        <w:tc>
          <w:tcPr>
            <w:tcW w:w="1938" w:type="dxa"/>
            <w:tcBorders/>
            <w:vAlign w:val="center"/>
          </w:tcPr>
          <w:p>
            <w:pPr>
              <w:pStyle w:val="TableContents"/>
              <w:bidi w:val="0"/>
              <w:spacing w:before="0" w:after="283"/>
              <w:jc w:val="left"/>
              <w:rPr/>
            </w:pPr>
            <w:r>
              <w:rPr/>
              <w:t>Managing Director</w:t>
            </w:r>
          </w:p>
        </w:tc>
        <w:tc>
          <w:tcPr>
            <w:tcW w:w="4231" w:type="dxa"/>
            <w:tcBorders/>
            <w:vAlign w:val="center"/>
          </w:tcPr>
          <w:p>
            <w:pPr>
              <w:pStyle w:val="TableContents"/>
              <w:bidi w:val="0"/>
              <w:spacing w:before="0" w:after="283"/>
              <w:jc w:val="left"/>
              <w:rPr/>
            </w:pPr>
            <w:r>
              <w:rPr/>
              <w:t>Owns this procedure. Agrees with each customer, before any engagement, whether Ajace AI will be given access to real customer material and on what terms. Makes and records every report to a customer of loss, damage or unsuitability of their property.</w:t>
            </w:r>
          </w:p>
        </w:tc>
      </w:tr>
      <w:tr>
        <w:trPr/>
        <w:tc>
          <w:tcPr>
            <w:tcW w:w="1938" w:type="dxa"/>
            <w:tcBorders/>
            <w:vAlign w:val="center"/>
          </w:tcPr>
          <w:p>
            <w:pPr>
              <w:pStyle w:val="TableContents"/>
              <w:bidi w:val="0"/>
              <w:spacing w:before="0" w:after="283"/>
              <w:jc w:val="left"/>
              <w:rPr/>
            </w:pPr>
            <w:r>
              <w:rPr/>
              <w:t>Lead Engineer</w:t>
            </w:r>
          </w:p>
        </w:tc>
        <w:tc>
          <w:tcPr>
            <w:tcW w:w="4231" w:type="dxa"/>
            <w:tcBorders/>
            <w:vAlign w:val="center"/>
          </w:tcPr>
          <w:p>
            <w:pPr>
              <w:pStyle w:val="TableContents"/>
              <w:bidi w:val="0"/>
              <w:spacing w:before="0" w:after="283"/>
              <w:jc w:val="left"/>
              <w:rPr/>
            </w:pPr>
            <w:r>
              <w:rPr/>
              <w:t xml:space="preserve">Ensures that the data-handling behaviour described in §5 to §11 remains true of the code, and raises a nonconformity under </w:t>
            </w:r>
            <w:r>
              <w:rPr>
                <w:rStyle w:val="SourceText"/>
              </w:rPr>
              <w:t>SOP-10</w:t>
            </w:r>
            <w:r>
              <w:rPr/>
              <w:t xml:space="preserve"> when a change makes any statement in this procedure false.</w:t>
            </w:r>
          </w:p>
        </w:tc>
      </w:tr>
      <w:tr>
        <w:trPr/>
        <w:tc>
          <w:tcPr>
            <w:tcW w:w="1938" w:type="dxa"/>
            <w:tcBorders/>
            <w:vAlign w:val="center"/>
          </w:tcPr>
          <w:p>
            <w:pPr>
              <w:pStyle w:val="TableContents"/>
              <w:bidi w:val="0"/>
              <w:spacing w:before="0" w:after="283"/>
              <w:jc w:val="left"/>
              <w:rPr/>
            </w:pPr>
            <w:r>
              <w:rPr/>
              <w:t>Customer's system administrator (customer role, stated here for the boundary)</w:t>
            </w:r>
          </w:p>
        </w:tc>
        <w:tc>
          <w:tcPr>
            <w:tcW w:w="4231" w:type="dxa"/>
            <w:tcBorders/>
            <w:vAlign w:val="center"/>
          </w:tcPr>
          <w:p>
            <w:pPr>
              <w:pStyle w:val="TableContents"/>
              <w:bidi w:val="0"/>
              <w:spacing w:before="0" w:after="283"/>
              <w:jc w:val="left"/>
              <w:rPr/>
            </w:pPr>
            <w:r>
              <w:rPr/>
              <w:t>Administers the host, the Docker volumes, host-level access control, backups, and physical security of the machine. Ajace AI does not perform these in a customer deployment.</w:t>
            </w:r>
          </w:p>
        </w:tc>
      </w:tr>
    </w:tbl>
    <w:p>
      <w:pPr>
        <w:pStyle w:val="Heading2"/>
        <w:bidi w:val="0"/>
        <w:jc w:val="left"/>
        <w:rPr/>
      </w:pPr>
      <w:r>
        <w:rPr/>
        <w:t>4. Identification of customer property (8.5.3)</w:t>
      </w:r>
    </w:p>
    <w:p>
      <w:pPr>
        <w:pStyle w:val="BodyText"/>
        <w:bidi w:val="0"/>
        <w:jc w:val="left"/>
        <w:rPr/>
      </w:pPr>
      <w:r>
        <w:rPr/>
        <w:t>Customer property in this platform is not only the files a user uploads. Four categories are in scope, and the third and fourth are the ones most often missed.</w:t>
      </w:r>
    </w:p>
    <w:tbl>
      <w:tblPr>
        <w:tblW w:w="6169" w:type="dxa"/>
        <w:jc w:val="left"/>
        <w:tblInd w:w="0" w:type="dxa"/>
        <w:tblLayout w:type="fixed"/>
        <w:tblCellMar>
          <w:top w:w="28" w:type="dxa"/>
          <w:left w:w="28" w:type="dxa"/>
          <w:bottom w:w="28" w:type="dxa"/>
          <w:right w:w="28" w:type="dxa"/>
        </w:tblCellMar>
      </w:tblPr>
      <w:tblGrid>
        <w:gridCol w:w="2138"/>
        <w:gridCol w:w="4031"/>
      </w:tblGrid>
      <w:tr>
        <w:trPr>
          <w:tblHeader w:val="true"/>
        </w:trPr>
        <w:tc>
          <w:tcPr>
            <w:tcW w:w="2138" w:type="dxa"/>
            <w:tcBorders/>
            <w:vAlign w:val="center"/>
          </w:tcPr>
          <w:p>
            <w:pPr>
              <w:pStyle w:val="TableHeading"/>
              <w:suppressLineNumbers/>
              <w:shd w:fill="1F3A5F" w:val="clear"/>
              <w:bidi w:val="0"/>
              <w:spacing w:before="0" w:after="283"/>
              <w:jc w:val="center"/>
              <w:rPr/>
            </w:pPr>
            <w:r>
              <w:rPr/>
              <w:t>Category</w:t>
            </w:r>
          </w:p>
        </w:tc>
        <w:tc>
          <w:tcPr>
            <w:tcW w:w="4031" w:type="dxa"/>
            <w:tcBorders/>
            <w:vAlign w:val="center"/>
          </w:tcPr>
          <w:p>
            <w:pPr>
              <w:pStyle w:val="TableHeading"/>
              <w:suppressLineNumbers/>
              <w:shd w:fill="1F3A5F" w:val="clear"/>
              <w:bidi w:val="0"/>
              <w:spacing w:before="0" w:after="283"/>
              <w:jc w:val="center"/>
              <w:rPr/>
            </w:pPr>
            <w:r>
              <w:rPr/>
              <w:t>What it is</w:t>
            </w:r>
          </w:p>
        </w:tc>
      </w:tr>
      <w:tr>
        <w:trPr/>
        <w:tc>
          <w:tcPr>
            <w:tcW w:w="2138" w:type="dxa"/>
            <w:tcBorders/>
            <w:vAlign w:val="center"/>
          </w:tcPr>
          <w:p>
            <w:pPr>
              <w:pStyle w:val="TableContents"/>
              <w:bidi w:val="0"/>
              <w:spacing w:before="0" w:after="283"/>
              <w:jc w:val="left"/>
              <w:rPr/>
            </w:pPr>
            <w:r>
              <w:rPr>
                <w:rStyle w:val="Strong"/>
              </w:rPr>
              <w:t>A — Material supplied by the customer</w:t>
            </w:r>
          </w:p>
        </w:tc>
        <w:tc>
          <w:tcPr>
            <w:tcW w:w="4031" w:type="dxa"/>
            <w:tcBorders/>
            <w:vAlign w:val="center"/>
          </w:tcPr>
          <w:p>
            <w:pPr>
              <w:pStyle w:val="TableContents"/>
              <w:bidi w:val="0"/>
              <w:spacing w:before="0" w:after="283"/>
              <w:jc w:val="left"/>
              <w:rPr/>
            </w:pPr>
            <w:r>
              <w:rPr/>
              <w:t>Documents uploaded to the knowledge base; audio streamed for transcription or recorded in a boardroom session; text typed into chat, into Document Studio prompts, or into Silent Assistant</w:t>
            </w:r>
          </w:p>
        </w:tc>
      </w:tr>
      <w:tr>
        <w:trPr/>
        <w:tc>
          <w:tcPr>
            <w:tcW w:w="2138" w:type="dxa"/>
            <w:tcBorders/>
            <w:vAlign w:val="center"/>
          </w:tcPr>
          <w:p>
            <w:pPr>
              <w:pStyle w:val="TableContents"/>
              <w:bidi w:val="0"/>
              <w:spacing w:before="0" w:after="283"/>
              <w:jc w:val="left"/>
              <w:rPr/>
            </w:pPr>
            <w:r>
              <w:rPr>
                <w:rStyle w:val="Strong"/>
              </w:rPr>
              <w:t>B — Material produced by the platform from that material</w:t>
            </w:r>
          </w:p>
        </w:tc>
        <w:tc>
          <w:tcPr>
            <w:tcW w:w="4031" w:type="dxa"/>
            <w:tcBorders/>
            <w:vAlign w:val="center"/>
          </w:tcPr>
          <w:p>
            <w:pPr>
              <w:pStyle w:val="TableContents"/>
              <w:bidi w:val="0"/>
              <w:spacing w:before="0" w:after="283"/>
              <w:jc w:val="left"/>
              <w:rPr/>
            </w:pPr>
            <w:r>
              <w:rPr/>
              <w:t>Transcripts (raw and polished), transcript analyses and segments, extracted entities, subjects and records, meeting reports, generated documents, chat history</w:t>
            </w:r>
          </w:p>
        </w:tc>
      </w:tr>
      <w:tr>
        <w:trPr/>
        <w:tc>
          <w:tcPr>
            <w:tcW w:w="2138" w:type="dxa"/>
            <w:tcBorders/>
            <w:vAlign w:val="center"/>
          </w:tcPr>
          <w:p>
            <w:pPr>
              <w:pStyle w:val="TableContents"/>
              <w:bidi w:val="0"/>
              <w:spacing w:before="0" w:after="283"/>
              <w:jc w:val="left"/>
              <w:rPr/>
            </w:pPr>
            <w:r>
              <w:rPr>
                <w:rStyle w:val="Strong"/>
              </w:rPr>
              <w:t>C — Derived representations</w:t>
            </w:r>
          </w:p>
        </w:tc>
        <w:tc>
          <w:tcPr>
            <w:tcW w:w="4031" w:type="dxa"/>
            <w:tcBorders/>
            <w:vAlign w:val="center"/>
          </w:tcPr>
          <w:p>
            <w:pPr>
              <w:pStyle w:val="TableContents"/>
              <w:bidi w:val="0"/>
              <w:spacing w:before="0" w:after="283"/>
              <w:jc w:val="left"/>
              <w:rPr/>
            </w:pPr>
            <w:r>
              <w:rPr/>
              <w:t>Text chunks, vector embeddings and the FAISS indexes, the BM25 sparse index and its metadata, the glossary and section indexes, the cross-reference graph</w:t>
            </w:r>
          </w:p>
        </w:tc>
      </w:tr>
      <w:tr>
        <w:trPr/>
        <w:tc>
          <w:tcPr>
            <w:tcW w:w="2138" w:type="dxa"/>
            <w:tcBorders/>
            <w:vAlign w:val="center"/>
          </w:tcPr>
          <w:p>
            <w:pPr>
              <w:pStyle w:val="TableContents"/>
              <w:bidi w:val="0"/>
              <w:spacing w:before="0" w:after="283"/>
              <w:jc w:val="left"/>
              <w:rPr/>
            </w:pPr>
            <w:r>
              <w:rPr>
                <w:rStyle w:val="Strong"/>
              </w:rPr>
              <w:t>D — Personal data of the customer's own people</w:t>
            </w:r>
          </w:p>
        </w:tc>
        <w:tc>
          <w:tcPr>
            <w:tcW w:w="4031" w:type="dxa"/>
            <w:tcBorders/>
            <w:vAlign w:val="center"/>
          </w:tcPr>
          <w:p>
            <w:pPr>
              <w:pStyle w:val="TableContents"/>
              <w:bidi w:val="0"/>
              <w:spacing w:before="0" w:after="283"/>
              <w:jc w:val="left"/>
              <w:rPr/>
            </w:pPr>
            <w:r>
              <w:rPr/>
              <w:t xml:space="preserve">Usernames and password hashes in </w:t>
            </w:r>
            <w:r>
              <w:rPr>
                <w:rStyle w:val="SourceText"/>
              </w:rPr>
              <w:t>users</w:t>
            </w:r>
            <w:r>
              <w:rPr/>
              <w:t xml:space="preserve">; and in </w:t>
            </w:r>
            <w:r>
              <w:rPr>
                <w:rStyle w:val="SourceText"/>
              </w:rPr>
              <w:t>activity_log</w:t>
            </w:r>
            <w:r>
              <w:rPr/>
              <w:t xml:space="preserve">, the username, role, HTTP method, path, status and </w:t>
            </w:r>
            <w:r>
              <w:rPr>
                <w:rStyle w:val="Strong"/>
              </w:rPr>
              <w:t>IP address</w:t>
            </w:r>
            <w:r>
              <w:rPr/>
              <w:t xml:space="preserve"> of every API mutation</w:t>
            </w:r>
          </w:p>
        </w:tc>
      </w:tr>
    </w:tbl>
    <w:p>
      <w:pPr>
        <w:pStyle w:val="BodyText"/>
        <w:bidi w:val="0"/>
        <w:jc w:val="left"/>
        <w:rPr/>
      </w:pPr>
      <w:r>
        <w:rPr>
          <w:rStyle w:val="Strong"/>
        </w:rPr>
        <w:t>Category C is customer property.</w:t>
      </w:r>
      <w:r>
        <w:rPr/>
        <w:t xml:space="preserve"> An embedding or an index entry is derived from the source text and can reveal it: the </w:t>
      </w:r>
      <w:r>
        <w:rPr>
          <w:rStyle w:val="SourceText"/>
        </w:rPr>
        <w:t>chunks</w:t>
      </w:r>
      <w:r>
        <w:rPr/>
        <w:t xml:space="preserve"> table holds the full extracted text of every uploaded document (</w:t>
      </w:r>
      <w:r>
        <w:rPr>
          <w:rStyle w:val="SourceText"/>
        </w:rPr>
        <w:t>backend/app/core/db.py:9</w:t>
      </w:r>
      <w:r>
        <w:rPr/>
        <w:t>), and the FAISS metadata files hold the text and provenance alongside the vectors. Treating indexes as "just derived artefacts" — for example, excluding them from a deletion request or copying them off the host for debugging — would be a disclosure of the source material. They are handled exactly as category A.</w:t>
      </w:r>
    </w:p>
    <w:p>
      <w:pPr>
        <w:pStyle w:val="BodyText"/>
        <w:bidi w:val="0"/>
        <w:jc w:val="left"/>
        <w:rPr/>
      </w:pPr>
      <w:r>
        <w:rPr>
          <w:rStyle w:val="Strong"/>
        </w:rPr>
        <w:t>Category D is customer property too</w:t>
      </w:r>
      <w:r>
        <w:rPr/>
        <w:t>, and it is personal data. It is created by the platform rather than supplied by the customer, which is precisely why it is easy to overlook when scoping a deletion or a retention period.</w:t>
      </w:r>
    </w:p>
    <w:p>
      <w:pPr>
        <w:pStyle w:val="Heading2"/>
        <w:bidi w:val="0"/>
        <w:jc w:val="left"/>
        <w:rPr/>
      </w:pPr>
      <w:r>
        <w:rPr/>
        <w:t>5. Inventory: what is held, and where</w:t>
      </w:r>
    </w:p>
    <w:p>
      <w:pPr>
        <w:pStyle w:val="BodyText"/>
        <w:bidi w:val="0"/>
        <w:jc w:val="left"/>
        <w:rPr/>
      </w:pPr>
      <w:r>
        <w:rPr/>
        <w:t xml:space="preserve">Everything below lives inside one Docker volume, </w:t>
      </w:r>
      <w:r>
        <w:rPr>
          <w:rStyle w:val="SourceText"/>
        </w:rPr>
        <w:t>echomind_data</w:t>
      </w:r>
      <w:r>
        <w:rPr/>
        <w:t xml:space="preserve">, mounted at </w:t>
      </w:r>
      <w:r>
        <w:rPr>
          <w:rStyle w:val="SourceText"/>
        </w:rPr>
        <w:t>/data</w:t>
      </w:r>
      <w:r>
        <w:rPr/>
        <w:t xml:space="preserve"> (</w:t>
      </w:r>
      <w:r>
        <w:rPr>
          <w:rStyle w:val="SourceText"/>
        </w:rPr>
        <w:t>docker-compose.yml:101-102</w:t>
      </w:r>
      <w:r>
        <w:rPr/>
        <w:t xml:space="preserve">; base path </w:t>
      </w:r>
      <w:r>
        <w:rPr>
          <w:rStyle w:val="SourceText"/>
        </w:rPr>
        <w:t>backend/app/core/config.py:5,10</w:t>
      </w:r>
      <w:r>
        <w:rPr/>
        <w:t xml:space="preserve">). The single-volume design is deliberate and is stated to operators at </w:t>
      </w:r>
      <w:r>
        <w:rPr>
          <w:rStyle w:val="SourceText"/>
        </w:rPr>
        <w:t>docs/USER_MANUAL.md:1150-1158</w:t>
      </w:r>
      <w:r>
        <w:rPr/>
        <w:t>.</w:t>
      </w:r>
    </w:p>
    <w:p>
      <w:pPr>
        <w:pStyle w:val="BodyText"/>
        <w:bidi w:val="0"/>
        <w:jc w:val="left"/>
        <w:rPr/>
      </w:pPr>
      <w:r>
        <w:rPr>
          <w:rStyle w:val="Strong"/>
        </w:rPr>
        <w:t xml:space="preserve">SQLite database — </w:t>
      </w:r>
      <w:r>
        <w:rPr>
          <w:rStyle w:val="SourceText"/>
        </w:rPr>
        <w:t>/data/echomind.sqlite</w:t>
      </w:r>
      <w:r>
        <w:rPr/>
        <w:t xml:space="preserve"> (</w:t>
      </w:r>
      <w:r>
        <w:rPr>
          <w:rStyle w:val="SourceText"/>
        </w:rPr>
        <w:t>backend/app/core/config.py:11</w:t>
      </w:r>
      <w:r>
        <w:rPr/>
        <w:t xml:space="preserve">). Seventeen tables are created at startup in </w:t>
      </w:r>
      <w:r>
        <w:rPr>
          <w:rStyle w:val="SourceText"/>
        </w:rPr>
        <w:t>backend/app/core/db.py</w:t>
      </w:r>
      <w:r>
        <w:rPr/>
        <w:t>. Those holding customer property:</w:t>
      </w:r>
    </w:p>
    <w:tbl>
      <w:tblPr>
        <w:tblW w:w="6169" w:type="dxa"/>
        <w:jc w:val="left"/>
        <w:tblInd w:w="0" w:type="dxa"/>
        <w:tblLayout w:type="fixed"/>
        <w:tblCellMar>
          <w:top w:w="28" w:type="dxa"/>
          <w:left w:w="28" w:type="dxa"/>
          <w:bottom w:w="28" w:type="dxa"/>
          <w:right w:w="28" w:type="dxa"/>
        </w:tblCellMar>
      </w:tblPr>
      <w:tblGrid>
        <w:gridCol w:w="1882"/>
        <w:gridCol w:w="2186"/>
        <w:gridCol w:w="886"/>
        <w:gridCol w:w="1215"/>
      </w:tblGrid>
      <w:tr>
        <w:trPr>
          <w:tblHeader w:val="true"/>
        </w:trPr>
        <w:tc>
          <w:tcPr>
            <w:tcW w:w="1882" w:type="dxa"/>
            <w:tcBorders/>
            <w:vAlign w:val="center"/>
          </w:tcPr>
          <w:p>
            <w:pPr>
              <w:pStyle w:val="TableHeading"/>
              <w:suppressLineNumbers/>
              <w:shd w:fill="1F3A5F" w:val="clear"/>
              <w:bidi w:val="0"/>
              <w:spacing w:before="0" w:after="283"/>
              <w:jc w:val="center"/>
              <w:rPr/>
            </w:pPr>
            <w:r>
              <w:rPr/>
              <w:t>Table</w:t>
            </w:r>
          </w:p>
        </w:tc>
        <w:tc>
          <w:tcPr>
            <w:tcW w:w="2186" w:type="dxa"/>
            <w:tcBorders/>
            <w:vAlign w:val="center"/>
          </w:tcPr>
          <w:p>
            <w:pPr>
              <w:pStyle w:val="TableHeading"/>
              <w:suppressLineNumbers/>
              <w:shd w:fill="1F3A5F" w:val="clear"/>
              <w:bidi w:val="0"/>
              <w:spacing w:before="0" w:after="283"/>
              <w:jc w:val="center"/>
              <w:rPr/>
            </w:pPr>
            <w:r>
              <w:rPr/>
              <w:t>Contents</w:t>
            </w:r>
          </w:p>
        </w:tc>
        <w:tc>
          <w:tcPr>
            <w:tcW w:w="886" w:type="dxa"/>
            <w:tcBorders/>
            <w:vAlign w:val="center"/>
          </w:tcPr>
          <w:p>
            <w:pPr>
              <w:pStyle w:val="TableHeading"/>
              <w:suppressLineNumbers/>
              <w:shd w:fill="1F3A5F" w:val="clear"/>
              <w:bidi w:val="0"/>
              <w:spacing w:before="0" w:after="283"/>
              <w:jc w:val="center"/>
              <w:rPr/>
            </w:pPr>
            <w:r>
              <w:rPr/>
              <w:t>Category</w:t>
            </w:r>
          </w:p>
        </w:tc>
        <w:tc>
          <w:tcPr>
            <w:tcW w:w="1215" w:type="dxa"/>
            <w:tcBorders/>
            <w:vAlign w:val="center"/>
          </w:tcPr>
          <w:p>
            <w:pPr>
              <w:pStyle w:val="TableHeading"/>
              <w:suppressLineNumbers/>
              <w:shd w:fill="1F3A5F" w:val="clear"/>
              <w:bidi w:val="0"/>
              <w:spacing w:before="0" w:after="283"/>
              <w:jc w:val="center"/>
              <w:rPr/>
            </w:pPr>
            <w:r>
              <w:rPr/>
              <w:t>Path</w:t>
            </w:r>
          </w:p>
        </w:tc>
      </w:tr>
      <w:tr>
        <w:trPr/>
        <w:tc>
          <w:tcPr>
            <w:tcW w:w="1882" w:type="dxa"/>
            <w:tcBorders/>
            <w:vAlign w:val="center"/>
          </w:tcPr>
          <w:p>
            <w:pPr>
              <w:pStyle w:val="TableContents"/>
              <w:bidi w:val="0"/>
              <w:spacing w:before="0" w:after="283"/>
              <w:jc w:val="left"/>
              <w:rPr/>
            </w:pPr>
            <w:r>
              <w:rPr>
                <w:rStyle w:val="SourceText"/>
              </w:rPr>
              <w:t>documents</w:t>
            </w:r>
          </w:p>
        </w:tc>
        <w:tc>
          <w:tcPr>
            <w:tcW w:w="2186" w:type="dxa"/>
            <w:tcBorders/>
            <w:vAlign w:val="center"/>
          </w:tcPr>
          <w:p>
            <w:pPr>
              <w:pStyle w:val="TableContents"/>
              <w:bidi w:val="0"/>
              <w:spacing w:before="0" w:after="283"/>
              <w:jc w:val="left"/>
              <w:rPr/>
            </w:pPr>
            <w:r>
              <w:rPr/>
              <w:t>Uploaded document metadata: filename, type, timestamp, namespace</w:t>
            </w:r>
          </w:p>
        </w:tc>
        <w:tc>
          <w:tcPr>
            <w:tcW w:w="886" w:type="dxa"/>
            <w:tcBorders/>
            <w:vAlign w:val="center"/>
          </w:tcPr>
          <w:p>
            <w:pPr>
              <w:pStyle w:val="TableContents"/>
              <w:bidi w:val="0"/>
              <w:spacing w:before="0" w:after="283"/>
              <w:jc w:val="left"/>
              <w:rPr/>
            </w:pPr>
            <w:r>
              <w:rPr/>
              <w:t>A</w:t>
            </w:r>
          </w:p>
        </w:tc>
        <w:tc>
          <w:tcPr>
            <w:tcW w:w="1215" w:type="dxa"/>
            <w:tcBorders/>
            <w:vAlign w:val="center"/>
          </w:tcPr>
          <w:p>
            <w:pPr>
              <w:pStyle w:val="TableContents"/>
              <w:bidi w:val="0"/>
              <w:spacing w:before="0" w:after="283"/>
              <w:jc w:val="left"/>
              <w:rPr/>
            </w:pPr>
            <w:r>
              <w:rPr>
                <w:rStyle w:val="SourceText"/>
              </w:rPr>
              <w:t>backend/app/core/db.py:8</w:t>
            </w:r>
          </w:p>
        </w:tc>
      </w:tr>
      <w:tr>
        <w:trPr/>
        <w:tc>
          <w:tcPr>
            <w:tcW w:w="1882" w:type="dxa"/>
            <w:tcBorders/>
            <w:vAlign w:val="center"/>
          </w:tcPr>
          <w:p>
            <w:pPr>
              <w:pStyle w:val="TableContents"/>
              <w:bidi w:val="0"/>
              <w:spacing w:before="0" w:after="283"/>
              <w:jc w:val="left"/>
              <w:rPr/>
            </w:pPr>
            <w:r>
              <w:rPr>
                <w:rStyle w:val="SourceText"/>
              </w:rPr>
              <w:t>chunks</w:t>
            </w:r>
          </w:p>
        </w:tc>
        <w:tc>
          <w:tcPr>
            <w:tcW w:w="2186" w:type="dxa"/>
            <w:tcBorders/>
            <w:vAlign w:val="center"/>
          </w:tcPr>
          <w:p>
            <w:pPr>
              <w:pStyle w:val="TableContents"/>
              <w:bidi w:val="0"/>
              <w:spacing w:before="0" w:after="283"/>
              <w:jc w:val="left"/>
              <w:rPr/>
            </w:pPr>
            <w:r>
              <w:rPr>
                <w:rStyle w:val="Strong"/>
              </w:rPr>
              <w:t>The full extracted text of every uploaded document</w:t>
            </w:r>
            <w:r>
              <w:rPr/>
              <w:t>, split into chunks, with source metadata</w:t>
            </w:r>
          </w:p>
        </w:tc>
        <w:tc>
          <w:tcPr>
            <w:tcW w:w="886" w:type="dxa"/>
            <w:tcBorders/>
            <w:vAlign w:val="center"/>
          </w:tcPr>
          <w:p>
            <w:pPr>
              <w:pStyle w:val="TableContents"/>
              <w:bidi w:val="0"/>
              <w:spacing w:before="0" w:after="283"/>
              <w:jc w:val="left"/>
              <w:rPr/>
            </w:pPr>
            <w:r>
              <w:rPr/>
              <w:t>A</w:t>
            </w:r>
          </w:p>
        </w:tc>
        <w:tc>
          <w:tcPr>
            <w:tcW w:w="1215" w:type="dxa"/>
            <w:tcBorders/>
            <w:vAlign w:val="center"/>
          </w:tcPr>
          <w:p>
            <w:pPr>
              <w:pStyle w:val="TableContents"/>
              <w:bidi w:val="0"/>
              <w:spacing w:before="0" w:after="283"/>
              <w:jc w:val="left"/>
              <w:rPr/>
            </w:pPr>
            <w:r>
              <w:rPr>
                <w:rStyle w:val="SourceText"/>
              </w:rPr>
              <w:t>:9</w:t>
            </w:r>
          </w:p>
        </w:tc>
      </w:tr>
      <w:tr>
        <w:trPr/>
        <w:tc>
          <w:tcPr>
            <w:tcW w:w="1882" w:type="dxa"/>
            <w:tcBorders/>
            <w:vAlign w:val="center"/>
          </w:tcPr>
          <w:p>
            <w:pPr>
              <w:pStyle w:val="TableContents"/>
              <w:bidi w:val="0"/>
              <w:spacing w:before="0" w:after="283"/>
              <w:jc w:val="left"/>
              <w:rPr/>
            </w:pPr>
            <w:r>
              <w:rPr>
                <w:rStyle w:val="SourceText"/>
              </w:rPr>
              <w:t>users</w:t>
            </w:r>
          </w:p>
        </w:tc>
        <w:tc>
          <w:tcPr>
            <w:tcW w:w="2186" w:type="dxa"/>
            <w:tcBorders/>
            <w:vAlign w:val="center"/>
          </w:tcPr>
          <w:p>
            <w:pPr>
              <w:pStyle w:val="TableContents"/>
              <w:bidi w:val="0"/>
              <w:spacing w:before="0" w:after="283"/>
              <w:jc w:val="left"/>
              <w:rPr/>
            </w:pPr>
            <w:r>
              <w:rPr/>
              <w:t>Username, password hash, role</w:t>
            </w:r>
          </w:p>
        </w:tc>
        <w:tc>
          <w:tcPr>
            <w:tcW w:w="886" w:type="dxa"/>
            <w:tcBorders/>
            <w:vAlign w:val="center"/>
          </w:tcPr>
          <w:p>
            <w:pPr>
              <w:pStyle w:val="TableContents"/>
              <w:bidi w:val="0"/>
              <w:spacing w:before="0" w:after="283"/>
              <w:jc w:val="left"/>
              <w:rPr/>
            </w:pPr>
            <w:r>
              <w:rPr/>
              <w:t>D</w:t>
            </w:r>
          </w:p>
        </w:tc>
        <w:tc>
          <w:tcPr>
            <w:tcW w:w="1215" w:type="dxa"/>
            <w:tcBorders/>
            <w:vAlign w:val="center"/>
          </w:tcPr>
          <w:p>
            <w:pPr>
              <w:pStyle w:val="TableContents"/>
              <w:bidi w:val="0"/>
              <w:spacing w:before="0" w:after="283"/>
              <w:jc w:val="left"/>
              <w:rPr/>
            </w:pPr>
            <w:r>
              <w:rPr>
                <w:rStyle w:val="SourceText"/>
              </w:rPr>
              <w:t>:11</w:t>
            </w:r>
          </w:p>
        </w:tc>
      </w:tr>
      <w:tr>
        <w:trPr/>
        <w:tc>
          <w:tcPr>
            <w:tcW w:w="1882" w:type="dxa"/>
            <w:tcBorders/>
            <w:vAlign w:val="center"/>
          </w:tcPr>
          <w:p>
            <w:pPr>
              <w:pStyle w:val="TableContents"/>
              <w:bidi w:val="0"/>
              <w:spacing w:before="0" w:after="283"/>
              <w:jc w:val="left"/>
              <w:rPr/>
            </w:pPr>
            <w:r>
              <w:rPr>
                <w:rStyle w:val="SourceText"/>
              </w:rPr>
              <w:t>activity_log</w:t>
            </w:r>
          </w:p>
        </w:tc>
        <w:tc>
          <w:tcPr>
            <w:tcW w:w="2186" w:type="dxa"/>
            <w:tcBorders/>
            <w:vAlign w:val="center"/>
          </w:tcPr>
          <w:p>
            <w:pPr>
              <w:pStyle w:val="TableContents"/>
              <w:bidi w:val="0"/>
              <w:spacing w:before="0" w:after="283"/>
              <w:jc w:val="left"/>
              <w:rPr/>
            </w:pPr>
            <w:r>
              <w:rPr/>
              <w:t xml:space="preserve">Timestamp, username, role, method, path, status and </w:t>
            </w:r>
            <w:r>
              <w:rPr>
                <w:rStyle w:val="Strong"/>
              </w:rPr>
              <w:t>IP address</w:t>
            </w:r>
            <w:r>
              <w:rPr/>
              <w:t xml:space="preserve"> per API mutation</w:t>
            </w:r>
          </w:p>
        </w:tc>
        <w:tc>
          <w:tcPr>
            <w:tcW w:w="886" w:type="dxa"/>
            <w:tcBorders/>
            <w:vAlign w:val="center"/>
          </w:tcPr>
          <w:p>
            <w:pPr>
              <w:pStyle w:val="TableContents"/>
              <w:bidi w:val="0"/>
              <w:spacing w:before="0" w:after="283"/>
              <w:jc w:val="left"/>
              <w:rPr/>
            </w:pPr>
            <w:r>
              <w:rPr/>
              <w:t>D</w:t>
            </w:r>
          </w:p>
        </w:tc>
        <w:tc>
          <w:tcPr>
            <w:tcW w:w="1215" w:type="dxa"/>
            <w:tcBorders/>
            <w:vAlign w:val="center"/>
          </w:tcPr>
          <w:p>
            <w:pPr>
              <w:pStyle w:val="TableContents"/>
              <w:bidi w:val="0"/>
              <w:spacing w:before="0" w:after="283"/>
              <w:jc w:val="left"/>
              <w:rPr/>
            </w:pPr>
            <w:r>
              <w:rPr>
                <w:rStyle w:val="SourceText"/>
              </w:rPr>
              <w:t>:17</w:t>
            </w:r>
          </w:p>
        </w:tc>
      </w:tr>
      <w:tr>
        <w:trPr/>
        <w:tc>
          <w:tcPr>
            <w:tcW w:w="1882" w:type="dxa"/>
            <w:tcBorders/>
            <w:vAlign w:val="center"/>
          </w:tcPr>
          <w:p>
            <w:pPr>
              <w:pStyle w:val="TableContents"/>
              <w:bidi w:val="0"/>
              <w:spacing w:before="0" w:after="283"/>
              <w:jc w:val="left"/>
              <w:rPr/>
            </w:pPr>
            <w:r>
              <w:rPr>
                <w:rStyle w:val="SourceText"/>
              </w:rPr>
              <w:t>chats</w:t>
            </w:r>
          </w:p>
        </w:tc>
        <w:tc>
          <w:tcPr>
            <w:tcW w:w="2186" w:type="dxa"/>
            <w:tcBorders/>
            <w:vAlign w:val="center"/>
          </w:tcPr>
          <w:p>
            <w:pPr>
              <w:pStyle w:val="TableContents"/>
              <w:bidi w:val="0"/>
              <w:spacing w:before="0" w:after="283"/>
              <w:jc w:val="left"/>
              <w:rPr/>
            </w:pPr>
            <w:r>
              <w:rPr/>
              <w:t>Chat titles and conversation summaries</w:t>
            </w:r>
          </w:p>
        </w:tc>
        <w:tc>
          <w:tcPr>
            <w:tcW w:w="886" w:type="dxa"/>
            <w:tcBorders/>
            <w:vAlign w:val="center"/>
          </w:tcPr>
          <w:p>
            <w:pPr>
              <w:pStyle w:val="TableContents"/>
              <w:bidi w:val="0"/>
              <w:spacing w:before="0" w:after="283"/>
              <w:jc w:val="left"/>
              <w:rPr/>
            </w:pPr>
            <w:r>
              <w:rPr/>
              <w:t>B</w:t>
            </w:r>
          </w:p>
        </w:tc>
        <w:tc>
          <w:tcPr>
            <w:tcW w:w="1215" w:type="dxa"/>
            <w:tcBorders/>
            <w:vAlign w:val="center"/>
          </w:tcPr>
          <w:p>
            <w:pPr>
              <w:pStyle w:val="TableContents"/>
              <w:bidi w:val="0"/>
              <w:spacing w:before="0" w:after="283"/>
              <w:jc w:val="left"/>
              <w:rPr/>
            </w:pPr>
            <w:r>
              <w:rPr>
                <w:rStyle w:val="SourceText"/>
              </w:rPr>
              <w:t>:26</w:t>
            </w:r>
          </w:p>
        </w:tc>
      </w:tr>
      <w:tr>
        <w:trPr/>
        <w:tc>
          <w:tcPr>
            <w:tcW w:w="1882" w:type="dxa"/>
            <w:tcBorders/>
            <w:vAlign w:val="center"/>
          </w:tcPr>
          <w:p>
            <w:pPr>
              <w:pStyle w:val="TableContents"/>
              <w:bidi w:val="0"/>
              <w:spacing w:before="0" w:after="283"/>
              <w:jc w:val="left"/>
              <w:rPr/>
            </w:pPr>
            <w:r>
              <w:rPr>
                <w:rStyle w:val="SourceText"/>
              </w:rPr>
              <w:t>messages</w:t>
            </w:r>
          </w:p>
        </w:tc>
        <w:tc>
          <w:tcPr>
            <w:tcW w:w="2186" w:type="dxa"/>
            <w:tcBorders/>
            <w:vAlign w:val="center"/>
          </w:tcPr>
          <w:p>
            <w:pPr>
              <w:pStyle w:val="TableContents"/>
              <w:bidi w:val="0"/>
              <w:spacing w:before="0" w:after="283"/>
              <w:jc w:val="left"/>
              <w:rPr/>
            </w:pPr>
            <w:r>
              <w:rPr>
                <w:rStyle w:val="Strong"/>
              </w:rPr>
              <w:t>Every chat message</w:t>
            </w:r>
            <w:r>
              <w:rPr/>
              <w:t>, user and assistant</w:t>
            </w:r>
          </w:p>
        </w:tc>
        <w:tc>
          <w:tcPr>
            <w:tcW w:w="886" w:type="dxa"/>
            <w:tcBorders/>
            <w:vAlign w:val="center"/>
          </w:tcPr>
          <w:p>
            <w:pPr>
              <w:pStyle w:val="TableContents"/>
              <w:bidi w:val="0"/>
              <w:spacing w:before="0" w:after="283"/>
              <w:jc w:val="left"/>
              <w:rPr/>
            </w:pPr>
            <w:r>
              <w:rPr/>
              <w:t>A, B</w:t>
            </w:r>
          </w:p>
        </w:tc>
        <w:tc>
          <w:tcPr>
            <w:tcW w:w="1215" w:type="dxa"/>
            <w:tcBorders/>
            <w:vAlign w:val="center"/>
          </w:tcPr>
          <w:p>
            <w:pPr>
              <w:pStyle w:val="TableContents"/>
              <w:bidi w:val="0"/>
              <w:spacing w:before="0" w:after="283"/>
              <w:jc w:val="left"/>
              <w:rPr/>
            </w:pPr>
            <w:r>
              <w:rPr>
                <w:rStyle w:val="SourceText"/>
              </w:rPr>
              <w:t>:31</w:t>
            </w:r>
          </w:p>
        </w:tc>
      </w:tr>
      <w:tr>
        <w:trPr/>
        <w:tc>
          <w:tcPr>
            <w:tcW w:w="1882" w:type="dxa"/>
            <w:tcBorders/>
            <w:vAlign w:val="center"/>
          </w:tcPr>
          <w:p>
            <w:pPr>
              <w:pStyle w:val="TableContents"/>
              <w:bidi w:val="0"/>
              <w:spacing w:before="0" w:after="283"/>
              <w:jc w:val="left"/>
              <w:rPr/>
            </w:pPr>
            <w:r>
              <w:rPr>
                <w:rStyle w:val="SourceText"/>
              </w:rPr>
              <w:t>transcripts</w:t>
            </w:r>
          </w:p>
        </w:tc>
        <w:tc>
          <w:tcPr>
            <w:tcW w:w="2186" w:type="dxa"/>
            <w:tcBorders/>
            <w:vAlign w:val="center"/>
          </w:tcPr>
          <w:p>
            <w:pPr>
              <w:pStyle w:val="TableContents"/>
              <w:bidi w:val="0"/>
              <w:spacing w:before="0" w:after="283"/>
              <w:jc w:val="left"/>
              <w:rPr/>
            </w:pPr>
            <w:r>
              <w:rPr>
                <w:rStyle w:val="SourceText"/>
              </w:rPr>
              <w:t>raw_text</w:t>
            </w:r>
            <w:r>
              <w:rPr/>
              <w:t xml:space="preserve"> and </w:t>
            </w:r>
            <w:r>
              <w:rPr>
                <w:rStyle w:val="SourceText"/>
              </w:rPr>
              <w:t>polished_text</w:t>
            </w:r>
            <w:r>
              <w:rPr/>
              <w:t xml:space="preserve"> of every transcript</w:t>
            </w:r>
          </w:p>
        </w:tc>
        <w:tc>
          <w:tcPr>
            <w:tcW w:w="886" w:type="dxa"/>
            <w:tcBorders/>
            <w:vAlign w:val="center"/>
          </w:tcPr>
          <w:p>
            <w:pPr>
              <w:pStyle w:val="TableContents"/>
              <w:bidi w:val="0"/>
              <w:spacing w:before="0" w:after="283"/>
              <w:jc w:val="left"/>
              <w:rPr/>
            </w:pPr>
            <w:r>
              <w:rPr/>
              <w:t>B</w:t>
            </w:r>
          </w:p>
        </w:tc>
        <w:tc>
          <w:tcPr>
            <w:tcW w:w="1215" w:type="dxa"/>
            <w:tcBorders/>
            <w:vAlign w:val="center"/>
          </w:tcPr>
          <w:p>
            <w:pPr>
              <w:pStyle w:val="TableContents"/>
              <w:bidi w:val="0"/>
              <w:spacing w:before="0" w:after="283"/>
              <w:jc w:val="left"/>
              <w:rPr/>
            </w:pPr>
            <w:r>
              <w:rPr>
                <w:rStyle w:val="SourceText"/>
              </w:rPr>
              <w:t>:33</w:t>
            </w:r>
          </w:p>
        </w:tc>
      </w:tr>
      <w:tr>
        <w:trPr/>
        <w:tc>
          <w:tcPr>
            <w:tcW w:w="1882" w:type="dxa"/>
            <w:tcBorders/>
            <w:vAlign w:val="center"/>
          </w:tcPr>
          <w:p>
            <w:pPr>
              <w:pStyle w:val="TableContents"/>
              <w:bidi w:val="0"/>
              <w:spacing w:before="0" w:after="283"/>
              <w:jc w:val="left"/>
              <w:rPr/>
            </w:pPr>
            <w:r>
              <w:rPr>
                <w:rStyle w:val="SourceText"/>
              </w:rPr>
              <w:t>transcript_segments</w:t>
            </w:r>
          </w:p>
        </w:tc>
        <w:tc>
          <w:tcPr>
            <w:tcW w:w="2186" w:type="dxa"/>
            <w:tcBorders/>
            <w:vAlign w:val="center"/>
          </w:tcPr>
          <w:p>
            <w:pPr>
              <w:pStyle w:val="TableContents"/>
              <w:bidi w:val="0"/>
              <w:spacing w:before="0" w:after="283"/>
              <w:jc w:val="left"/>
              <w:rPr/>
            </w:pPr>
            <w:r>
              <w:rPr/>
              <w:t>Per-segment transcript text</w:t>
            </w:r>
          </w:p>
        </w:tc>
        <w:tc>
          <w:tcPr>
            <w:tcW w:w="886" w:type="dxa"/>
            <w:tcBorders/>
            <w:vAlign w:val="center"/>
          </w:tcPr>
          <w:p>
            <w:pPr>
              <w:pStyle w:val="TableContents"/>
              <w:bidi w:val="0"/>
              <w:spacing w:before="0" w:after="283"/>
              <w:jc w:val="left"/>
              <w:rPr/>
            </w:pPr>
            <w:r>
              <w:rPr/>
              <w:t>B</w:t>
            </w:r>
          </w:p>
        </w:tc>
        <w:tc>
          <w:tcPr>
            <w:tcW w:w="1215" w:type="dxa"/>
            <w:tcBorders/>
            <w:vAlign w:val="center"/>
          </w:tcPr>
          <w:p>
            <w:pPr>
              <w:pStyle w:val="TableContents"/>
              <w:bidi w:val="0"/>
              <w:spacing w:before="0" w:after="283"/>
              <w:jc w:val="left"/>
              <w:rPr/>
            </w:pPr>
            <w:r>
              <w:rPr>
                <w:rStyle w:val="SourceText"/>
              </w:rPr>
              <w:t>:131</w:t>
            </w:r>
          </w:p>
        </w:tc>
      </w:tr>
      <w:tr>
        <w:trPr/>
        <w:tc>
          <w:tcPr>
            <w:tcW w:w="1882" w:type="dxa"/>
            <w:tcBorders/>
            <w:vAlign w:val="center"/>
          </w:tcPr>
          <w:p>
            <w:pPr>
              <w:pStyle w:val="TableContents"/>
              <w:bidi w:val="0"/>
              <w:spacing w:before="0" w:after="283"/>
              <w:jc w:val="left"/>
              <w:rPr/>
            </w:pPr>
            <w:r>
              <w:rPr>
                <w:rStyle w:val="SourceText"/>
              </w:rPr>
              <w:t>transcript_analysis</w:t>
            </w:r>
          </w:p>
        </w:tc>
        <w:tc>
          <w:tcPr>
            <w:tcW w:w="2186" w:type="dxa"/>
            <w:tcBorders/>
            <w:vAlign w:val="center"/>
          </w:tcPr>
          <w:p>
            <w:pPr>
              <w:pStyle w:val="TableContents"/>
              <w:bidi w:val="0"/>
              <w:spacing w:before="0" w:after="283"/>
              <w:jc w:val="left"/>
              <w:rPr/>
            </w:pPr>
            <w:r>
              <w:rPr/>
              <w:t>Derived analysis of transcripts</w:t>
            </w:r>
          </w:p>
        </w:tc>
        <w:tc>
          <w:tcPr>
            <w:tcW w:w="886" w:type="dxa"/>
            <w:tcBorders/>
            <w:vAlign w:val="center"/>
          </w:tcPr>
          <w:p>
            <w:pPr>
              <w:pStyle w:val="TableContents"/>
              <w:bidi w:val="0"/>
              <w:spacing w:before="0" w:after="283"/>
              <w:jc w:val="left"/>
              <w:rPr/>
            </w:pPr>
            <w:r>
              <w:rPr/>
              <w:t>B</w:t>
            </w:r>
          </w:p>
        </w:tc>
        <w:tc>
          <w:tcPr>
            <w:tcW w:w="1215" w:type="dxa"/>
            <w:tcBorders/>
            <w:vAlign w:val="center"/>
          </w:tcPr>
          <w:p>
            <w:pPr>
              <w:pStyle w:val="TableContents"/>
              <w:bidi w:val="0"/>
              <w:spacing w:before="0" w:after="283"/>
              <w:jc w:val="left"/>
              <w:rPr/>
            </w:pPr>
            <w:r>
              <w:rPr>
                <w:rStyle w:val="SourceText"/>
              </w:rPr>
              <w:t>:91</w:t>
            </w:r>
          </w:p>
        </w:tc>
      </w:tr>
      <w:tr>
        <w:trPr/>
        <w:tc>
          <w:tcPr>
            <w:tcW w:w="1882" w:type="dxa"/>
            <w:tcBorders/>
            <w:vAlign w:val="center"/>
          </w:tcPr>
          <w:p>
            <w:pPr>
              <w:pStyle w:val="TableContents"/>
              <w:bidi w:val="0"/>
              <w:spacing w:before="0" w:after="283"/>
              <w:jc w:val="left"/>
              <w:rPr/>
            </w:pPr>
            <w:r>
              <w:rPr>
                <w:rStyle w:val="SourceText"/>
              </w:rPr>
              <w:t>assistant_entities</w:t>
            </w:r>
            <w:r>
              <w:rPr/>
              <w:t xml:space="preserve">, </w:t>
            </w:r>
            <w:r>
              <w:rPr>
                <w:rStyle w:val="SourceText"/>
              </w:rPr>
              <w:t>assistant_subjects</w:t>
            </w:r>
            <w:r>
              <w:rPr/>
              <w:t xml:space="preserve">, </w:t>
            </w:r>
            <w:r>
              <w:rPr>
                <w:rStyle w:val="SourceText"/>
              </w:rPr>
              <w:t>assistant_records</w:t>
            </w:r>
          </w:p>
        </w:tc>
        <w:tc>
          <w:tcPr>
            <w:tcW w:w="2186" w:type="dxa"/>
            <w:tcBorders/>
            <w:vAlign w:val="center"/>
          </w:tcPr>
          <w:p>
            <w:pPr>
              <w:pStyle w:val="TableContents"/>
              <w:bidi w:val="0"/>
              <w:spacing w:before="0" w:after="283"/>
              <w:jc w:val="left"/>
              <w:rPr/>
            </w:pPr>
            <w:r>
              <w:rPr/>
              <w:t>Entities, subjects and records extracted by Silent Assistant</w:t>
            </w:r>
          </w:p>
        </w:tc>
        <w:tc>
          <w:tcPr>
            <w:tcW w:w="886" w:type="dxa"/>
            <w:tcBorders/>
            <w:vAlign w:val="center"/>
          </w:tcPr>
          <w:p>
            <w:pPr>
              <w:pStyle w:val="TableContents"/>
              <w:bidi w:val="0"/>
              <w:spacing w:before="0" w:after="283"/>
              <w:jc w:val="left"/>
              <w:rPr/>
            </w:pPr>
            <w:r>
              <w:rPr/>
              <w:t>B</w:t>
            </w:r>
          </w:p>
        </w:tc>
        <w:tc>
          <w:tcPr>
            <w:tcW w:w="1215" w:type="dxa"/>
            <w:tcBorders/>
            <w:vAlign w:val="center"/>
          </w:tcPr>
          <w:p>
            <w:pPr>
              <w:pStyle w:val="TableContents"/>
              <w:bidi w:val="0"/>
              <w:spacing w:before="0" w:after="283"/>
              <w:jc w:val="left"/>
              <w:rPr/>
            </w:pPr>
            <w:r>
              <w:rPr>
                <w:rStyle w:val="SourceText"/>
              </w:rPr>
              <w:t>:137</w:t>
            </w:r>
            <w:r>
              <w:rPr/>
              <w:t xml:space="preserve">, </w:t>
            </w:r>
            <w:r>
              <w:rPr>
                <w:rStyle w:val="SourceText"/>
              </w:rPr>
              <w:t>:143</w:t>
            </w:r>
            <w:r>
              <w:rPr/>
              <w:t xml:space="preserve">, </w:t>
            </w:r>
            <w:r>
              <w:rPr>
                <w:rStyle w:val="SourceText"/>
              </w:rPr>
              <w:t>:149</w:t>
            </w:r>
          </w:p>
        </w:tc>
      </w:tr>
      <w:tr>
        <w:trPr/>
        <w:tc>
          <w:tcPr>
            <w:tcW w:w="1882" w:type="dxa"/>
            <w:tcBorders/>
            <w:vAlign w:val="center"/>
          </w:tcPr>
          <w:p>
            <w:pPr>
              <w:pStyle w:val="TableContents"/>
              <w:bidi w:val="0"/>
              <w:spacing w:before="0" w:after="283"/>
              <w:jc w:val="left"/>
              <w:rPr/>
            </w:pPr>
            <w:r>
              <w:rPr>
                <w:rStyle w:val="SourceText"/>
              </w:rPr>
              <w:t>boardroom_sessions</w:t>
            </w:r>
          </w:p>
        </w:tc>
        <w:tc>
          <w:tcPr>
            <w:tcW w:w="2186" w:type="dxa"/>
            <w:tcBorders/>
            <w:vAlign w:val="center"/>
          </w:tcPr>
          <w:p>
            <w:pPr>
              <w:pStyle w:val="TableContents"/>
              <w:bidi w:val="0"/>
              <w:spacing w:before="0" w:after="283"/>
              <w:jc w:val="left"/>
              <w:rPr/>
            </w:pPr>
            <w:r>
              <w:rPr/>
              <w:t>Meeting session state and reports</w:t>
            </w:r>
          </w:p>
        </w:tc>
        <w:tc>
          <w:tcPr>
            <w:tcW w:w="886" w:type="dxa"/>
            <w:tcBorders/>
            <w:vAlign w:val="center"/>
          </w:tcPr>
          <w:p>
            <w:pPr>
              <w:pStyle w:val="TableContents"/>
              <w:bidi w:val="0"/>
              <w:spacing w:before="0" w:after="283"/>
              <w:jc w:val="left"/>
              <w:rPr/>
            </w:pPr>
            <w:r>
              <w:rPr/>
              <w:t>B</w:t>
            </w:r>
          </w:p>
        </w:tc>
        <w:tc>
          <w:tcPr>
            <w:tcW w:w="1215" w:type="dxa"/>
            <w:tcBorders/>
            <w:vAlign w:val="center"/>
          </w:tcPr>
          <w:p>
            <w:pPr>
              <w:pStyle w:val="TableContents"/>
              <w:bidi w:val="0"/>
              <w:spacing w:before="0" w:after="283"/>
              <w:jc w:val="left"/>
              <w:rPr/>
            </w:pPr>
            <w:r>
              <w:rPr>
                <w:rStyle w:val="SourceText"/>
              </w:rPr>
              <w:t>:195</w:t>
            </w:r>
          </w:p>
        </w:tc>
      </w:tr>
      <w:tr>
        <w:trPr/>
        <w:tc>
          <w:tcPr>
            <w:tcW w:w="1882" w:type="dxa"/>
            <w:tcBorders/>
            <w:vAlign w:val="center"/>
          </w:tcPr>
          <w:p>
            <w:pPr>
              <w:pStyle w:val="TableContents"/>
              <w:bidi w:val="0"/>
              <w:spacing w:before="0" w:after="283"/>
              <w:jc w:val="left"/>
              <w:rPr/>
            </w:pPr>
            <w:r>
              <w:rPr>
                <w:rStyle w:val="SourceText"/>
              </w:rPr>
              <w:t>docgen_jobs</w:t>
            </w:r>
            <w:r>
              <w:rPr/>
              <w:t xml:space="preserve">, </w:t>
            </w:r>
            <w:r>
              <w:rPr>
                <w:rStyle w:val="SourceText"/>
              </w:rPr>
              <w:t>docgen_templates</w:t>
            </w:r>
          </w:p>
        </w:tc>
        <w:tc>
          <w:tcPr>
            <w:tcW w:w="2186" w:type="dxa"/>
            <w:tcBorders/>
            <w:vAlign w:val="center"/>
          </w:tcPr>
          <w:p>
            <w:pPr>
              <w:pStyle w:val="TableContents"/>
              <w:bidi w:val="0"/>
              <w:spacing w:before="0" w:after="283"/>
              <w:jc w:val="left"/>
              <w:rPr/>
            </w:pPr>
            <w:r>
              <w:rPr/>
              <w:t>Document Studio jobs, prompts and templates</w:t>
            </w:r>
          </w:p>
        </w:tc>
        <w:tc>
          <w:tcPr>
            <w:tcW w:w="886" w:type="dxa"/>
            <w:tcBorders/>
            <w:vAlign w:val="center"/>
          </w:tcPr>
          <w:p>
            <w:pPr>
              <w:pStyle w:val="TableContents"/>
              <w:bidi w:val="0"/>
              <w:spacing w:before="0" w:after="283"/>
              <w:jc w:val="left"/>
              <w:rPr/>
            </w:pPr>
            <w:r>
              <w:rPr/>
              <w:t>A, B</w:t>
            </w:r>
          </w:p>
        </w:tc>
        <w:tc>
          <w:tcPr>
            <w:tcW w:w="1215" w:type="dxa"/>
            <w:tcBorders/>
            <w:vAlign w:val="center"/>
          </w:tcPr>
          <w:p>
            <w:pPr>
              <w:pStyle w:val="TableContents"/>
              <w:bidi w:val="0"/>
              <w:spacing w:before="0" w:after="283"/>
              <w:jc w:val="left"/>
              <w:rPr/>
            </w:pPr>
            <w:r>
              <w:rPr>
                <w:rStyle w:val="SourceText"/>
              </w:rPr>
              <w:t>:208</w:t>
            </w:r>
            <w:r>
              <w:rPr/>
              <w:t xml:space="preserve">, </w:t>
            </w:r>
            <w:r>
              <w:rPr>
                <w:rStyle w:val="SourceText"/>
              </w:rPr>
              <w:t>:223</w:t>
            </w:r>
          </w:p>
        </w:tc>
      </w:tr>
      <w:tr>
        <w:trPr/>
        <w:tc>
          <w:tcPr>
            <w:tcW w:w="1882" w:type="dxa"/>
            <w:tcBorders/>
            <w:vAlign w:val="center"/>
          </w:tcPr>
          <w:p>
            <w:pPr>
              <w:pStyle w:val="TableContents"/>
              <w:bidi w:val="0"/>
              <w:spacing w:before="0" w:after="283"/>
              <w:jc w:val="left"/>
              <w:rPr/>
            </w:pPr>
            <w:r>
              <w:rPr>
                <w:rStyle w:val="SourceText"/>
              </w:rPr>
              <w:t>book_sections</w:t>
            </w:r>
            <w:r>
              <w:rPr/>
              <w:t xml:space="preserve">, </w:t>
            </w:r>
            <w:r>
              <w:rPr>
                <w:rStyle w:val="SourceText"/>
              </w:rPr>
              <w:t>section_references</w:t>
            </w:r>
          </w:p>
        </w:tc>
        <w:tc>
          <w:tcPr>
            <w:tcW w:w="2186" w:type="dxa"/>
            <w:tcBorders/>
            <w:vAlign w:val="center"/>
          </w:tcPr>
          <w:p>
            <w:pPr>
              <w:pStyle w:val="TableContents"/>
              <w:bidi w:val="0"/>
              <w:spacing w:before="0" w:after="283"/>
              <w:jc w:val="left"/>
              <w:rPr/>
            </w:pPr>
            <w:r>
              <w:rPr/>
              <w:t>Section index and cross-references over customer material</w:t>
            </w:r>
          </w:p>
        </w:tc>
        <w:tc>
          <w:tcPr>
            <w:tcW w:w="886" w:type="dxa"/>
            <w:tcBorders/>
            <w:vAlign w:val="center"/>
          </w:tcPr>
          <w:p>
            <w:pPr>
              <w:pStyle w:val="TableContents"/>
              <w:bidi w:val="0"/>
              <w:spacing w:before="0" w:after="283"/>
              <w:jc w:val="left"/>
              <w:rPr/>
            </w:pPr>
            <w:r>
              <w:rPr/>
              <w:t>C</w:t>
            </w:r>
          </w:p>
        </w:tc>
        <w:tc>
          <w:tcPr>
            <w:tcW w:w="1215" w:type="dxa"/>
            <w:tcBorders/>
            <w:vAlign w:val="center"/>
          </w:tcPr>
          <w:p>
            <w:pPr>
              <w:pStyle w:val="TableContents"/>
              <w:bidi w:val="0"/>
              <w:spacing w:before="0" w:after="283"/>
              <w:jc w:val="left"/>
              <w:rPr/>
            </w:pPr>
            <w:r>
              <w:rPr>
                <w:rStyle w:val="SourceText"/>
              </w:rPr>
              <w:t>:61</w:t>
            </w:r>
            <w:r>
              <w:rPr/>
              <w:t xml:space="preserve">, </w:t>
            </w:r>
            <w:r>
              <w:rPr>
                <w:rStyle w:val="SourceText"/>
              </w:rPr>
              <w:t>:76</w:t>
            </w:r>
          </w:p>
        </w:tc>
      </w:tr>
    </w:tbl>
    <w:p>
      <w:pPr>
        <w:pStyle w:val="BodyText"/>
        <w:bidi w:val="0"/>
        <w:jc w:val="left"/>
        <w:rPr/>
      </w:pPr>
      <w:r>
        <w:rPr>
          <w:rStyle w:val="Strong"/>
        </w:rPr>
        <w:t>Files on disk in the same volume:</w:t>
      </w:r>
    </w:p>
    <w:tbl>
      <w:tblPr>
        <w:tblW w:w="6169" w:type="dxa"/>
        <w:jc w:val="left"/>
        <w:tblInd w:w="0" w:type="dxa"/>
        <w:tblLayout w:type="fixed"/>
        <w:tblCellMar>
          <w:top w:w="28" w:type="dxa"/>
          <w:left w:w="28" w:type="dxa"/>
          <w:bottom w:w="28" w:type="dxa"/>
          <w:right w:w="28" w:type="dxa"/>
        </w:tblCellMar>
      </w:tblPr>
      <w:tblGrid>
        <w:gridCol w:w="1891"/>
        <w:gridCol w:w="1186"/>
        <w:gridCol w:w="886"/>
        <w:gridCol w:w="2206"/>
      </w:tblGrid>
      <w:tr>
        <w:trPr>
          <w:tblHeader w:val="true"/>
        </w:trPr>
        <w:tc>
          <w:tcPr>
            <w:tcW w:w="1891" w:type="dxa"/>
            <w:tcBorders/>
            <w:vAlign w:val="center"/>
          </w:tcPr>
          <w:p>
            <w:pPr>
              <w:pStyle w:val="TableHeading"/>
              <w:suppressLineNumbers/>
              <w:shd w:fill="1F3A5F" w:val="clear"/>
              <w:bidi w:val="0"/>
              <w:spacing w:before="0" w:after="283"/>
              <w:jc w:val="center"/>
              <w:rPr/>
            </w:pPr>
            <w:r>
              <w:rPr/>
              <w:t>Path</w:t>
            </w:r>
          </w:p>
        </w:tc>
        <w:tc>
          <w:tcPr>
            <w:tcW w:w="1186" w:type="dxa"/>
            <w:tcBorders/>
            <w:vAlign w:val="center"/>
          </w:tcPr>
          <w:p>
            <w:pPr>
              <w:pStyle w:val="TableHeading"/>
              <w:suppressLineNumbers/>
              <w:shd w:fill="1F3A5F" w:val="clear"/>
              <w:bidi w:val="0"/>
              <w:spacing w:before="0" w:after="283"/>
              <w:jc w:val="center"/>
              <w:rPr/>
            </w:pPr>
            <w:r>
              <w:rPr/>
              <w:t>Contents</w:t>
            </w:r>
          </w:p>
        </w:tc>
        <w:tc>
          <w:tcPr>
            <w:tcW w:w="886" w:type="dxa"/>
            <w:tcBorders/>
            <w:vAlign w:val="center"/>
          </w:tcPr>
          <w:p>
            <w:pPr>
              <w:pStyle w:val="TableHeading"/>
              <w:suppressLineNumbers/>
              <w:shd w:fill="1F3A5F" w:val="clear"/>
              <w:bidi w:val="0"/>
              <w:spacing w:before="0" w:after="283"/>
              <w:jc w:val="center"/>
              <w:rPr/>
            </w:pPr>
            <w:r>
              <w:rPr/>
              <w:t>Category</w:t>
            </w:r>
          </w:p>
        </w:tc>
        <w:tc>
          <w:tcPr>
            <w:tcW w:w="2206" w:type="dxa"/>
            <w:tcBorders/>
            <w:vAlign w:val="center"/>
          </w:tcPr>
          <w:p>
            <w:pPr>
              <w:pStyle w:val="TableHeading"/>
              <w:suppressLineNumbers/>
              <w:shd w:fill="1F3A5F" w:val="clear"/>
              <w:bidi w:val="0"/>
              <w:spacing w:before="0" w:after="283"/>
              <w:jc w:val="center"/>
              <w:rPr/>
            </w:pPr>
            <w:r>
              <w:rPr/>
              <w:t>Evidence</w:t>
            </w:r>
          </w:p>
        </w:tc>
      </w:tr>
      <w:tr>
        <w:trPr/>
        <w:tc>
          <w:tcPr>
            <w:tcW w:w="1891" w:type="dxa"/>
            <w:tcBorders/>
            <w:vAlign w:val="center"/>
          </w:tcPr>
          <w:p>
            <w:pPr>
              <w:pStyle w:val="TableContents"/>
              <w:bidi w:val="0"/>
              <w:spacing w:before="0" w:after="283"/>
              <w:jc w:val="left"/>
              <w:rPr/>
            </w:pPr>
            <w:r>
              <w:rPr>
                <w:rStyle w:val="SourceText"/>
              </w:rPr>
              <w:t>/data/uploads/</w:t>
            </w:r>
          </w:p>
        </w:tc>
        <w:tc>
          <w:tcPr>
            <w:tcW w:w="1186" w:type="dxa"/>
            <w:tcBorders/>
            <w:vAlign w:val="center"/>
          </w:tcPr>
          <w:p>
            <w:pPr>
              <w:pStyle w:val="TableContents"/>
              <w:bidi w:val="0"/>
              <w:spacing w:before="0" w:after="283"/>
              <w:jc w:val="left"/>
              <w:rPr/>
            </w:pPr>
            <w:r>
              <w:rPr/>
              <w:t>The original uploaded source files, retained so the front end can render them</w:t>
            </w:r>
          </w:p>
        </w:tc>
        <w:tc>
          <w:tcPr>
            <w:tcW w:w="886" w:type="dxa"/>
            <w:tcBorders/>
            <w:vAlign w:val="center"/>
          </w:tcPr>
          <w:p>
            <w:pPr>
              <w:pStyle w:val="TableContents"/>
              <w:bidi w:val="0"/>
              <w:spacing w:before="0" w:after="283"/>
              <w:jc w:val="left"/>
              <w:rPr/>
            </w:pPr>
            <w:r>
              <w:rPr/>
              <w:t>A</w:t>
            </w:r>
          </w:p>
        </w:tc>
        <w:tc>
          <w:tcPr>
            <w:tcW w:w="2206" w:type="dxa"/>
            <w:tcBorders/>
            <w:vAlign w:val="center"/>
          </w:tcPr>
          <w:p>
            <w:pPr>
              <w:pStyle w:val="TableContents"/>
              <w:bidi w:val="0"/>
              <w:spacing w:before="0" w:after="283"/>
              <w:jc w:val="left"/>
              <w:rPr/>
            </w:pPr>
            <w:r>
              <w:rPr>
                <w:rStyle w:val="SourceText"/>
              </w:rPr>
              <w:t>backend/app/api/routes/docs.py:24,30-32</w:t>
            </w:r>
          </w:p>
        </w:tc>
      </w:tr>
      <w:tr>
        <w:trPr/>
        <w:tc>
          <w:tcPr>
            <w:tcW w:w="1891" w:type="dxa"/>
            <w:tcBorders/>
            <w:vAlign w:val="center"/>
          </w:tcPr>
          <w:p>
            <w:pPr>
              <w:pStyle w:val="TableContents"/>
              <w:bidi w:val="0"/>
              <w:spacing w:before="0" w:after="283"/>
              <w:jc w:val="left"/>
              <w:rPr/>
            </w:pPr>
            <w:r>
              <w:rPr>
                <w:rStyle w:val="SourceText"/>
              </w:rPr>
              <w:t>/data/boardroom/{session_id}/</w:t>
            </w:r>
          </w:p>
        </w:tc>
        <w:tc>
          <w:tcPr>
            <w:tcW w:w="1186" w:type="dxa"/>
            <w:tcBorders/>
            <w:vAlign w:val="center"/>
          </w:tcPr>
          <w:p>
            <w:pPr>
              <w:pStyle w:val="TableContents"/>
              <w:bidi w:val="0"/>
              <w:spacing w:before="0" w:after="283"/>
              <w:jc w:val="left"/>
              <w:rPr/>
            </w:pPr>
            <w:r>
              <w:rPr/>
              <w:t xml:space="preserve">Raw meeting audio chunks, up to </w:t>
            </w:r>
            <w:r>
              <w:rPr>
                <w:rStyle w:val="SourceText"/>
              </w:rPr>
              <w:t>BOARDROOM_MAX_CHUNKS</w:t>
            </w:r>
            <w:r>
              <w:rPr/>
              <w:t xml:space="preserve"> 4000 × </w:t>
            </w:r>
            <w:r>
              <w:rPr>
                <w:rStyle w:val="SourceText"/>
              </w:rPr>
              <w:t>BOARDROOM_MAX_CHUNK_BYTES</w:t>
            </w:r>
            <w:r>
              <w:rPr/>
              <w:t xml:space="preserve"> 25 MB — roughly 5.5 hours per session</w:t>
            </w:r>
          </w:p>
        </w:tc>
        <w:tc>
          <w:tcPr>
            <w:tcW w:w="886" w:type="dxa"/>
            <w:tcBorders/>
            <w:vAlign w:val="center"/>
          </w:tcPr>
          <w:p>
            <w:pPr>
              <w:pStyle w:val="TableContents"/>
              <w:bidi w:val="0"/>
              <w:spacing w:before="0" w:after="283"/>
              <w:jc w:val="left"/>
              <w:rPr/>
            </w:pPr>
            <w:r>
              <w:rPr/>
              <w:t>A</w:t>
            </w:r>
          </w:p>
        </w:tc>
        <w:tc>
          <w:tcPr>
            <w:tcW w:w="2206" w:type="dxa"/>
            <w:tcBorders/>
            <w:vAlign w:val="center"/>
          </w:tcPr>
          <w:p>
            <w:pPr>
              <w:pStyle w:val="TableContents"/>
              <w:bidi w:val="0"/>
              <w:spacing w:before="0" w:after="283"/>
              <w:jc w:val="left"/>
              <w:rPr/>
            </w:pPr>
            <w:r>
              <w:rPr>
                <w:rStyle w:val="SourceText"/>
              </w:rPr>
              <w:t>backend/app/boardroom/service.py:37,79</w:t>
            </w:r>
            <w:r>
              <w:rPr/>
              <w:t xml:space="preserve">; </w:t>
            </w:r>
            <w:r>
              <w:rPr>
                <w:rStyle w:val="SourceText"/>
              </w:rPr>
              <w:t>backend/app/core/config.py:146,148</w:t>
            </w:r>
          </w:p>
        </w:tc>
      </w:tr>
      <w:tr>
        <w:trPr/>
        <w:tc>
          <w:tcPr>
            <w:tcW w:w="1891" w:type="dxa"/>
            <w:tcBorders/>
            <w:vAlign w:val="center"/>
          </w:tcPr>
          <w:p>
            <w:pPr>
              <w:pStyle w:val="TableContents"/>
              <w:bidi w:val="0"/>
              <w:spacing w:before="0" w:after="283"/>
              <w:jc w:val="left"/>
              <w:rPr/>
            </w:pPr>
            <w:r>
              <w:rPr>
                <w:rStyle w:val="SourceText"/>
              </w:rPr>
              <w:t>/data/faiss.index</w:t>
            </w:r>
            <w:r>
              <w:rPr/>
              <w:t xml:space="preserve">, </w:t>
            </w:r>
            <w:r>
              <w:rPr>
                <w:rStyle w:val="SourceText"/>
              </w:rPr>
              <w:t>faiss_transcript.index</w:t>
            </w:r>
            <w:r>
              <w:rPr/>
              <w:t xml:space="preserve">, </w:t>
            </w:r>
            <w:r>
              <w:rPr>
                <w:rStyle w:val="SourceText"/>
              </w:rPr>
              <w:t>faiss_section.index</w:t>
            </w:r>
            <w:r>
              <w:rPr/>
              <w:t xml:space="preserve">, </w:t>
            </w:r>
            <w:r>
              <w:rPr>
                <w:rStyle w:val="SourceText"/>
              </w:rPr>
              <w:t>faiss_glossary.index</w:t>
            </w:r>
            <w:r>
              <w:rPr/>
              <w:t xml:space="preserve"> and the matching </w:t>
            </w:r>
            <w:r>
              <w:rPr>
                <w:rStyle w:val="SourceText"/>
              </w:rPr>
              <w:t>*_meta.json</w:t>
            </w:r>
            <w:r>
              <w:rPr/>
              <w:t xml:space="preserve"> and </w:t>
            </w:r>
            <w:r>
              <w:rPr>
                <w:rStyle w:val="SourceText"/>
              </w:rPr>
              <w:t>sparse_*_meta.json</w:t>
            </w:r>
          </w:p>
        </w:tc>
        <w:tc>
          <w:tcPr>
            <w:tcW w:w="1186" w:type="dxa"/>
            <w:tcBorders/>
            <w:vAlign w:val="center"/>
          </w:tcPr>
          <w:p>
            <w:pPr>
              <w:pStyle w:val="TableContents"/>
              <w:bidi w:val="0"/>
              <w:spacing w:before="0" w:after="283"/>
              <w:jc w:val="left"/>
              <w:rPr/>
            </w:pPr>
            <w:r>
              <w:rPr/>
              <w:t>Embedded customer text and its provenance</w:t>
            </w:r>
          </w:p>
        </w:tc>
        <w:tc>
          <w:tcPr>
            <w:tcW w:w="886" w:type="dxa"/>
            <w:tcBorders/>
            <w:vAlign w:val="center"/>
          </w:tcPr>
          <w:p>
            <w:pPr>
              <w:pStyle w:val="TableContents"/>
              <w:bidi w:val="0"/>
              <w:spacing w:before="0" w:after="283"/>
              <w:jc w:val="left"/>
              <w:rPr/>
            </w:pPr>
            <w:r>
              <w:rPr/>
              <w:t>C</w:t>
            </w:r>
          </w:p>
        </w:tc>
        <w:tc>
          <w:tcPr>
            <w:tcW w:w="2206" w:type="dxa"/>
            <w:tcBorders/>
            <w:vAlign w:val="center"/>
          </w:tcPr>
          <w:p>
            <w:pPr>
              <w:pStyle w:val="TableContents"/>
              <w:bidi w:val="0"/>
              <w:spacing w:before="0" w:after="283"/>
              <w:jc w:val="left"/>
              <w:rPr/>
            </w:pPr>
            <w:r>
              <w:rPr>
                <w:rStyle w:val="SourceText"/>
              </w:rPr>
              <w:t>backend/app/core/config.py:12-18,198-202</w:t>
            </w:r>
          </w:p>
        </w:tc>
      </w:tr>
      <w:tr>
        <w:trPr/>
        <w:tc>
          <w:tcPr>
            <w:tcW w:w="1891" w:type="dxa"/>
            <w:tcBorders/>
            <w:vAlign w:val="center"/>
          </w:tcPr>
          <w:p>
            <w:pPr>
              <w:pStyle w:val="TableContents"/>
              <w:bidi w:val="0"/>
              <w:spacing w:before="0" w:after="283"/>
              <w:jc w:val="left"/>
              <w:rPr/>
            </w:pPr>
            <w:r>
              <w:rPr>
                <w:rStyle w:val="SourceText"/>
              </w:rPr>
              <w:t>/data/docgen_images/</w:t>
            </w:r>
            <w:r>
              <w:rPr/>
              <w:t>, generated documents</w:t>
            </w:r>
          </w:p>
        </w:tc>
        <w:tc>
          <w:tcPr>
            <w:tcW w:w="1186" w:type="dxa"/>
            <w:tcBorders/>
            <w:vAlign w:val="center"/>
          </w:tcPr>
          <w:p>
            <w:pPr>
              <w:pStyle w:val="TableContents"/>
              <w:bidi w:val="0"/>
              <w:spacing w:before="0" w:after="283"/>
              <w:jc w:val="left"/>
              <w:rPr/>
            </w:pPr>
            <w:r>
              <w:rPr/>
              <w:t>Output produced from customer prompts and material</w:t>
            </w:r>
          </w:p>
        </w:tc>
        <w:tc>
          <w:tcPr>
            <w:tcW w:w="886" w:type="dxa"/>
            <w:tcBorders/>
            <w:vAlign w:val="center"/>
          </w:tcPr>
          <w:p>
            <w:pPr>
              <w:pStyle w:val="TableContents"/>
              <w:bidi w:val="0"/>
              <w:spacing w:before="0" w:after="283"/>
              <w:jc w:val="left"/>
              <w:rPr/>
            </w:pPr>
            <w:r>
              <w:rPr/>
              <w:t>B</w:t>
            </w:r>
          </w:p>
        </w:tc>
        <w:tc>
          <w:tcPr>
            <w:tcW w:w="2206" w:type="dxa"/>
            <w:tcBorders/>
            <w:vAlign w:val="center"/>
          </w:tcPr>
          <w:p>
            <w:pPr>
              <w:pStyle w:val="TableContents"/>
              <w:bidi w:val="0"/>
              <w:spacing w:before="0" w:after="283"/>
              <w:jc w:val="left"/>
              <w:rPr/>
            </w:pPr>
            <w:r>
              <w:rPr>
                <w:rStyle w:val="SourceText"/>
              </w:rPr>
              <w:t>backend/app/docgen/images.py:46</w:t>
            </w:r>
          </w:p>
        </w:tc>
      </w:tr>
      <w:tr>
        <w:trPr/>
        <w:tc>
          <w:tcPr>
            <w:tcW w:w="1891" w:type="dxa"/>
            <w:tcBorders/>
            <w:vAlign w:val="center"/>
          </w:tcPr>
          <w:p>
            <w:pPr>
              <w:pStyle w:val="TableContents"/>
              <w:bidi w:val="0"/>
              <w:spacing w:before="0" w:after="283"/>
              <w:jc w:val="left"/>
              <w:rPr/>
            </w:pPr>
            <w:r>
              <w:rPr>
                <w:rStyle w:val="SourceText"/>
              </w:rPr>
              <w:t>/data/auth_secret.key</w:t>
            </w:r>
          </w:p>
        </w:tc>
        <w:tc>
          <w:tcPr>
            <w:tcW w:w="1186" w:type="dxa"/>
            <w:tcBorders/>
            <w:vAlign w:val="center"/>
          </w:tcPr>
          <w:p>
            <w:pPr>
              <w:pStyle w:val="TableContents"/>
              <w:bidi w:val="0"/>
              <w:spacing w:before="0" w:after="283"/>
              <w:jc w:val="left"/>
              <w:rPr/>
            </w:pPr>
            <w:r>
              <w:rPr/>
              <w:t>The JWT signing secret, auto-generated and persisted</w:t>
            </w:r>
          </w:p>
        </w:tc>
        <w:tc>
          <w:tcPr>
            <w:tcW w:w="886" w:type="dxa"/>
            <w:tcBorders/>
            <w:vAlign w:val="center"/>
          </w:tcPr>
          <w:p>
            <w:pPr>
              <w:pStyle w:val="TableContents"/>
              <w:bidi w:val="0"/>
              <w:spacing w:before="0" w:after="283"/>
              <w:jc w:val="left"/>
              <w:rPr/>
            </w:pPr>
            <w:r>
              <w:rPr/>
              <w:t xml:space="preserve">— </w:t>
            </w:r>
            <w:r>
              <w:rPr/>
              <w:t>(not customer property, but a secret protecting it)</w:t>
            </w:r>
          </w:p>
        </w:tc>
        <w:tc>
          <w:tcPr>
            <w:tcW w:w="2206" w:type="dxa"/>
            <w:tcBorders/>
            <w:vAlign w:val="center"/>
          </w:tcPr>
          <w:p>
            <w:pPr>
              <w:pStyle w:val="TableContents"/>
              <w:bidi w:val="0"/>
              <w:spacing w:before="0" w:after="283"/>
              <w:jc w:val="left"/>
              <w:rPr/>
            </w:pPr>
            <w:r>
              <w:rPr>
                <w:rStyle w:val="SourceText"/>
              </w:rPr>
              <w:t>backend/app/core/auth.py:58</w:t>
            </w:r>
          </w:p>
        </w:tc>
      </w:tr>
      <w:tr>
        <w:trPr/>
        <w:tc>
          <w:tcPr>
            <w:tcW w:w="1891" w:type="dxa"/>
            <w:tcBorders/>
            <w:vAlign w:val="center"/>
          </w:tcPr>
          <w:p>
            <w:pPr>
              <w:pStyle w:val="TableContents"/>
              <w:bidi w:val="0"/>
              <w:spacing w:before="0" w:after="283"/>
              <w:jc w:val="left"/>
              <w:rPr/>
            </w:pPr>
            <w:r>
              <w:rPr>
                <w:rStyle w:val="SourceText"/>
              </w:rPr>
              <w:t>/data/hf_cache/</w:t>
            </w:r>
            <w:r>
              <w:rPr/>
              <w:t xml:space="preserve">, </w:t>
            </w:r>
            <w:r>
              <w:rPr>
                <w:rStyle w:val="SourceText"/>
              </w:rPr>
              <w:t>/data/docgen_models/</w:t>
            </w:r>
          </w:p>
        </w:tc>
        <w:tc>
          <w:tcPr>
            <w:tcW w:w="1186" w:type="dxa"/>
            <w:tcBorders/>
            <w:vAlign w:val="center"/>
          </w:tcPr>
          <w:p>
            <w:pPr>
              <w:pStyle w:val="TableContents"/>
              <w:bidi w:val="0"/>
              <w:spacing w:before="0" w:after="283"/>
              <w:jc w:val="left"/>
              <w:rPr/>
            </w:pPr>
            <w:r>
              <w:rPr/>
              <w:t xml:space="preserve">Model weights. </w:t>
            </w:r>
            <w:r>
              <w:rPr>
                <w:rStyle w:val="Strong"/>
              </w:rPr>
              <w:t>Not</w:t>
            </w:r>
            <w:r>
              <w:rPr/>
              <w:t xml:space="preserve"> customer property</w:t>
            </w:r>
          </w:p>
        </w:tc>
        <w:tc>
          <w:tcPr>
            <w:tcW w:w="886" w:type="dxa"/>
            <w:tcBorders/>
            <w:vAlign w:val="center"/>
          </w:tcPr>
          <w:p>
            <w:pPr>
              <w:pStyle w:val="TableContents"/>
              <w:bidi w:val="0"/>
              <w:spacing w:before="0" w:after="283"/>
              <w:jc w:val="left"/>
              <w:rPr/>
            </w:pPr>
            <w:r>
              <w:rPr/>
              <w:t>—</w:t>
            </w:r>
          </w:p>
        </w:tc>
        <w:tc>
          <w:tcPr>
            <w:tcW w:w="2206" w:type="dxa"/>
            <w:tcBorders/>
            <w:vAlign w:val="center"/>
          </w:tcPr>
          <w:p>
            <w:pPr>
              <w:pStyle w:val="TableContents"/>
              <w:bidi w:val="0"/>
              <w:spacing w:before="0" w:after="283"/>
              <w:jc w:val="left"/>
              <w:rPr/>
            </w:pPr>
            <w:r>
              <w:rPr>
                <w:rStyle w:val="SourceText"/>
              </w:rPr>
              <w:t>backend/app/boardroom/service.py:41</w:t>
            </w:r>
            <w:r>
              <w:rPr/>
              <w:t xml:space="preserve">; </w:t>
            </w:r>
            <w:r>
              <w:rPr>
                <w:rStyle w:val="SourceText"/>
              </w:rPr>
              <w:t>docker-compose.yml:96</w:t>
            </w:r>
          </w:p>
        </w:tc>
      </w:tr>
    </w:tbl>
    <w:p>
      <w:pPr>
        <w:pStyle w:val="BodyText"/>
        <w:bidi w:val="0"/>
        <w:jc w:val="left"/>
        <w:rPr/>
      </w:pPr>
      <w:r>
        <w:rPr>
          <w:rStyle w:val="Strong"/>
        </w:rPr>
        <w:t>Live voice audio</w:t>
      </w:r>
      <w:r>
        <w:rPr/>
        <w:t xml:space="preserve"> is streamed over a WebSocket and processed in memory. The persisted artefacts are the transcripts and, for boardroom sessions, the audio chunk files above.</w:t>
      </w:r>
    </w:p>
    <w:p>
      <w:pPr>
        <w:pStyle w:val="Heading2"/>
        <w:bidi w:val="0"/>
        <w:jc w:val="left"/>
        <w:rPr/>
      </w:pPr>
      <w:r>
        <w:rPr/>
        <w:t>6. Isolation between customers and between knowledge bases</w:t>
      </w:r>
    </w:p>
    <w:p>
      <w:pPr>
        <w:pStyle w:val="BodyText"/>
        <w:bidi w:val="0"/>
        <w:jc w:val="left"/>
        <w:rPr/>
      </w:pPr>
      <w:r>
        <w:rPr/>
        <w:t xml:space="preserve">Isolation in EchoMind Enterprise is </w:t>
      </w:r>
      <w:r>
        <w:rPr>
          <w:rStyle w:val="Strong"/>
        </w:rPr>
        <w:t>by knowledge-base namespace, enforced at retrieval time</w:t>
      </w:r>
      <w:r>
        <w:rPr/>
        <w:t xml:space="preserve"> — not by separate databases, separate volumes or separate processes. An auditor should understand the mechanism exactly, because its limits matter more than its presence.</w:t>
      </w:r>
    </w:p>
    <w:tbl>
      <w:tblPr>
        <w:tblW w:w="6169" w:type="dxa"/>
        <w:jc w:val="left"/>
        <w:tblInd w:w="0" w:type="dxa"/>
        <w:tblLayout w:type="fixed"/>
        <w:tblCellMar>
          <w:top w:w="28" w:type="dxa"/>
          <w:left w:w="28" w:type="dxa"/>
          <w:bottom w:w="28" w:type="dxa"/>
          <w:right w:w="28" w:type="dxa"/>
        </w:tblCellMar>
      </w:tblPr>
      <w:tblGrid>
        <w:gridCol w:w="1533"/>
        <w:gridCol w:w="1820"/>
        <w:gridCol w:w="2816"/>
      </w:tblGrid>
      <w:tr>
        <w:trPr>
          <w:tblHeader w:val="true"/>
        </w:trPr>
        <w:tc>
          <w:tcPr>
            <w:tcW w:w="1533" w:type="dxa"/>
            <w:tcBorders/>
            <w:vAlign w:val="center"/>
          </w:tcPr>
          <w:p>
            <w:pPr>
              <w:pStyle w:val="TableHeading"/>
              <w:suppressLineNumbers/>
              <w:shd w:fill="1F3A5F" w:val="clear"/>
              <w:bidi w:val="0"/>
              <w:spacing w:before="0" w:after="283"/>
              <w:jc w:val="center"/>
              <w:rPr/>
            </w:pPr>
            <w:r>
              <w:rPr/>
              <w:t>Element</w:t>
            </w:r>
          </w:p>
        </w:tc>
        <w:tc>
          <w:tcPr>
            <w:tcW w:w="1820" w:type="dxa"/>
            <w:tcBorders/>
            <w:vAlign w:val="center"/>
          </w:tcPr>
          <w:p>
            <w:pPr>
              <w:pStyle w:val="TableHeading"/>
              <w:suppressLineNumbers/>
              <w:shd w:fill="1F3A5F" w:val="clear"/>
              <w:bidi w:val="0"/>
              <w:spacing w:before="0" w:after="283"/>
              <w:jc w:val="center"/>
              <w:rPr/>
            </w:pPr>
            <w:r>
              <w:rPr/>
              <w:t>Where</w:t>
            </w:r>
          </w:p>
        </w:tc>
        <w:tc>
          <w:tcPr>
            <w:tcW w:w="2816" w:type="dxa"/>
            <w:tcBorders/>
            <w:vAlign w:val="center"/>
          </w:tcPr>
          <w:p>
            <w:pPr>
              <w:pStyle w:val="TableHeading"/>
              <w:suppressLineNumbers/>
              <w:shd w:fill="1F3A5F" w:val="clear"/>
              <w:bidi w:val="0"/>
              <w:spacing w:before="0" w:after="283"/>
              <w:jc w:val="center"/>
              <w:rPr/>
            </w:pPr>
            <w:r>
              <w:rPr/>
              <w:t>What it does</w:t>
            </w:r>
          </w:p>
        </w:tc>
      </w:tr>
      <w:tr>
        <w:trPr/>
        <w:tc>
          <w:tcPr>
            <w:tcW w:w="1533" w:type="dxa"/>
            <w:tcBorders/>
            <w:vAlign w:val="center"/>
          </w:tcPr>
          <w:p>
            <w:pPr>
              <w:pStyle w:val="TableContents"/>
              <w:bidi w:val="0"/>
              <w:spacing w:before="0" w:after="283"/>
              <w:jc w:val="left"/>
              <w:rPr/>
            </w:pPr>
            <w:r>
              <w:rPr>
                <w:rStyle w:val="SourceText"/>
              </w:rPr>
              <w:t>_active_namespace</w:t>
            </w:r>
            <w:r>
              <w:rPr/>
              <w:t xml:space="preserve"> context variable</w:t>
            </w:r>
          </w:p>
        </w:tc>
        <w:tc>
          <w:tcPr>
            <w:tcW w:w="1820" w:type="dxa"/>
            <w:tcBorders/>
            <w:vAlign w:val="center"/>
          </w:tcPr>
          <w:p>
            <w:pPr>
              <w:pStyle w:val="TableContents"/>
              <w:bidi w:val="0"/>
              <w:spacing w:before="0" w:after="283"/>
              <w:jc w:val="left"/>
              <w:rPr/>
            </w:pPr>
            <w:r>
              <w:rPr>
                <w:rStyle w:val="SourceText"/>
              </w:rPr>
              <w:t>backend/app/rag/index.py:29</w:t>
            </w:r>
            <w:r>
              <w:rPr/>
              <w:t xml:space="preserve">, setter at </w:t>
            </w:r>
            <w:r>
              <w:rPr>
                <w:rStyle w:val="SourceText"/>
              </w:rPr>
              <w:t>:32-33</w:t>
            </w:r>
          </w:p>
        </w:tc>
        <w:tc>
          <w:tcPr>
            <w:tcW w:w="2816" w:type="dxa"/>
            <w:tcBorders/>
            <w:vAlign w:val="center"/>
          </w:tcPr>
          <w:p>
            <w:pPr>
              <w:pStyle w:val="TableContents"/>
              <w:bidi w:val="0"/>
              <w:spacing w:before="0" w:after="283"/>
              <w:jc w:val="left"/>
              <w:rPr/>
            </w:pPr>
            <w:r>
              <w:rPr/>
              <w:t>Holds the namespace for the current request; async-safe</w:t>
            </w:r>
          </w:p>
        </w:tc>
      </w:tr>
      <w:tr>
        <w:trPr/>
        <w:tc>
          <w:tcPr>
            <w:tcW w:w="1533" w:type="dxa"/>
            <w:tcBorders/>
            <w:vAlign w:val="center"/>
          </w:tcPr>
          <w:p>
            <w:pPr>
              <w:pStyle w:val="TableContents"/>
              <w:bidi w:val="0"/>
              <w:spacing w:before="0" w:after="283"/>
              <w:jc w:val="left"/>
              <w:rPr/>
            </w:pPr>
            <w:r>
              <w:rPr>
                <w:rStyle w:val="SourceText"/>
              </w:rPr>
              <w:t>_ns_ok</w:t>
            </w:r>
            <w:r>
              <w:rPr/>
              <w:t xml:space="preserve"> predicate</w:t>
            </w:r>
          </w:p>
        </w:tc>
        <w:tc>
          <w:tcPr>
            <w:tcW w:w="1820" w:type="dxa"/>
            <w:tcBorders/>
            <w:vAlign w:val="center"/>
          </w:tcPr>
          <w:p>
            <w:pPr>
              <w:pStyle w:val="TableContents"/>
              <w:bidi w:val="0"/>
              <w:spacing w:before="0" w:after="283"/>
              <w:jc w:val="left"/>
              <w:rPr/>
            </w:pPr>
            <w:r>
              <w:rPr>
                <w:rStyle w:val="SourceText"/>
              </w:rPr>
              <w:t>backend/app/rag/index.py:37-40</w:t>
            </w:r>
          </w:p>
        </w:tc>
        <w:tc>
          <w:tcPr>
            <w:tcW w:w="2816" w:type="dxa"/>
            <w:tcBorders/>
            <w:vAlign w:val="center"/>
          </w:tcPr>
          <w:p>
            <w:pPr>
              <w:pStyle w:val="TableContents"/>
              <w:bidi w:val="0"/>
              <w:spacing w:before="0" w:after="283"/>
              <w:jc w:val="left"/>
              <w:rPr/>
            </w:pPr>
            <w:r>
              <w:rPr>
                <w:rStyle w:val="SourceText"/>
              </w:rPr>
              <w:t>((src or {}).get("namespace") or "default") == ns</w:t>
            </w:r>
            <w:r>
              <w:rPr/>
              <w:t xml:space="preserve"> — applied inside every index search path</w:t>
            </w:r>
          </w:p>
        </w:tc>
      </w:tr>
      <w:tr>
        <w:trPr/>
        <w:tc>
          <w:tcPr>
            <w:tcW w:w="1533" w:type="dxa"/>
            <w:tcBorders/>
            <w:vAlign w:val="center"/>
          </w:tcPr>
          <w:p>
            <w:pPr>
              <w:pStyle w:val="TableContents"/>
              <w:bidi w:val="0"/>
              <w:spacing w:before="0" w:after="283"/>
              <w:jc w:val="left"/>
              <w:rPr/>
            </w:pPr>
            <w:r>
              <w:rPr/>
              <w:t>Per-request namespace binding</w:t>
            </w:r>
          </w:p>
        </w:tc>
        <w:tc>
          <w:tcPr>
            <w:tcW w:w="1820" w:type="dxa"/>
            <w:tcBorders/>
            <w:vAlign w:val="center"/>
          </w:tcPr>
          <w:p>
            <w:pPr>
              <w:pStyle w:val="TableContents"/>
              <w:bidi w:val="0"/>
              <w:spacing w:before="0" w:after="283"/>
              <w:jc w:val="left"/>
              <w:rPr/>
            </w:pPr>
            <w:r>
              <w:rPr>
                <w:rStyle w:val="SourceText"/>
              </w:rPr>
              <w:t>backend/app/api/routes/chat.py:382, 422, 498, 560</w:t>
            </w:r>
          </w:p>
        </w:tc>
        <w:tc>
          <w:tcPr>
            <w:tcW w:w="2816" w:type="dxa"/>
            <w:tcBorders/>
            <w:vAlign w:val="center"/>
          </w:tcPr>
          <w:p>
            <w:pPr>
              <w:pStyle w:val="TableContents"/>
              <w:bidi w:val="0"/>
              <w:spacing w:before="0" w:after="283"/>
              <w:jc w:val="left"/>
              <w:rPr/>
            </w:pPr>
            <w:r>
              <w:rPr>
                <w:rStyle w:val="SourceText"/>
              </w:rPr>
              <w:t>set_active_namespace(_effective_ns(request, inp.namespace))</w:t>
            </w:r>
          </w:p>
        </w:tc>
      </w:tr>
      <w:tr>
        <w:trPr/>
        <w:tc>
          <w:tcPr>
            <w:tcW w:w="1533" w:type="dxa"/>
            <w:tcBorders/>
            <w:vAlign w:val="center"/>
          </w:tcPr>
          <w:p>
            <w:pPr>
              <w:pStyle w:val="TableContents"/>
              <w:bidi w:val="0"/>
              <w:spacing w:before="0" w:after="283"/>
              <w:jc w:val="left"/>
              <w:rPr/>
            </w:pPr>
            <w:r>
              <w:rPr>
                <w:rStyle w:val="Strong"/>
              </w:rPr>
              <w:t>The actual security boundary</w:t>
            </w:r>
          </w:p>
        </w:tc>
        <w:tc>
          <w:tcPr>
            <w:tcW w:w="1820" w:type="dxa"/>
            <w:tcBorders/>
            <w:vAlign w:val="center"/>
          </w:tcPr>
          <w:p>
            <w:pPr>
              <w:pStyle w:val="TableContents"/>
              <w:bidi w:val="0"/>
              <w:spacing w:before="0" w:after="283"/>
              <w:jc w:val="left"/>
              <w:rPr/>
            </w:pPr>
            <w:r>
              <w:rPr>
                <w:rStyle w:val="SourceText"/>
              </w:rPr>
              <w:t>backend/app/api/routes/chat.py:25-33</w:t>
            </w:r>
            <w:r>
              <w:rPr/>
              <w:t xml:space="preserve"> (</w:t>
            </w:r>
            <w:r>
              <w:rPr>
                <w:rStyle w:val="SourceText"/>
              </w:rPr>
              <w:t>_effective_ns</w:t>
            </w:r>
            <w:r>
              <w:rPr/>
              <w:t>)</w:t>
            </w:r>
          </w:p>
        </w:tc>
        <w:tc>
          <w:tcPr>
            <w:tcW w:w="2816" w:type="dxa"/>
            <w:tcBorders/>
            <w:vAlign w:val="center"/>
          </w:tcPr>
          <w:p>
            <w:pPr>
              <w:pStyle w:val="TableContents"/>
              <w:bidi w:val="0"/>
              <w:spacing w:before="0" w:after="283"/>
              <w:jc w:val="left"/>
              <w:rPr/>
            </w:pPr>
            <w:r>
              <w:rPr/>
              <w:t xml:space="preserve">When authentication is on and the user is bound to a tenant, the user's tenant namespace is </w:t>
            </w:r>
            <w:r>
              <w:rPr>
                <w:rStyle w:val="Strong"/>
              </w:rPr>
              <w:t>forced</w:t>
            </w:r>
            <w:r>
              <w:rPr/>
              <w:t>, so a tenant user cannot read another tenant's knowledge base by sending a different namespace</w:t>
            </w:r>
          </w:p>
        </w:tc>
      </w:tr>
      <w:tr>
        <w:trPr/>
        <w:tc>
          <w:tcPr>
            <w:tcW w:w="1533" w:type="dxa"/>
            <w:tcBorders/>
            <w:vAlign w:val="center"/>
          </w:tcPr>
          <w:p>
            <w:pPr>
              <w:pStyle w:val="TableContents"/>
              <w:bidi w:val="0"/>
              <w:spacing w:before="0" w:after="283"/>
              <w:jc w:val="left"/>
              <w:rPr/>
            </w:pPr>
            <w:r>
              <w:rPr/>
              <w:t>Ingest-side tagging</w:t>
            </w:r>
          </w:p>
        </w:tc>
        <w:tc>
          <w:tcPr>
            <w:tcW w:w="1820" w:type="dxa"/>
            <w:tcBorders/>
            <w:vAlign w:val="center"/>
          </w:tcPr>
          <w:p>
            <w:pPr>
              <w:pStyle w:val="TableContents"/>
              <w:bidi w:val="0"/>
              <w:spacing w:before="0" w:after="283"/>
              <w:jc w:val="left"/>
              <w:rPr/>
            </w:pPr>
            <w:r>
              <w:rPr>
                <w:rStyle w:val="SourceText"/>
              </w:rPr>
              <w:t>backend/app/api/routes/docs.py:144-181</w:t>
            </w:r>
            <w:r>
              <w:rPr/>
              <w:t xml:space="preserve">, tenant forcing at </w:t>
            </w:r>
            <w:r>
              <w:rPr>
                <w:rStyle w:val="SourceText"/>
              </w:rPr>
              <w:t>:145-150</w:t>
            </w:r>
          </w:p>
        </w:tc>
        <w:tc>
          <w:tcPr>
            <w:tcW w:w="2816" w:type="dxa"/>
            <w:tcBorders/>
            <w:vAlign w:val="center"/>
          </w:tcPr>
          <w:p>
            <w:pPr>
              <w:pStyle w:val="TableContents"/>
              <w:bidi w:val="0"/>
              <w:spacing w:before="0" w:after="283"/>
              <w:jc w:val="left"/>
              <w:rPr/>
            </w:pPr>
            <w:r>
              <w:rPr/>
              <w:t>An uploaded document is tagged with the uploader's tenant namespace</w:t>
            </w:r>
          </w:p>
        </w:tc>
      </w:tr>
      <w:tr>
        <w:trPr/>
        <w:tc>
          <w:tcPr>
            <w:tcW w:w="1533" w:type="dxa"/>
            <w:tcBorders/>
            <w:vAlign w:val="center"/>
          </w:tcPr>
          <w:p>
            <w:pPr>
              <w:pStyle w:val="TableContents"/>
              <w:bidi w:val="0"/>
              <w:spacing w:before="0" w:after="283"/>
              <w:jc w:val="left"/>
              <w:rPr/>
            </w:pPr>
            <w:r>
              <w:rPr/>
              <w:t>Candidate-pool widening</w:t>
            </w:r>
          </w:p>
        </w:tc>
        <w:tc>
          <w:tcPr>
            <w:tcW w:w="1820" w:type="dxa"/>
            <w:tcBorders/>
            <w:vAlign w:val="center"/>
          </w:tcPr>
          <w:p>
            <w:pPr>
              <w:pStyle w:val="TableContents"/>
              <w:bidi w:val="0"/>
              <w:spacing w:before="0" w:after="283"/>
              <w:jc w:val="left"/>
              <w:rPr/>
            </w:pPr>
            <w:r>
              <w:rPr>
                <w:rStyle w:val="SourceText"/>
              </w:rPr>
              <w:t>backend/app/rag/index.py:44-57</w:t>
            </w:r>
          </w:p>
        </w:tc>
        <w:tc>
          <w:tcPr>
            <w:tcW w:w="2816" w:type="dxa"/>
            <w:tcBorders/>
            <w:vAlign w:val="center"/>
          </w:tcPr>
          <w:p>
            <w:pPr>
              <w:pStyle w:val="TableContents"/>
              <w:bidi w:val="0"/>
              <w:spacing w:before="0" w:after="283"/>
              <w:jc w:val="left"/>
              <w:rPr/>
            </w:pPr>
            <w:r>
              <w:rPr/>
              <w:t>Searches rank globally and then filter; a fixed pool starved small namespaces as the corpus grew, so the pool scales with index size</w:t>
            </w:r>
          </w:p>
        </w:tc>
      </w:tr>
    </w:tbl>
    <w:p>
      <w:pPr>
        <w:pStyle w:val="BodyText"/>
        <w:bidi w:val="0"/>
        <w:jc w:val="left"/>
        <w:rPr/>
      </w:pPr>
      <w:r>
        <w:rPr>
          <w:rStyle w:val="Strong"/>
        </w:rPr>
        <w:t xml:space="preserve">Stated plainly: the tenant boundary is only enforced when </w:t>
      </w:r>
      <w:r>
        <w:rPr>
          <w:rStyle w:val="SourceText"/>
        </w:rPr>
        <w:t>AUTH_ENABLED</w:t>
      </w:r>
      <w:r>
        <w:rPr>
          <w:rStyle w:val="Strong"/>
        </w:rPr>
        <w:t xml:space="preserve"> is true.</w:t>
      </w:r>
      <w:r>
        <w:rPr/>
        <w:t xml:space="preserve"> With authentication off — which is the default (</w:t>
      </w:r>
      <w:r>
        <w:rPr>
          <w:rStyle w:val="SourceText"/>
        </w:rPr>
        <w:t>backend/app/core/config.py:230</w:t>
      </w:r>
      <w:r>
        <w:rPr/>
        <w:t xml:space="preserve">; </w:t>
      </w:r>
      <w:r>
        <w:rPr>
          <w:rStyle w:val="SourceText"/>
        </w:rPr>
        <w:t>docker-compose.yml:79</w:t>
      </w:r>
      <w:r>
        <w:rPr/>
        <w:t xml:space="preserve">) — </w:t>
      </w:r>
      <w:r>
        <w:rPr>
          <w:rStyle w:val="SourceText"/>
        </w:rPr>
        <w:t>_effective_ns</w:t>
      </w:r>
      <w:r>
        <w:rPr/>
        <w:t xml:space="preserve"> returns whatever namespace the client sent, unverified. In that configuration the namespace is a </w:t>
      </w:r>
      <w:r>
        <w:rPr>
          <w:rStyle w:val="Emphasis"/>
        </w:rPr>
        <w:t>partition</w:t>
      </w:r>
      <w:r>
        <w:rPr/>
        <w:t xml:space="preserve">, not a </w:t>
      </w:r>
      <w:r>
        <w:rPr>
          <w:rStyle w:val="Emphasis"/>
        </w:rPr>
        <w:t>security boundary</w:t>
      </w:r>
      <w:r>
        <w:rPr/>
        <w:t>: it keeps knowledge bases separate for users who ask honestly, and stops nothing else.</w:t>
      </w:r>
    </w:p>
    <w:p>
      <w:pPr>
        <w:pStyle w:val="BodyText"/>
        <w:bidi w:val="0"/>
        <w:jc w:val="left"/>
        <w:rPr/>
      </w:pPr>
      <w:r>
        <w:rPr>
          <w:rStyle w:val="SourceText"/>
        </w:rPr>
        <w:t>frontend/packs.ts:1-9</w:t>
      </w:r>
      <w:r>
        <w:rPr/>
        <w:t xml:space="preserve"> maps a subdomain to a namespace, persona and theme. This is presentation-layer selection and </w:t>
      </w:r>
      <w:r>
        <w:rPr>
          <w:rStyle w:val="Strong"/>
        </w:rPr>
        <w:t>is not a security control</w:t>
      </w:r>
      <w:r>
        <w:rPr/>
        <w:t>; it is client-side and can be overridden by a query parameter, as the comment in that file states.</w:t>
      </w:r>
    </w:p>
    <w:p>
      <w:pPr>
        <w:pStyle w:val="BodyText"/>
        <w:bidi w:val="0"/>
        <w:jc w:val="left"/>
        <w:rPr/>
      </w:pPr>
      <w:r>
        <w:rPr/>
        <w:t xml:space="preserve">The isolation mechanism has failed once in the recorded history, and the failure was found by measurement rather than by report — commit </w:t>
      </w:r>
      <w:r>
        <w:rPr>
          <w:rStyle w:val="SourceText"/>
        </w:rPr>
        <w:t>4e27109</w:t>
      </w:r>
      <w:r>
        <w:rPr/>
        <w:t xml:space="preserve">, worked through in </w:t>
      </w:r>
      <w:r>
        <w:rPr>
          <w:rStyle w:val="SourceText"/>
        </w:rPr>
        <w:t>SOP-10</w:t>
      </w:r>
      <w:r>
        <w:rPr/>
        <w:t xml:space="preserve"> §10 Example A, and a related keyword-grep namespace leak in </w:t>
      </w:r>
      <w:r>
        <w:rPr>
          <w:rStyle w:val="SourceText"/>
        </w:rPr>
        <w:t>ebd232f</w:t>
      </w:r>
      <w:r>
        <w:rPr/>
        <w:t>. Post-fix verification across all five retrieval paths recorded 0 out-of-namespace hits in 359 checks (</w:t>
      </w:r>
      <w:r>
        <w:rPr>
          <w:rStyle w:val="SourceText"/>
        </w:rPr>
        <w:t>eval/paper/results/SUMMARY.json</w:t>
      </w:r>
      <w:r>
        <w:rPr/>
        <w:t>, experiment E3b).</w:t>
      </w:r>
    </w:p>
    <w:p>
      <w:pPr>
        <w:pStyle w:val="Heading2"/>
        <w:bidi w:val="0"/>
        <w:jc w:val="left"/>
        <w:rPr/>
      </w:pPr>
      <w:r>
        <w:rPr/>
        <w:t>7. What must never leave the customer's perimeter, and how that is enforced</w:t>
      </w:r>
    </w:p>
    <w:p>
      <w:pPr>
        <w:pStyle w:val="BodyText"/>
        <w:bidi w:val="0"/>
        <w:jc w:val="left"/>
        <w:rPr/>
      </w:pPr>
      <w:r>
        <w:rPr/>
        <w:t>Nothing in categories A to D may leave the customer's hardware. This is not a policy statement layered over a connected product; it is how the runtime is built.</w:t>
      </w:r>
    </w:p>
    <w:tbl>
      <w:tblPr>
        <w:tblW w:w="6169" w:type="dxa"/>
        <w:jc w:val="left"/>
        <w:tblInd w:w="0" w:type="dxa"/>
        <w:tblLayout w:type="fixed"/>
        <w:tblCellMar>
          <w:top w:w="28" w:type="dxa"/>
          <w:left w:w="28" w:type="dxa"/>
          <w:bottom w:w="28" w:type="dxa"/>
          <w:right w:w="28" w:type="dxa"/>
        </w:tblCellMar>
      </w:tblPr>
      <w:tblGrid>
        <w:gridCol w:w="1906"/>
        <w:gridCol w:w="4263"/>
      </w:tblGrid>
      <w:tr>
        <w:trPr>
          <w:tblHeader w:val="true"/>
        </w:trPr>
        <w:tc>
          <w:tcPr>
            <w:tcW w:w="1906" w:type="dxa"/>
            <w:tcBorders/>
            <w:vAlign w:val="center"/>
          </w:tcPr>
          <w:p>
            <w:pPr>
              <w:pStyle w:val="TableHeading"/>
              <w:suppressLineNumbers/>
              <w:shd w:fill="1F3A5F" w:val="clear"/>
              <w:bidi w:val="0"/>
              <w:spacing w:before="0" w:after="283"/>
              <w:jc w:val="center"/>
              <w:rPr/>
            </w:pPr>
            <w:r>
              <w:rPr/>
              <w:t>Control</w:t>
            </w:r>
          </w:p>
        </w:tc>
        <w:tc>
          <w:tcPr>
            <w:tcW w:w="4263" w:type="dxa"/>
            <w:tcBorders/>
            <w:vAlign w:val="center"/>
          </w:tcPr>
          <w:p>
            <w:pPr>
              <w:pStyle w:val="TableHeading"/>
              <w:suppressLineNumbers/>
              <w:shd w:fill="1F3A5F" w:val="clear"/>
              <w:bidi w:val="0"/>
              <w:spacing w:before="0" w:after="283"/>
              <w:jc w:val="center"/>
              <w:rPr/>
            </w:pPr>
            <w:r>
              <w:rPr/>
              <w:t>Evidence</w:t>
            </w:r>
          </w:p>
        </w:tc>
      </w:tr>
      <w:tr>
        <w:trPr/>
        <w:tc>
          <w:tcPr>
            <w:tcW w:w="1906" w:type="dxa"/>
            <w:tcBorders/>
            <w:vAlign w:val="center"/>
          </w:tcPr>
          <w:p>
            <w:pPr>
              <w:pStyle w:val="TableContents"/>
              <w:bidi w:val="0"/>
              <w:spacing w:before="0" w:after="283"/>
              <w:jc w:val="left"/>
              <w:rPr/>
            </w:pPr>
            <w:r>
              <w:rPr/>
              <w:t>All inference is local — chat, embeddings, speech-to-text and text-to-speech all run in containers on the customer's host</w:t>
            </w:r>
          </w:p>
        </w:tc>
        <w:tc>
          <w:tcPr>
            <w:tcW w:w="4263" w:type="dxa"/>
            <w:tcBorders/>
            <w:vAlign w:val="center"/>
          </w:tcPr>
          <w:p>
            <w:pPr>
              <w:pStyle w:val="TableContents"/>
              <w:bidi w:val="0"/>
              <w:spacing w:before="0" w:after="283"/>
              <w:jc w:val="left"/>
              <w:rPr/>
            </w:pPr>
            <w:r>
              <w:rPr>
                <w:rStyle w:val="SourceText"/>
              </w:rPr>
              <w:t>docker-compose.yml</w:t>
            </w:r>
            <w:r>
              <w:rPr/>
              <w:t xml:space="preserve"> service definitions for </w:t>
            </w:r>
            <w:r>
              <w:rPr>
                <w:rStyle w:val="SourceText"/>
              </w:rPr>
              <w:t>trtllm</w:t>
            </w:r>
            <w:r>
              <w:rPr/>
              <w:t xml:space="preserve">, </w:t>
            </w:r>
            <w:r>
              <w:rPr>
                <w:rStyle w:val="SourceText"/>
              </w:rPr>
              <w:t>ollama</w:t>
            </w:r>
            <w:r>
              <w:rPr/>
              <w:t xml:space="preserve">, </w:t>
            </w:r>
            <w:r>
              <w:rPr>
                <w:rStyle w:val="SourceText"/>
              </w:rPr>
              <w:t>backend</w:t>
            </w:r>
            <w:r>
              <w:rPr/>
              <w:t xml:space="preserve"> and </w:t>
            </w:r>
            <w:r>
              <w:rPr>
                <w:rStyle w:val="SourceText"/>
              </w:rPr>
              <w:t>voice</w:t>
            </w:r>
            <w:r>
              <w:rPr/>
              <w:t xml:space="preserve">; </w:t>
            </w:r>
            <w:r>
              <w:rPr>
                <w:rStyle w:val="SourceText"/>
              </w:rPr>
              <w:t>README.md:130</w:t>
            </w:r>
          </w:p>
        </w:tc>
      </w:tr>
      <w:tr>
        <w:trPr/>
        <w:tc>
          <w:tcPr>
            <w:tcW w:w="1906" w:type="dxa"/>
            <w:tcBorders/>
            <w:vAlign w:val="center"/>
          </w:tcPr>
          <w:p>
            <w:pPr>
              <w:pStyle w:val="TableContents"/>
              <w:bidi w:val="0"/>
              <w:spacing w:before="0" w:after="283"/>
              <w:jc w:val="left"/>
              <w:rPr/>
            </w:pPr>
            <w:r>
              <w:rPr/>
              <w:t>No telemetry, analytics or usage reporting of any kind</w:t>
            </w:r>
          </w:p>
        </w:tc>
        <w:tc>
          <w:tcPr>
            <w:tcW w:w="4263" w:type="dxa"/>
            <w:tcBorders/>
            <w:vAlign w:val="center"/>
          </w:tcPr>
          <w:p>
            <w:pPr>
              <w:pStyle w:val="TableContents"/>
              <w:bidi w:val="0"/>
              <w:spacing w:before="0" w:after="283"/>
              <w:jc w:val="left"/>
              <w:rPr/>
            </w:pPr>
            <w:r>
              <w:rPr>
                <w:rStyle w:val="SourceText"/>
              </w:rPr>
              <w:t>README.md:130</w:t>
            </w:r>
            <w:r>
              <w:rPr/>
              <w:t xml:space="preserve">; the only usage record is the local </w:t>
            </w:r>
            <w:r>
              <w:rPr>
                <w:rStyle w:val="SourceText"/>
              </w:rPr>
              <w:t>activity_log</w:t>
            </w:r>
            <w:r>
              <w:rPr/>
              <w:t xml:space="preserve"> table</w:t>
            </w:r>
          </w:p>
        </w:tc>
      </w:tr>
      <w:tr>
        <w:trPr/>
        <w:tc>
          <w:tcPr>
            <w:tcW w:w="1906" w:type="dxa"/>
            <w:tcBorders/>
            <w:vAlign w:val="center"/>
          </w:tcPr>
          <w:p>
            <w:pPr>
              <w:pStyle w:val="TableContents"/>
              <w:bidi w:val="0"/>
              <w:spacing w:before="0" w:after="283"/>
              <w:jc w:val="left"/>
              <w:rPr/>
            </w:pPr>
            <w:r>
              <w:rPr/>
              <w:t>Open-weight models served locally, not called as a hosted API</w:t>
            </w:r>
          </w:p>
        </w:tc>
        <w:tc>
          <w:tcPr>
            <w:tcW w:w="4263" w:type="dxa"/>
            <w:tcBorders/>
            <w:vAlign w:val="center"/>
          </w:tcPr>
          <w:p>
            <w:pPr>
              <w:pStyle w:val="TableContents"/>
              <w:bidi w:val="0"/>
              <w:spacing w:before="0" w:after="283"/>
              <w:jc w:val="left"/>
              <w:rPr/>
            </w:pPr>
            <w:r>
              <w:rPr>
                <w:rStyle w:val="SourceText"/>
              </w:rPr>
              <w:t>docker-compose.yml:73-76</w:t>
            </w:r>
            <w:r>
              <w:rPr/>
              <w:t xml:space="preserve"> (</w:t>
            </w:r>
            <w:r>
              <w:rPr>
                <w:rStyle w:val="SourceText"/>
              </w:rPr>
              <w:t>nomic-embed-text</w:t>
            </w:r>
            <w:r>
              <w:rPr/>
              <w:t xml:space="preserve"> via Ollama), </w:t>
            </w:r>
            <w:r>
              <w:rPr>
                <w:rStyle w:val="SourceText"/>
              </w:rPr>
              <w:t>:5</w:t>
            </w:r>
            <w:r>
              <w:rPr/>
              <w:t xml:space="preserve"> and </w:t>
            </w:r>
            <w:r>
              <w:rPr>
                <w:rStyle w:val="SourceText"/>
              </w:rPr>
              <w:t>:140</w:t>
            </w:r>
            <w:r>
              <w:rPr/>
              <w:t xml:space="preserve"> (Qwen3-30B-A3B-FP4 via TensorRT-LLM at </w:t>
            </w:r>
            <w:r>
              <w:rPr>
                <w:rStyle w:val="SourceText"/>
              </w:rPr>
              <w:t>http://trtllm:8355</w:t>
            </w:r>
            <w:r>
              <w:rPr/>
              <w:t>)</w:t>
            </w:r>
          </w:p>
        </w:tc>
      </w:tr>
      <w:tr>
        <w:trPr/>
        <w:tc>
          <w:tcPr>
            <w:tcW w:w="1906" w:type="dxa"/>
            <w:tcBorders/>
            <w:vAlign w:val="center"/>
          </w:tcPr>
          <w:p>
            <w:pPr>
              <w:pStyle w:val="TableContents"/>
              <w:bidi w:val="0"/>
              <w:spacing w:before="0" w:after="283"/>
              <w:jc w:val="left"/>
              <w:rPr/>
            </w:pPr>
            <w:r>
              <w:rPr/>
              <w:t>Offline model resolution — no runtime downloads</w:t>
            </w:r>
          </w:p>
        </w:tc>
        <w:tc>
          <w:tcPr>
            <w:tcW w:w="4263" w:type="dxa"/>
            <w:tcBorders/>
            <w:vAlign w:val="center"/>
          </w:tcPr>
          <w:p>
            <w:pPr>
              <w:pStyle w:val="TableContents"/>
              <w:bidi w:val="0"/>
              <w:spacing w:before="0" w:after="283"/>
              <w:jc w:val="left"/>
              <w:rPr/>
            </w:pPr>
            <w:r>
              <w:rPr>
                <w:rStyle w:val="SourceText"/>
              </w:rPr>
              <w:t>docker-compose.yml:84-85</w:t>
            </w:r>
            <w:r>
              <w:rPr/>
              <w:t xml:space="preserve"> sets </w:t>
            </w:r>
            <w:r>
              <w:rPr>
                <w:rStyle w:val="SourceText"/>
              </w:rPr>
              <w:t>HF_HUB_OFFLINE=1</w:t>
            </w:r>
            <w:r>
              <w:rPr/>
              <w:t xml:space="preserve"> and </w:t>
            </w:r>
            <w:r>
              <w:rPr>
                <w:rStyle w:val="SourceText"/>
              </w:rPr>
              <w:t>TRANSFORMERS_OFFLINE=1</w:t>
            </w:r>
            <w:r>
              <w:rPr/>
              <w:t xml:space="preserve">; </w:t>
            </w:r>
            <w:r>
              <w:rPr>
                <w:rStyle w:val="SourceText"/>
              </w:rPr>
              <w:t>:170-171</w:t>
            </w:r>
            <w:r>
              <w:rPr/>
              <w:t xml:space="preserve"> disables the runtime Piper voice download</w:t>
            </w:r>
          </w:p>
        </w:tc>
      </w:tr>
      <w:tr>
        <w:trPr/>
        <w:tc>
          <w:tcPr>
            <w:tcW w:w="1906" w:type="dxa"/>
            <w:tcBorders/>
            <w:vAlign w:val="center"/>
          </w:tcPr>
          <w:p>
            <w:pPr>
              <w:pStyle w:val="TableContents"/>
              <w:bidi w:val="0"/>
              <w:spacing w:before="0" w:after="283"/>
              <w:jc w:val="left"/>
              <w:rPr/>
            </w:pPr>
            <w:r>
              <w:rPr/>
              <w:t>Front-end crash reports go to the local backend, not to a third party</w:t>
            </w:r>
          </w:p>
        </w:tc>
        <w:tc>
          <w:tcPr>
            <w:tcW w:w="4263" w:type="dxa"/>
            <w:tcBorders/>
            <w:vAlign w:val="center"/>
          </w:tcPr>
          <w:p>
            <w:pPr>
              <w:pStyle w:val="TableContents"/>
              <w:bidi w:val="0"/>
              <w:spacing w:before="0" w:after="283"/>
              <w:jc w:val="left"/>
              <w:rPr/>
            </w:pPr>
            <w:r>
              <w:rPr>
                <w:rStyle w:val="SourceText"/>
              </w:rPr>
              <w:t>frontend/components/ErrorBoundary.tsx:36</w:t>
            </w:r>
            <w:r>
              <w:rPr/>
              <w:t xml:space="preserve"> posts to </w:t>
            </w:r>
            <w:r>
              <w:rPr>
                <w:rStyle w:val="SourceText"/>
              </w:rPr>
              <w:t>/api/client-error</w:t>
            </w:r>
            <w:r>
              <w:rPr/>
              <w:t xml:space="preserve">, handled at </w:t>
            </w:r>
            <w:r>
              <w:rPr>
                <w:rStyle w:val="SourceText"/>
              </w:rPr>
              <w:t>backend/app/main.py:198-206</w:t>
            </w:r>
          </w:p>
        </w:tc>
      </w:tr>
      <w:tr>
        <w:trPr/>
        <w:tc>
          <w:tcPr>
            <w:tcW w:w="1906" w:type="dxa"/>
            <w:tcBorders/>
            <w:vAlign w:val="center"/>
          </w:tcPr>
          <w:p>
            <w:pPr>
              <w:pStyle w:val="TableContents"/>
              <w:bidi w:val="0"/>
              <w:spacing w:before="0" w:after="283"/>
              <w:jc w:val="left"/>
              <w:rPr/>
            </w:pPr>
            <w:r>
              <w:rPr/>
              <w:t>The one outbound path in the product is disabled</w:t>
            </w:r>
          </w:p>
        </w:tc>
        <w:tc>
          <w:tcPr>
            <w:tcW w:w="4263" w:type="dxa"/>
            <w:tcBorders/>
            <w:vAlign w:val="center"/>
          </w:tcPr>
          <w:p>
            <w:pPr>
              <w:pStyle w:val="TableContents"/>
              <w:bidi w:val="0"/>
              <w:spacing w:before="0" w:after="283"/>
              <w:jc w:val="left"/>
              <w:rPr/>
            </w:pPr>
            <w:r>
              <w:rPr/>
              <w:t xml:space="preserve">Document Studio image generation supports a </w:t>
            </w:r>
            <w:r>
              <w:rPr>
                <w:rStyle w:val="SourceText"/>
              </w:rPr>
              <w:t>nim</w:t>
            </w:r>
            <w:r>
              <w:rPr/>
              <w:t xml:space="preserve"> backend that calls an NVIDIA-hosted endpoint (</w:t>
            </w:r>
            <w:r>
              <w:rPr>
                <w:rStyle w:val="SourceText"/>
              </w:rPr>
              <w:t>backend/app/docgen/images.py:14-15</w:t>
            </w:r>
            <w:r>
              <w:rPr/>
              <w:t xml:space="preserve">). It is </w:t>
            </w:r>
            <w:r>
              <w:rPr>
                <w:rStyle w:val="Strong"/>
              </w:rPr>
              <w:t>not enabled</w:t>
            </w:r>
            <w:r>
              <w:rPr/>
              <w:t xml:space="preserve">: the shipped configuration is </w:t>
            </w:r>
            <w:r>
              <w:rPr>
                <w:rStyle w:val="SourceText"/>
              </w:rPr>
              <w:t>DOCGEN_IMAGE_BACKEND=diffusers</w:t>
            </w:r>
            <w:r>
              <w:rPr/>
              <w:t xml:space="preserve"> (</w:t>
            </w:r>
            <w:r>
              <w:rPr>
                <w:rStyle w:val="SourceText"/>
              </w:rPr>
              <w:t>docker-compose.yml:94</w:t>
            </w:r>
            <w:r>
              <w:rPr/>
              <w:t xml:space="preserve">), on-device SDXL-Turbo. A </w:t>
            </w:r>
            <w:r>
              <w:rPr>
                <w:rStyle w:val="SourceText"/>
              </w:rPr>
              <w:t>comfyui</w:t>
            </w:r>
            <w:r>
              <w:rPr/>
              <w:t xml:space="preserve"> backend also exists and points at a local server by default</w:t>
            </w:r>
          </w:p>
        </w:tc>
      </w:tr>
    </w:tbl>
    <w:p>
      <w:pPr>
        <w:pStyle w:val="BodyText"/>
        <w:bidi w:val="0"/>
        <w:jc w:val="left"/>
        <w:rPr/>
      </w:pPr>
      <w:r>
        <w:rPr>
          <w:rStyle w:val="Strong"/>
        </w:rPr>
        <w:t>Consequence for change control.</w:t>
      </w:r>
      <w:r>
        <w:rPr/>
        <w:t xml:space="preserve"> Setting </w:t>
      </w:r>
      <w:r>
        <w:rPr>
          <w:rStyle w:val="SourceText"/>
        </w:rPr>
        <w:t>DOCGEN_IMAGE_BACKEND=nim</w:t>
      </w:r>
      <w:r>
        <w:rPr/>
        <w:t xml:space="preserve"> would send a document prompt derived from customer material to a third-party endpoint. Any change that enables it, or that adds a new outbound call, is a change to the core value proposition and to this procedure, and must be raised under </w:t>
      </w:r>
      <w:r>
        <w:rPr>
          <w:rStyle w:val="SourceText"/>
        </w:rPr>
        <w:t>SOP-02</w:t>
      </w:r>
      <w:r>
        <w:rPr/>
        <w:t xml:space="preserve"> §9 and approved by the Managing Director before it is made.</w:t>
      </w:r>
    </w:p>
    <w:p>
      <w:pPr>
        <w:pStyle w:val="BodyText"/>
        <w:bidi w:val="0"/>
        <w:jc w:val="left"/>
        <w:rPr/>
      </w:pPr>
      <w:r>
        <w:rPr>
          <w:rStyle w:val="SourceText"/>
        </w:rPr>
        <w:t>cloudflared</w:t>
      </w:r>
      <w:r>
        <w:rPr/>
        <w:t xml:space="preserve"> (</w:t>
      </w:r>
      <w:r>
        <w:rPr>
          <w:rStyle w:val="SourceText"/>
        </w:rPr>
        <w:t>docker-compose.yml:218-228</w:t>
      </w:r>
      <w:r>
        <w:rPr/>
        <w:t xml:space="preserve">) is the one component that intentionally reaches outward, and it runs only under the </w:t>
      </w:r>
      <w:r>
        <w:rPr>
          <w:rStyle w:val="SourceText"/>
        </w:rPr>
        <w:t>public</w:t>
      </w:r>
      <w:r>
        <w:rPr/>
        <w:t xml:space="preserve"> compose profile. It is not part of an on-premises customer deployment.</w:t>
      </w:r>
    </w:p>
    <w:p>
      <w:pPr>
        <w:pStyle w:val="Heading2"/>
        <w:bidi w:val="0"/>
        <w:jc w:val="left"/>
        <w:rPr/>
      </w:pPr>
      <w:r>
        <w:rPr/>
        <w:t>8. Protection of customer property (7.5.3.2, 8.5.4)</w:t>
      </w:r>
    </w:p>
    <w:p>
      <w:pPr>
        <w:pStyle w:val="BodyText"/>
        <w:bidi w:val="0"/>
        <w:jc w:val="left"/>
        <w:rPr/>
      </w:pPr>
      <w:r>
        <w:rPr/>
        <w:t>Honest separation of what is in place from what is not.</w:t>
      </w:r>
    </w:p>
    <w:p>
      <w:pPr>
        <w:pStyle w:val="BodyText"/>
        <w:bidi w:val="0"/>
        <w:jc w:val="left"/>
        <w:rPr/>
      </w:pPr>
      <w:r>
        <w:rPr>
          <w:rStyle w:val="Strong"/>
        </w:rPr>
        <w:t>In place:</w:t>
      </w:r>
    </w:p>
    <w:tbl>
      <w:tblPr>
        <w:tblW w:w="6169" w:type="dxa"/>
        <w:jc w:val="left"/>
        <w:tblInd w:w="0" w:type="dxa"/>
        <w:tblLayout w:type="fixed"/>
        <w:tblCellMar>
          <w:top w:w="28" w:type="dxa"/>
          <w:left w:w="28" w:type="dxa"/>
          <w:bottom w:w="28" w:type="dxa"/>
          <w:right w:w="28" w:type="dxa"/>
        </w:tblCellMar>
      </w:tblPr>
      <w:tblGrid>
        <w:gridCol w:w="2993"/>
        <w:gridCol w:w="3176"/>
      </w:tblGrid>
      <w:tr>
        <w:trPr>
          <w:tblHeader w:val="true"/>
        </w:trPr>
        <w:tc>
          <w:tcPr>
            <w:tcW w:w="2993" w:type="dxa"/>
            <w:tcBorders/>
            <w:vAlign w:val="center"/>
          </w:tcPr>
          <w:p>
            <w:pPr>
              <w:pStyle w:val="TableHeading"/>
              <w:suppressLineNumbers/>
              <w:shd w:fill="1F3A5F" w:val="clear"/>
              <w:bidi w:val="0"/>
              <w:spacing w:before="0" w:after="283"/>
              <w:jc w:val="center"/>
              <w:rPr/>
            </w:pPr>
            <w:r>
              <w:rPr/>
              <w:t>Control</w:t>
            </w:r>
          </w:p>
        </w:tc>
        <w:tc>
          <w:tcPr>
            <w:tcW w:w="3176" w:type="dxa"/>
            <w:tcBorders/>
            <w:vAlign w:val="center"/>
          </w:tcPr>
          <w:p>
            <w:pPr>
              <w:pStyle w:val="TableHeading"/>
              <w:suppressLineNumbers/>
              <w:shd w:fill="1F3A5F" w:val="clear"/>
              <w:bidi w:val="0"/>
              <w:spacing w:before="0" w:after="283"/>
              <w:jc w:val="center"/>
              <w:rPr/>
            </w:pPr>
            <w:r>
              <w:rPr/>
              <w:t>Evidence</w:t>
            </w:r>
          </w:p>
        </w:tc>
      </w:tr>
      <w:tr>
        <w:trPr/>
        <w:tc>
          <w:tcPr>
            <w:tcW w:w="2993" w:type="dxa"/>
            <w:tcBorders/>
            <w:vAlign w:val="center"/>
          </w:tcPr>
          <w:p>
            <w:pPr>
              <w:pStyle w:val="TableContents"/>
              <w:bidi w:val="0"/>
              <w:spacing w:before="0" w:after="283"/>
              <w:jc w:val="left"/>
              <w:rPr/>
            </w:pPr>
            <w:r>
              <w:rPr/>
              <w:t>The offline, on-premises posture — the principal protective control, and the reason the other gaps are survivable</w:t>
            </w:r>
          </w:p>
        </w:tc>
        <w:tc>
          <w:tcPr>
            <w:tcW w:w="3176" w:type="dxa"/>
            <w:tcBorders/>
            <w:vAlign w:val="center"/>
          </w:tcPr>
          <w:p>
            <w:pPr>
              <w:pStyle w:val="TableContents"/>
              <w:bidi w:val="0"/>
              <w:spacing w:before="0" w:after="283"/>
              <w:jc w:val="left"/>
              <w:rPr/>
            </w:pPr>
            <w:r>
              <w:rPr/>
              <w:t>§7 above</w:t>
            </w:r>
          </w:p>
        </w:tc>
      </w:tr>
      <w:tr>
        <w:trPr/>
        <w:tc>
          <w:tcPr>
            <w:tcW w:w="2993" w:type="dxa"/>
            <w:tcBorders/>
            <w:vAlign w:val="center"/>
          </w:tcPr>
          <w:p>
            <w:pPr>
              <w:pStyle w:val="TableContents"/>
              <w:bidi w:val="0"/>
              <w:spacing w:before="0" w:after="283"/>
              <w:jc w:val="left"/>
              <w:rPr/>
            </w:pPr>
            <w:r>
              <w:rPr/>
              <w:t>Password storage: PBKDF2-HMAC-SHA256, 200,000 iterations, per-user salt, constant-time verification</w:t>
            </w:r>
          </w:p>
        </w:tc>
        <w:tc>
          <w:tcPr>
            <w:tcW w:w="3176" w:type="dxa"/>
            <w:tcBorders/>
            <w:vAlign w:val="center"/>
          </w:tcPr>
          <w:p>
            <w:pPr>
              <w:pStyle w:val="TableContents"/>
              <w:bidi w:val="0"/>
              <w:spacing w:before="0" w:after="283"/>
              <w:jc w:val="left"/>
              <w:rPr/>
            </w:pPr>
            <w:r>
              <w:rPr>
                <w:rStyle w:val="SourceText"/>
              </w:rPr>
              <w:t>backend/app/core/auth.py:24,30-31,37-40</w:t>
            </w:r>
          </w:p>
        </w:tc>
      </w:tr>
      <w:tr>
        <w:trPr/>
        <w:tc>
          <w:tcPr>
            <w:tcW w:w="2993" w:type="dxa"/>
            <w:tcBorders/>
            <w:vAlign w:val="center"/>
          </w:tcPr>
          <w:p>
            <w:pPr>
              <w:pStyle w:val="TableContents"/>
              <w:bidi w:val="0"/>
              <w:spacing w:before="0" w:after="283"/>
              <w:jc w:val="left"/>
              <w:rPr/>
            </w:pPr>
            <w:r>
              <w:rPr/>
              <w:t>Session tokens: HS256 JWT with a secret auto-generated and persisted outside the source tree</w:t>
            </w:r>
          </w:p>
        </w:tc>
        <w:tc>
          <w:tcPr>
            <w:tcW w:w="3176" w:type="dxa"/>
            <w:tcBorders/>
            <w:vAlign w:val="center"/>
          </w:tcPr>
          <w:p>
            <w:pPr>
              <w:pStyle w:val="TableContents"/>
              <w:bidi w:val="0"/>
              <w:spacing w:before="0" w:after="283"/>
              <w:jc w:val="left"/>
              <w:rPr/>
            </w:pPr>
            <w:r>
              <w:rPr>
                <w:rStyle w:val="SourceText"/>
              </w:rPr>
              <w:t>backend/app/core/auth.py:45,58</w:t>
            </w:r>
            <w:r>
              <w:rPr/>
              <w:t xml:space="preserve">; lifetime </w:t>
            </w:r>
            <w:r>
              <w:rPr>
                <w:rStyle w:val="SourceText"/>
              </w:rPr>
              <w:t>AUTH_TOKEN_TTL_MIN</w:t>
            </w:r>
            <w:r>
              <w:rPr/>
              <w:t xml:space="preserve"> 720 minutes (</w:t>
            </w:r>
            <w:r>
              <w:rPr>
                <w:rStyle w:val="SourceText"/>
              </w:rPr>
              <w:t>backend/app/core/config.py:232</w:t>
            </w:r>
            <w:r>
              <w:rPr/>
              <w:t>)</w:t>
            </w:r>
          </w:p>
        </w:tc>
      </w:tr>
      <w:tr>
        <w:trPr/>
        <w:tc>
          <w:tcPr>
            <w:tcW w:w="2993" w:type="dxa"/>
            <w:tcBorders/>
            <w:vAlign w:val="center"/>
          </w:tcPr>
          <w:p>
            <w:pPr>
              <w:pStyle w:val="TableContents"/>
              <w:bidi w:val="0"/>
              <w:spacing w:before="0" w:after="283"/>
              <w:jc w:val="left"/>
              <w:rPr/>
            </w:pPr>
            <w:r>
              <w:rPr/>
              <w:t>Namespace isolation at retrieval, when auth is on</w:t>
            </w:r>
          </w:p>
        </w:tc>
        <w:tc>
          <w:tcPr>
            <w:tcW w:w="3176" w:type="dxa"/>
            <w:tcBorders/>
            <w:vAlign w:val="center"/>
          </w:tcPr>
          <w:p>
            <w:pPr>
              <w:pStyle w:val="TableContents"/>
              <w:bidi w:val="0"/>
              <w:spacing w:before="0" w:after="283"/>
              <w:jc w:val="left"/>
              <w:rPr/>
            </w:pPr>
            <w:r>
              <w:rPr/>
              <w:t>§6</w:t>
            </w:r>
          </w:p>
        </w:tc>
      </w:tr>
      <w:tr>
        <w:trPr/>
        <w:tc>
          <w:tcPr>
            <w:tcW w:w="2993" w:type="dxa"/>
            <w:tcBorders/>
            <w:vAlign w:val="center"/>
          </w:tcPr>
          <w:p>
            <w:pPr>
              <w:pStyle w:val="TableContents"/>
              <w:bidi w:val="0"/>
              <w:spacing w:before="0" w:after="283"/>
              <w:jc w:val="left"/>
              <w:rPr/>
            </w:pPr>
            <w:r>
              <w:rPr/>
              <w:t>Retrieved content fenced as untrusted data, so a document cannot instruct the model</w:t>
            </w:r>
          </w:p>
        </w:tc>
        <w:tc>
          <w:tcPr>
            <w:tcW w:w="3176" w:type="dxa"/>
            <w:tcBorders/>
            <w:vAlign w:val="center"/>
          </w:tcPr>
          <w:p>
            <w:pPr>
              <w:pStyle w:val="TableContents"/>
              <w:bidi w:val="0"/>
              <w:spacing w:before="0" w:after="283"/>
              <w:jc w:val="left"/>
              <w:rPr/>
            </w:pPr>
            <w:r>
              <w:rPr>
                <w:rStyle w:val="SourceText"/>
              </w:rPr>
              <w:t>backend/tests/test_prompt_guards.py</w:t>
            </w:r>
          </w:p>
        </w:tc>
      </w:tr>
      <w:tr>
        <w:trPr/>
        <w:tc>
          <w:tcPr>
            <w:tcW w:w="2993" w:type="dxa"/>
            <w:tcBorders/>
            <w:vAlign w:val="center"/>
          </w:tcPr>
          <w:p>
            <w:pPr>
              <w:pStyle w:val="TableContents"/>
              <w:bidi w:val="0"/>
              <w:spacing w:before="0" w:after="283"/>
              <w:jc w:val="left"/>
              <w:rPr/>
            </w:pPr>
            <w:r>
              <w:rPr/>
              <w:t>Duplicate-upload guard, preventing the same customer bytes being indexed twice</w:t>
            </w:r>
          </w:p>
        </w:tc>
        <w:tc>
          <w:tcPr>
            <w:tcW w:w="3176" w:type="dxa"/>
            <w:tcBorders/>
            <w:vAlign w:val="center"/>
          </w:tcPr>
          <w:p>
            <w:pPr>
              <w:pStyle w:val="TableContents"/>
              <w:bidi w:val="0"/>
              <w:spacing w:before="0" w:after="283"/>
              <w:jc w:val="left"/>
              <w:rPr/>
            </w:pPr>
            <w:r>
              <w:rPr>
                <w:rStyle w:val="SourceText"/>
              </w:rPr>
              <w:t>backend/app/api/routes/docs.py:152-166</w:t>
            </w:r>
          </w:p>
        </w:tc>
      </w:tr>
      <w:tr>
        <w:trPr/>
        <w:tc>
          <w:tcPr>
            <w:tcW w:w="2993" w:type="dxa"/>
            <w:tcBorders/>
            <w:vAlign w:val="center"/>
          </w:tcPr>
          <w:p>
            <w:pPr>
              <w:pStyle w:val="TableContents"/>
              <w:bidi w:val="0"/>
              <w:spacing w:before="0" w:after="283"/>
              <w:jc w:val="left"/>
              <w:rPr/>
            </w:pPr>
            <w:r>
              <w:rPr/>
              <w:t>Boardroom chunk directory path containment against traversal</w:t>
            </w:r>
          </w:p>
        </w:tc>
        <w:tc>
          <w:tcPr>
            <w:tcW w:w="3176" w:type="dxa"/>
            <w:tcBorders/>
            <w:vAlign w:val="center"/>
          </w:tcPr>
          <w:p>
            <w:pPr>
              <w:pStyle w:val="TableContents"/>
              <w:bidi w:val="0"/>
              <w:spacing w:before="0" w:after="283"/>
              <w:jc w:val="left"/>
              <w:rPr/>
            </w:pPr>
            <w:r>
              <w:rPr>
                <w:rStyle w:val="SourceText"/>
              </w:rPr>
              <w:t>backend/app/boardroom/service.py:238-239</w:t>
            </w:r>
          </w:p>
        </w:tc>
      </w:tr>
      <w:tr>
        <w:trPr/>
        <w:tc>
          <w:tcPr>
            <w:tcW w:w="2993" w:type="dxa"/>
            <w:tcBorders/>
            <w:vAlign w:val="center"/>
          </w:tcPr>
          <w:p>
            <w:pPr>
              <w:pStyle w:val="TableContents"/>
              <w:bidi w:val="0"/>
              <w:spacing w:before="0" w:after="283"/>
              <w:jc w:val="left"/>
              <w:rPr/>
            </w:pPr>
            <w:r>
              <w:rPr/>
              <w:t>Customer data is never committed to version control</w:t>
            </w:r>
          </w:p>
        </w:tc>
        <w:tc>
          <w:tcPr>
            <w:tcW w:w="3176" w:type="dxa"/>
            <w:tcBorders/>
            <w:vAlign w:val="center"/>
          </w:tcPr>
          <w:p>
            <w:pPr>
              <w:pStyle w:val="TableContents"/>
              <w:bidi w:val="0"/>
              <w:spacing w:before="0" w:after="283"/>
              <w:jc w:val="left"/>
              <w:rPr/>
            </w:pPr>
            <w:r>
              <w:rPr>
                <w:rStyle w:val="SourceText"/>
              </w:rPr>
              <w:t>SOP-01</w:t>
            </w:r>
            <w:r>
              <w:rPr/>
              <w:t xml:space="preserve"> §9</w:t>
            </w:r>
          </w:p>
        </w:tc>
      </w:tr>
      <w:tr>
        <w:trPr/>
        <w:tc>
          <w:tcPr>
            <w:tcW w:w="2993" w:type="dxa"/>
            <w:tcBorders/>
            <w:vAlign w:val="center"/>
          </w:tcPr>
          <w:p>
            <w:pPr>
              <w:pStyle w:val="TableContents"/>
              <w:bidi w:val="0"/>
              <w:spacing w:before="0" w:after="283"/>
              <w:jc w:val="left"/>
              <w:rPr/>
            </w:pPr>
            <w:r>
              <w:rPr/>
              <w:t>Activity log records who did what, from which IP, for every API mutation</w:t>
            </w:r>
          </w:p>
        </w:tc>
        <w:tc>
          <w:tcPr>
            <w:tcW w:w="3176" w:type="dxa"/>
            <w:tcBorders/>
            <w:vAlign w:val="center"/>
          </w:tcPr>
          <w:p>
            <w:pPr>
              <w:pStyle w:val="TableContents"/>
              <w:bidi w:val="0"/>
              <w:spacing w:before="0" w:after="283"/>
              <w:jc w:val="left"/>
              <w:rPr/>
            </w:pPr>
            <w:r>
              <w:rPr>
                <w:rStyle w:val="SourceText"/>
              </w:rPr>
              <w:t>backend/app/main.py:154-163</w:t>
            </w:r>
            <w:r>
              <w:rPr/>
              <w:t xml:space="preserve">; </w:t>
            </w:r>
            <w:r>
              <w:rPr>
                <w:rStyle w:val="SourceText"/>
              </w:rPr>
              <w:t>backend/app/core/audit.py:13-23</w:t>
            </w:r>
          </w:p>
        </w:tc>
      </w:tr>
    </w:tbl>
    <w:p>
      <w:pPr>
        <w:pStyle w:val="BodyText"/>
        <w:bidi w:val="0"/>
        <w:jc w:val="left"/>
        <w:rPr/>
      </w:pPr>
      <w:r>
        <w:rPr>
          <w:rStyle w:val="Strong"/>
        </w:rPr>
        <w:t>Not in place:</w:t>
      </w:r>
    </w:p>
    <w:tbl>
      <w:tblPr>
        <w:tblW w:w="6169" w:type="dxa"/>
        <w:jc w:val="left"/>
        <w:tblInd w:w="0" w:type="dxa"/>
        <w:tblLayout w:type="fixed"/>
        <w:tblCellMar>
          <w:top w:w="28" w:type="dxa"/>
          <w:left w:w="28" w:type="dxa"/>
          <w:bottom w:w="28" w:type="dxa"/>
          <w:right w:w="28" w:type="dxa"/>
        </w:tblCellMar>
      </w:tblPr>
      <w:tblGrid>
        <w:gridCol w:w="1312"/>
        <w:gridCol w:w="2949"/>
        <w:gridCol w:w="1908"/>
      </w:tblGrid>
      <w:tr>
        <w:trPr>
          <w:tblHeader w:val="true"/>
        </w:trPr>
        <w:tc>
          <w:tcPr>
            <w:tcW w:w="1312" w:type="dxa"/>
            <w:tcBorders/>
            <w:vAlign w:val="center"/>
          </w:tcPr>
          <w:p>
            <w:pPr>
              <w:pStyle w:val="TableHeading"/>
              <w:suppressLineNumbers/>
              <w:shd w:fill="1F3A5F" w:val="clear"/>
              <w:bidi w:val="0"/>
              <w:spacing w:before="0" w:after="283"/>
              <w:jc w:val="center"/>
              <w:rPr/>
            </w:pPr>
            <w:r>
              <w:rPr/>
              <w:t>Absent control</w:t>
            </w:r>
          </w:p>
        </w:tc>
        <w:tc>
          <w:tcPr>
            <w:tcW w:w="2949" w:type="dxa"/>
            <w:tcBorders/>
            <w:vAlign w:val="center"/>
          </w:tcPr>
          <w:p>
            <w:pPr>
              <w:pStyle w:val="TableHeading"/>
              <w:suppressLineNumbers/>
              <w:shd w:fill="1F3A5F" w:val="clear"/>
              <w:bidi w:val="0"/>
              <w:spacing w:before="0" w:after="283"/>
              <w:jc w:val="center"/>
              <w:rPr/>
            </w:pPr>
            <w:r>
              <w:rPr/>
              <w:t>Current state</w:t>
            </w:r>
          </w:p>
        </w:tc>
        <w:tc>
          <w:tcPr>
            <w:tcW w:w="1908" w:type="dxa"/>
            <w:tcBorders/>
            <w:vAlign w:val="center"/>
          </w:tcPr>
          <w:p>
            <w:pPr>
              <w:pStyle w:val="TableHeading"/>
              <w:suppressLineNumbers/>
              <w:shd w:fill="1F3A5F" w:val="clear"/>
              <w:bidi w:val="0"/>
              <w:spacing w:before="0" w:after="283"/>
              <w:jc w:val="center"/>
              <w:rPr/>
            </w:pPr>
            <w:r>
              <w:rPr/>
              <w:t>Consequence</w:t>
            </w:r>
          </w:p>
        </w:tc>
      </w:tr>
      <w:tr>
        <w:trPr/>
        <w:tc>
          <w:tcPr>
            <w:tcW w:w="1312" w:type="dxa"/>
            <w:tcBorders/>
            <w:vAlign w:val="center"/>
          </w:tcPr>
          <w:p>
            <w:pPr>
              <w:pStyle w:val="TableContents"/>
              <w:bidi w:val="0"/>
              <w:spacing w:before="0" w:after="283"/>
              <w:jc w:val="left"/>
              <w:rPr/>
            </w:pPr>
            <w:r>
              <w:rPr>
                <w:rStyle w:val="Strong"/>
              </w:rPr>
              <w:t>Encryption at rest</w:t>
            </w:r>
          </w:p>
        </w:tc>
        <w:tc>
          <w:tcPr>
            <w:tcW w:w="2949" w:type="dxa"/>
            <w:tcBorders/>
            <w:vAlign w:val="center"/>
          </w:tcPr>
          <w:p>
            <w:pPr>
              <w:pStyle w:val="TableContents"/>
              <w:bidi w:val="0"/>
              <w:spacing w:before="0" w:after="283"/>
              <w:jc w:val="left"/>
              <w:rPr/>
            </w:pPr>
            <w:r>
              <w:rPr/>
              <w:t xml:space="preserve">None anywhere. The SQLite database is plain, </w:t>
            </w:r>
            <w:r>
              <w:rPr>
                <w:rStyle w:val="SourceText"/>
              </w:rPr>
              <w:t>/data/uploads</w:t>
            </w:r>
            <w:r>
              <w:rPr/>
              <w:t xml:space="preserve"> is plain, the FAISS indexes and their metadata are plain. No encryption mechanism is configured for </w:t>
            </w:r>
            <w:r>
              <w:rPr>
                <w:rStyle w:val="SourceText"/>
              </w:rPr>
              <w:t>echomind_data</w:t>
            </w:r>
            <w:r>
              <w:rPr/>
              <w:t xml:space="preserve"> in </w:t>
            </w:r>
            <w:r>
              <w:rPr>
                <w:rStyle w:val="SourceText"/>
              </w:rPr>
              <w:t>docker-compose.yml</w:t>
            </w:r>
          </w:p>
        </w:tc>
        <w:tc>
          <w:tcPr>
            <w:tcW w:w="1908" w:type="dxa"/>
            <w:tcBorders/>
            <w:vAlign w:val="center"/>
          </w:tcPr>
          <w:p>
            <w:pPr>
              <w:pStyle w:val="TableContents"/>
              <w:bidi w:val="0"/>
              <w:spacing w:before="0" w:after="283"/>
              <w:jc w:val="left"/>
              <w:rPr/>
            </w:pPr>
            <w:r>
              <w:rPr/>
              <w:t>Anyone with host, volume or disk access reads all customer content directly. The customer's own full-disk encryption is the only mitigation, and it is outside Ajace AI's control</w:t>
            </w:r>
          </w:p>
        </w:tc>
      </w:tr>
      <w:tr>
        <w:trPr/>
        <w:tc>
          <w:tcPr>
            <w:tcW w:w="1312" w:type="dxa"/>
            <w:tcBorders/>
            <w:vAlign w:val="center"/>
          </w:tcPr>
          <w:p>
            <w:pPr>
              <w:pStyle w:val="TableContents"/>
              <w:bidi w:val="0"/>
              <w:spacing w:before="0" w:after="283"/>
              <w:jc w:val="left"/>
              <w:rPr/>
            </w:pPr>
            <w:r>
              <w:rPr/>
              <w:t>Authentication on by default</w:t>
            </w:r>
          </w:p>
        </w:tc>
        <w:tc>
          <w:tcPr>
            <w:tcW w:w="2949" w:type="dxa"/>
            <w:tcBorders/>
            <w:vAlign w:val="center"/>
          </w:tcPr>
          <w:p>
            <w:pPr>
              <w:pStyle w:val="TableContents"/>
              <w:bidi w:val="0"/>
              <w:spacing w:before="0" w:after="283"/>
              <w:jc w:val="left"/>
              <w:rPr/>
            </w:pPr>
            <w:r>
              <w:rPr>
                <w:rStyle w:val="SourceText"/>
              </w:rPr>
              <w:t>AUTH_ENABLED</w:t>
            </w:r>
            <w:r>
              <w:rPr/>
              <w:t xml:space="preserve"> defaults to </w:t>
            </w:r>
            <w:r>
              <w:rPr>
                <w:rStyle w:val="SourceText"/>
              </w:rPr>
              <w:t>0</w:t>
            </w:r>
            <w:r>
              <w:rPr/>
              <w:t xml:space="preserve"> (</w:t>
            </w:r>
            <w:r>
              <w:rPr>
                <w:rStyle w:val="SourceText"/>
              </w:rPr>
              <w:t>backend/app/core/config.py:230</w:t>
            </w:r>
            <w:r>
              <w:rPr/>
              <w:t xml:space="preserve">; </w:t>
            </w:r>
            <w:r>
              <w:rPr>
                <w:rStyle w:val="SourceText"/>
              </w:rPr>
              <w:t>docker-compose.yml:79</w:t>
            </w:r>
            <w:r>
              <w:rPr/>
              <w:t>)</w:t>
            </w:r>
          </w:p>
        </w:tc>
        <w:tc>
          <w:tcPr>
            <w:tcW w:w="1908" w:type="dxa"/>
            <w:tcBorders/>
            <w:vAlign w:val="center"/>
          </w:tcPr>
          <w:p>
            <w:pPr>
              <w:pStyle w:val="TableContents"/>
              <w:bidi w:val="0"/>
              <w:spacing w:before="0" w:after="283"/>
              <w:jc w:val="left"/>
              <w:rPr/>
            </w:pPr>
            <w:r>
              <w:rPr/>
              <w:t xml:space="preserve">With the default configuration there is no user identity, so §6's tenant boundary does not apply and </w:t>
            </w:r>
            <w:r>
              <w:rPr>
                <w:rStyle w:val="SourceText"/>
              </w:rPr>
              <w:t>activity_log</w:t>
            </w:r>
            <w:r>
              <w:rPr/>
              <w:t xml:space="preserve"> records </w:t>
            </w:r>
            <w:r>
              <w:rPr>
                <w:rStyle w:val="SourceText"/>
              </w:rPr>
              <w:t>"anonymous"</w:t>
            </w:r>
            <w:r>
              <w:rPr/>
              <w:t xml:space="preserve"> (</w:t>
            </w:r>
            <w:r>
              <w:rPr>
                <w:rStyle w:val="SourceText"/>
              </w:rPr>
              <w:t>backend/app/core/audit.py:18</w:t>
            </w:r>
            <w:r>
              <w:rPr/>
              <w:t>)</w:t>
            </w:r>
          </w:p>
        </w:tc>
      </w:tr>
      <w:tr>
        <w:trPr/>
        <w:tc>
          <w:tcPr>
            <w:tcW w:w="1312" w:type="dxa"/>
            <w:tcBorders/>
            <w:vAlign w:val="center"/>
          </w:tcPr>
          <w:p>
            <w:pPr>
              <w:pStyle w:val="TableContents"/>
              <w:bidi w:val="0"/>
              <w:spacing w:before="0" w:after="283"/>
              <w:jc w:val="left"/>
              <w:rPr/>
            </w:pPr>
            <w:r>
              <w:rPr/>
              <w:t>Authentication over WebSockets</w:t>
            </w:r>
          </w:p>
        </w:tc>
        <w:tc>
          <w:tcPr>
            <w:tcW w:w="2949" w:type="dxa"/>
            <w:tcBorders/>
            <w:vAlign w:val="center"/>
          </w:tcPr>
          <w:p>
            <w:pPr>
              <w:pStyle w:val="TableContents"/>
              <w:bidi w:val="0"/>
              <w:spacing w:before="0" w:after="283"/>
              <w:jc w:val="left"/>
              <w:rPr/>
            </w:pPr>
            <w:r>
              <w:rPr/>
              <w:t xml:space="preserve">The enforcement middleware at </w:t>
            </w:r>
            <w:r>
              <w:rPr>
                <w:rStyle w:val="SourceText"/>
              </w:rPr>
              <w:t>backend/app/main.py:138-147</w:t>
            </w:r>
            <w:r>
              <w:rPr/>
              <w:t xml:space="preserve"> is HTTP-only; the comment at </w:t>
            </w:r>
            <w:r>
              <w:rPr>
                <w:rStyle w:val="SourceText"/>
              </w:rPr>
              <w:t>:135</w:t>
            </w:r>
            <w:r>
              <w:rPr/>
              <w:t xml:space="preserve"> states "WebSocket endpoints are not gated here yet". The voice service has its own gate, </w:t>
            </w:r>
            <w:r>
              <w:rPr>
                <w:rStyle w:val="SourceText"/>
              </w:rPr>
              <w:t>VOICE_AUTH_ENABLED</w:t>
            </w:r>
            <w:r>
              <w:rPr/>
              <w:t xml:space="preserve">, also defaulting to </w:t>
            </w:r>
            <w:r>
              <w:rPr>
                <w:rStyle w:val="SourceText"/>
              </w:rPr>
              <w:t>0</w:t>
            </w:r>
            <w:r>
              <w:rPr/>
              <w:t xml:space="preserve"> (</w:t>
            </w:r>
            <w:r>
              <w:rPr>
                <w:rStyle w:val="SourceText"/>
              </w:rPr>
              <w:t>voice/app/auth_check.py:14</w:t>
            </w:r>
            <w:r>
              <w:rPr/>
              <w:t xml:space="preserve">; </w:t>
            </w:r>
            <w:r>
              <w:rPr>
                <w:rStyle w:val="SourceText"/>
              </w:rPr>
              <w:t>docker-compose.yml:145</w:t>
            </w:r>
            <w:r>
              <w:rPr/>
              <w:t>)</w:t>
            </w:r>
          </w:p>
        </w:tc>
        <w:tc>
          <w:tcPr>
            <w:tcW w:w="1908" w:type="dxa"/>
            <w:tcBorders/>
            <w:vAlign w:val="center"/>
          </w:tcPr>
          <w:p>
            <w:pPr>
              <w:pStyle w:val="TableContents"/>
              <w:bidi w:val="0"/>
              <w:spacing w:before="0" w:after="283"/>
              <w:jc w:val="left"/>
              <w:rPr/>
            </w:pPr>
            <w:r>
              <w:rPr/>
              <w:t>The live-transcription WebSocket is not covered by the HTTP auth guard even when auth is enabled</w:t>
            </w:r>
          </w:p>
        </w:tc>
      </w:tr>
      <w:tr>
        <w:trPr/>
        <w:tc>
          <w:tcPr>
            <w:tcW w:w="1312" w:type="dxa"/>
            <w:tcBorders/>
            <w:vAlign w:val="center"/>
          </w:tcPr>
          <w:p>
            <w:pPr>
              <w:pStyle w:val="TableContents"/>
              <w:bidi w:val="0"/>
              <w:spacing w:before="0" w:after="283"/>
              <w:jc w:val="left"/>
              <w:rPr/>
            </w:pPr>
            <w:r>
              <w:rPr/>
              <w:t>Restrictive CORS</w:t>
            </w:r>
          </w:p>
        </w:tc>
        <w:tc>
          <w:tcPr>
            <w:tcW w:w="2949" w:type="dxa"/>
            <w:tcBorders/>
            <w:vAlign w:val="center"/>
          </w:tcPr>
          <w:p>
            <w:pPr>
              <w:pStyle w:val="TableContents"/>
              <w:bidi w:val="0"/>
              <w:spacing w:before="0" w:after="283"/>
              <w:jc w:val="left"/>
              <w:rPr/>
            </w:pPr>
            <w:r>
              <w:rPr>
                <w:rStyle w:val="SourceText"/>
              </w:rPr>
              <w:t>CORS_ALLOW_ORIGINS</w:t>
            </w:r>
            <w:r>
              <w:rPr/>
              <w:t xml:space="preserve"> defaults to </w:t>
            </w:r>
            <w:r>
              <w:rPr>
                <w:rStyle w:val="SourceText"/>
              </w:rPr>
              <w:t>*</w:t>
            </w:r>
            <w:r>
              <w:rPr/>
              <w:t xml:space="preserve"> (</w:t>
            </w:r>
            <w:r>
              <w:rPr>
                <w:rStyle w:val="SourceText"/>
              </w:rPr>
              <w:t>backend/app/core/config.py:235</w:t>
            </w:r>
            <w:r>
              <w:rPr/>
              <w:t>)</w:t>
            </w:r>
          </w:p>
        </w:tc>
        <w:tc>
          <w:tcPr>
            <w:tcW w:w="1908" w:type="dxa"/>
            <w:tcBorders/>
            <w:vAlign w:val="center"/>
          </w:tcPr>
          <w:p>
            <w:pPr>
              <w:pStyle w:val="TableContents"/>
              <w:bidi w:val="0"/>
              <w:spacing w:before="0" w:after="283"/>
              <w:jc w:val="left"/>
              <w:rPr/>
            </w:pPr>
            <w:r>
              <w:rPr/>
              <w:t>Any origin may call the API from a browser</w:t>
            </w:r>
          </w:p>
        </w:tc>
      </w:tr>
      <w:tr>
        <w:trPr/>
        <w:tc>
          <w:tcPr>
            <w:tcW w:w="1312" w:type="dxa"/>
            <w:tcBorders/>
            <w:vAlign w:val="center"/>
          </w:tcPr>
          <w:p>
            <w:pPr>
              <w:pStyle w:val="TableContents"/>
              <w:bidi w:val="0"/>
              <w:spacing w:before="0" w:after="283"/>
              <w:jc w:val="left"/>
              <w:rPr/>
            </w:pPr>
            <w:r>
              <w:rPr/>
              <w:t>Rate limiting</w:t>
            </w:r>
          </w:p>
        </w:tc>
        <w:tc>
          <w:tcPr>
            <w:tcW w:w="2949" w:type="dxa"/>
            <w:tcBorders/>
            <w:vAlign w:val="center"/>
          </w:tcPr>
          <w:p>
            <w:pPr>
              <w:pStyle w:val="TableContents"/>
              <w:bidi w:val="0"/>
              <w:spacing w:before="0" w:after="283"/>
              <w:jc w:val="left"/>
              <w:rPr/>
            </w:pPr>
            <w:r>
              <w:rPr>
                <w:rStyle w:val="SourceText"/>
              </w:rPr>
              <w:t>RATE_LIMIT_PER_MIN</w:t>
            </w:r>
            <w:r>
              <w:rPr/>
              <w:t xml:space="preserve"> defaults to </w:t>
            </w:r>
            <w:r>
              <w:rPr>
                <w:rStyle w:val="SourceText"/>
              </w:rPr>
              <w:t>0</w:t>
            </w:r>
            <w:r>
              <w:rPr/>
              <w:t>, i.e. off (</w:t>
            </w:r>
            <w:r>
              <w:rPr>
                <w:rStyle w:val="SourceText"/>
              </w:rPr>
              <w:t>backend/app/core/config.py:236</w:t>
            </w:r>
            <w:r>
              <w:rPr/>
              <w:t>)</w:t>
            </w:r>
          </w:p>
        </w:tc>
        <w:tc>
          <w:tcPr>
            <w:tcW w:w="1908" w:type="dxa"/>
            <w:tcBorders/>
            <w:vAlign w:val="center"/>
          </w:tcPr>
          <w:p>
            <w:pPr>
              <w:pStyle w:val="TableContents"/>
              <w:bidi w:val="0"/>
              <w:spacing w:before="0" w:after="283"/>
              <w:jc w:val="left"/>
              <w:rPr/>
            </w:pPr>
            <w:r>
              <w:rPr/>
              <w:t>No protection against bulk extraction or resource exhaustion</w:t>
            </w:r>
          </w:p>
        </w:tc>
      </w:tr>
      <w:tr>
        <w:trPr/>
        <w:tc>
          <w:tcPr>
            <w:tcW w:w="1312" w:type="dxa"/>
            <w:tcBorders/>
            <w:vAlign w:val="center"/>
          </w:tcPr>
          <w:p>
            <w:pPr>
              <w:pStyle w:val="TableContents"/>
              <w:bidi w:val="0"/>
              <w:spacing w:before="0" w:after="283"/>
              <w:jc w:val="left"/>
              <w:rPr/>
            </w:pPr>
            <w:r>
              <w:rPr/>
              <w:t>Activity-log integrity</w:t>
            </w:r>
          </w:p>
        </w:tc>
        <w:tc>
          <w:tcPr>
            <w:tcW w:w="2949" w:type="dxa"/>
            <w:tcBorders/>
            <w:vAlign w:val="center"/>
          </w:tcPr>
          <w:p>
            <w:pPr>
              <w:pStyle w:val="TableContents"/>
              <w:bidi w:val="0"/>
              <w:spacing w:before="0" w:after="283"/>
              <w:jc w:val="left"/>
              <w:rPr/>
            </w:pPr>
            <w:r>
              <w:rPr/>
              <w:t xml:space="preserve">The middleware is best-effort inside a bare </w:t>
            </w:r>
            <w:r>
              <w:rPr>
                <w:rStyle w:val="SourceText"/>
              </w:rPr>
              <w:t>except Exception: pass</w:t>
            </w:r>
            <w:r>
              <w:rPr/>
              <w:t xml:space="preserve"> (</w:t>
            </w:r>
            <w:r>
              <w:rPr>
                <w:rStyle w:val="SourceText"/>
              </w:rPr>
              <w:t>backend/app/main.py:161-162</w:t>
            </w:r>
            <w:r>
              <w:rPr/>
              <w:t>), and the insert itself swallows failures at debug level (</w:t>
            </w:r>
            <w:r>
              <w:rPr>
                <w:rStyle w:val="SourceText"/>
              </w:rPr>
              <w:t>backend/app/core/audit.py:1,21-22</w:t>
            </w:r>
            <w:r>
              <w:rPr/>
              <w:t>) — deliberately, so logging "never breaks a request"</w:t>
            </w:r>
          </w:p>
        </w:tc>
        <w:tc>
          <w:tcPr>
            <w:tcW w:w="1908" w:type="dxa"/>
            <w:tcBorders/>
            <w:vAlign w:val="center"/>
          </w:tcPr>
          <w:p>
            <w:pPr>
              <w:pStyle w:val="TableContents"/>
              <w:bidi w:val="0"/>
              <w:spacing w:before="0" w:after="283"/>
              <w:jc w:val="left"/>
              <w:rPr/>
            </w:pPr>
            <w:r>
              <w:rPr/>
              <w:t>The audit trail is not guaranteed complete. This is a defensible engineering trade-off and an undefensible audit record; it must be stated to any customer who relies on the log</w:t>
            </w:r>
          </w:p>
        </w:tc>
      </w:tr>
    </w:tbl>
    <w:p>
      <w:pPr>
        <w:pStyle w:val="BodyText"/>
        <w:bidi w:val="0"/>
        <w:jc w:val="left"/>
        <w:rPr/>
      </w:pPr>
      <w:r>
        <w:rPr/>
        <w:t xml:space="preserve">For a public deployment, Cloudflare Access is the compensating control and is described as </w:t>
      </w:r>
      <w:r>
        <w:rPr>
          <w:rStyle w:val="Strong"/>
        </w:rPr>
        <w:t>mandatory</w:t>
      </w:r>
      <w:r>
        <w:rPr/>
        <w:t xml:space="preserve">, not optional, at </w:t>
      </w:r>
      <w:r>
        <w:rPr>
          <w:rStyle w:val="SourceText"/>
        </w:rPr>
        <w:t>docs/PUBLIC_DEPLOYMENT.md</w:t>
      </w:r>
      <w:r>
        <w:rPr/>
        <w:t xml:space="preserve"> §"Step 4"; </w:t>
      </w:r>
      <w:r>
        <w:rPr>
          <w:rStyle w:val="SourceText"/>
        </w:rPr>
        <w:t>docker-compose.yml:221</w:t>
      </w:r>
      <w:r>
        <w:rPr/>
        <w:t xml:space="preserve"> carries the same warning inline. </w:t>
      </w:r>
      <w:r>
        <w:rPr>
          <w:rStyle w:val="Strong"/>
        </w:rPr>
        <w:t>It is not in place on the public reference instance.</w:t>
      </w:r>
      <w:r>
        <w:rPr/>
        <w:t xml:space="preserve"> Application authentication had also been switched off there (found 2026-09-28, </w:t>
      </w:r>
      <w:r>
        <w:rPr>
          <w:rStyle w:val="SourceText"/>
        </w:rPr>
        <w:t>REG-04</w:t>
      </w:r>
      <w:r>
        <w:rPr/>
        <w:t xml:space="preserve"> NC-2026-009); since 2026-10-06 the instance runs with </w:t>
      </w:r>
      <w:r>
        <w:rPr>
          <w:rStyle w:val="SourceText"/>
        </w:rPr>
        <w:t>AUTH_ENABLED=1</w:t>
      </w:r>
      <w:r>
        <w:rPr/>
        <w:t xml:space="preserve"> and </w:t>
      </w:r>
      <w:r>
        <w:rPr>
          <w:rStyle w:val="SourceText"/>
        </w:rPr>
        <w:t>VOICE_AUTH_ENABLED=1</w:t>
      </w:r>
      <w:r>
        <w:rPr/>
        <w:t>, and that is its only gate.</w:t>
      </w:r>
    </w:p>
    <w:p>
      <w:pPr>
        <w:pStyle w:val="BlockQuotation"/>
        <w:bidi w:val="0"/>
        <w:jc w:val="left"/>
        <w:rPr/>
      </w:pPr>
      <w:r>
        <w:rPr>
          <w:rStyle w:val="Strong"/>
        </w:rPr>
        <w:t>Note on a stale comment.</w:t>
      </w:r>
      <w:r>
        <w:rPr/>
        <w:t xml:space="preserve"> </w:t>
      </w:r>
      <w:r>
        <w:rPr>
          <w:rStyle w:val="SourceText"/>
        </w:rPr>
        <w:t>docker-compose.yml:221</w:t>
      </w:r>
      <w:r>
        <w:rPr/>
        <w:t xml:space="preserve"> and </w:t>
      </w:r>
      <w:r>
        <w:rPr>
          <w:rStyle w:val="SourceText"/>
        </w:rPr>
        <w:t>docs/PUBLIC_DEPLOYMENT.md:5</w:t>
      </w:r>
      <w:r>
        <w:rPr/>
        <w:t xml:space="preserve"> state that "EchoMind has no built-in auth". That is out of date and contradicts </w:t>
      </w:r>
      <w:r>
        <w:rPr>
          <w:rStyle w:val="SourceText"/>
        </w:rPr>
        <w:t>README.md:133</w:t>
      </w:r>
      <w:r>
        <w:rPr/>
        <w:t xml:space="preserve">, which states that authentication is opt-in and that local accounts and JWT ship in the box. The README is accurate. The stale comments are a class N6 nonconformity under </w:t>
      </w:r>
      <w:r>
        <w:rPr>
          <w:rStyle w:val="SourceText"/>
        </w:rPr>
        <w:t>SOP-10</w:t>
      </w:r>
      <w:r>
        <w:rPr/>
        <w:t xml:space="preserve"> §4.</w:t>
      </w:r>
    </w:p>
    <w:p>
      <w:pPr>
        <w:pStyle w:val="Heading2"/>
        <w:bidi w:val="0"/>
        <w:jc w:val="left"/>
        <w:rPr/>
      </w:pPr>
      <w:r>
        <w:rPr/>
        <w:t>9. Deletion of customer property on request</w:t>
      </w:r>
    </w:p>
    <w:p>
      <w:pPr>
        <w:pStyle w:val="BodyText"/>
        <w:bidi w:val="0"/>
        <w:jc w:val="left"/>
        <w:rPr/>
      </w:pPr>
      <w:r>
        <w:rPr/>
        <w:t xml:space="preserve">Deletion today is </w:t>
      </w:r>
      <w:r>
        <w:rPr>
          <w:rStyle w:val="Strong"/>
        </w:rPr>
        <w:t>per-object and operator-driven</w:t>
      </w:r>
      <w:r>
        <w:rPr/>
        <w:t>: an authorised user deletes a named object through the API or the user interface. There is no bulk erasure, no data-subject-request workflow and no scheduled deletion.</w:t>
      </w:r>
    </w:p>
    <w:tbl>
      <w:tblPr>
        <w:tblW w:w="6169" w:type="dxa"/>
        <w:jc w:val="left"/>
        <w:tblInd w:w="0" w:type="dxa"/>
        <w:tblLayout w:type="fixed"/>
        <w:tblCellMar>
          <w:top w:w="28" w:type="dxa"/>
          <w:left w:w="28" w:type="dxa"/>
          <w:bottom w:w="28" w:type="dxa"/>
          <w:right w:w="28" w:type="dxa"/>
        </w:tblCellMar>
      </w:tblPr>
      <w:tblGrid>
        <w:gridCol w:w="1593"/>
        <w:gridCol w:w="2465"/>
        <w:gridCol w:w="2111"/>
      </w:tblGrid>
      <w:tr>
        <w:trPr>
          <w:tblHeader w:val="true"/>
        </w:trPr>
        <w:tc>
          <w:tcPr>
            <w:tcW w:w="1593" w:type="dxa"/>
            <w:tcBorders/>
            <w:vAlign w:val="center"/>
          </w:tcPr>
          <w:p>
            <w:pPr>
              <w:pStyle w:val="TableHeading"/>
              <w:suppressLineNumbers/>
              <w:shd w:fill="1F3A5F" w:val="clear"/>
              <w:bidi w:val="0"/>
              <w:spacing w:before="0" w:after="283"/>
              <w:jc w:val="center"/>
              <w:rPr/>
            </w:pPr>
            <w:r>
              <w:rPr/>
              <w:t>Endpoint</w:t>
            </w:r>
          </w:p>
        </w:tc>
        <w:tc>
          <w:tcPr>
            <w:tcW w:w="2465" w:type="dxa"/>
            <w:tcBorders/>
            <w:vAlign w:val="center"/>
          </w:tcPr>
          <w:p>
            <w:pPr>
              <w:pStyle w:val="TableHeading"/>
              <w:suppressLineNumbers/>
              <w:shd w:fill="1F3A5F" w:val="clear"/>
              <w:bidi w:val="0"/>
              <w:spacing w:before="0" w:after="283"/>
              <w:jc w:val="center"/>
              <w:rPr/>
            </w:pPr>
            <w:r>
              <w:rPr/>
              <w:t>Deletes</w:t>
            </w:r>
          </w:p>
        </w:tc>
        <w:tc>
          <w:tcPr>
            <w:tcW w:w="2111" w:type="dxa"/>
            <w:tcBorders/>
            <w:vAlign w:val="center"/>
          </w:tcPr>
          <w:p>
            <w:pPr>
              <w:pStyle w:val="TableHeading"/>
              <w:suppressLineNumbers/>
              <w:shd w:fill="1F3A5F" w:val="clear"/>
              <w:bidi w:val="0"/>
              <w:spacing w:before="0" w:after="283"/>
              <w:jc w:val="center"/>
              <w:rPr/>
            </w:pPr>
            <w:r>
              <w:rPr/>
              <w:t>Evidence</w:t>
            </w:r>
          </w:p>
        </w:tc>
      </w:tr>
      <w:tr>
        <w:trPr/>
        <w:tc>
          <w:tcPr>
            <w:tcW w:w="1593" w:type="dxa"/>
            <w:tcBorders/>
            <w:vAlign w:val="center"/>
          </w:tcPr>
          <w:p>
            <w:pPr>
              <w:pStyle w:val="TableContents"/>
              <w:bidi w:val="0"/>
              <w:spacing w:before="0" w:after="283"/>
              <w:jc w:val="left"/>
              <w:rPr/>
            </w:pPr>
            <w:r>
              <w:rPr>
                <w:rStyle w:val="SourceText"/>
              </w:rPr>
              <w:t>DELETE /api/docs/{doc_id}</w:t>
            </w:r>
          </w:p>
        </w:tc>
        <w:tc>
          <w:tcPr>
            <w:tcW w:w="2465" w:type="dxa"/>
            <w:tcBorders/>
            <w:vAlign w:val="center"/>
          </w:tcPr>
          <w:p>
            <w:pPr>
              <w:pStyle w:val="TableContents"/>
              <w:bidi w:val="0"/>
              <w:spacing w:before="0" w:after="283"/>
              <w:jc w:val="left"/>
              <w:rPr/>
            </w:pPr>
            <w:r>
              <w:rPr/>
              <w:t>The document, its chunks and embeddings from the index, and the stored source file (best-effort; a failure to remove the file is logged at WARNING)</w:t>
            </w:r>
          </w:p>
        </w:tc>
        <w:tc>
          <w:tcPr>
            <w:tcW w:w="2111" w:type="dxa"/>
            <w:tcBorders/>
            <w:vAlign w:val="center"/>
          </w:tcPr>
          <w:p>
            <w:pPr>
              <w:pStyle w:val="TableContents"/>
              <w:bidi w:val="0"/>
              <w:spacing w:before="0" w:after="283"/>
              <w:jc w:val="left"/>
              <w:rPr/>
            </w:pPr>
            <w:r>
              <w:rPr>
                <w:rStyle w:val="SourceText"/>
              </w:rPr>
              <w:t>backend/app/api/routes/docs.py:220-235</w:t>
            </w:r>
          </w:p>
        </w:tc>
      </w:tr>
      <w:tr>
        <w:trPr/>
        <w:tc>
          <w:tcPr>
            <w:tcW w:w="1593" w:type="dxa"/>
            <w:tcBorders/>
            <w:vAlign w:val="center"/>
          </w:tcPr>
          <w:p>
            <w:pPr>
              <w:pStyle w:val="TableContents"/>
              <w:bidi w:val="0"/>
              <w:spacing w:before="0" w:after="283"/>
              <w:jc w:val="left"/>
              <w:rPr/>
            </w:pPr>
            <w:r>
              <w:rPr>
                <w:rStyle w:val="SourceText"/>
              </w:rPr>
              <w:t>DELETE /api/transcribe/transcripts/{id}</w:t>
            </w:r>
          </w:p>
        </w:tc>
        <w:tc>
          <w:tcPr>
            <w:tcW w:w="2465" w:type="dxa"/>
            <w:tcBorders/>
            <w:vAlign w:val="center"/>
          </w:tcPr>
          <w:p>
            <w:pPr>
              <w:pStyle w:val="TableContents"/>
              <w:bidi w:val="0"/>
              <w:spacing w:before="0" w:after="283"/>
              <w:jc w:val="left"/>
              <w:rPr/>
            </w:pPr>
            <w:r>
              <w:rPr/>
              <w:t xml:space="preserve">The transcript row </w:t>
            </w:r>
            <w:r>
              <w:rPr>
                <w:rStyle w:val="Strong"/>
              </w:rPr>
              <w:t>and</w:t>
            </w:r>
            <w:r>
              <w:rPr/>
              <w:t xml:space="preserve"> its knowledge-base documents, chunks and embeddings. Matches both identifier forms, because auto-stored transcripts are indexed under a different filename — "else embeddings are orphaned (audit H1)"</w:t>
            </w:r>
          </w:p>
        </w:tc>
        <w:tc>
          <w:tcPr>
            <w:tcW w:w="2111" w:type="dxa"/>
            <w:tcBorders/>
            <w:vAlign w:val="center"/>
          </w:tcPr>
          <w:p>
            <w:pPr>
              <w:pStyle w:val="TableContents"/>
              <w:bidi w:val="0"/>
              <w:spacing w:before="0" w:after="283"/>
              <w:jc w:val="left"/>
              <w:rPr/>
            </w:pPr>
            <w:r>
              <w:rPr>
                <w:rStyle w:val="SourceText"/>
              </w:rPr>
              <w:t>backend/app/api/routes/transcribe.py:213-246</w:t>
            </w:r>
          </w:p>
        </w:tc>
      </w:tr>
      <w:tr>
        <w:trPr/>
        <w:tc>
          <w:tcPr>
            <w:tcW w:w="1593" w:type="dxa"/>
            <w:tcBorders/>
            <w:vAlign w:val="center"/>
          </w:tcPr>
          <w:p>
            <w:pPr>
              <w:pStyle w:val="TableContents"/>
              <w:bidi w:val="0"/>
              <w:spacing w:before="0" w:after="283"/>
              <w:jc w:val="left"/>
              <w:rPr/>
            </w:pPr>
            <w:r>
              <w:rPr>
                <w:rStyle w:val="SourceText"/>
              </w:rPr>
              <w:t>DELETE /api/boardroom/sessions/{id}</w:t>
            </w:r>
          </w:p>
        </w:tc>
        <w:tc>
          <w:tcPr>
            <w:tcW w:w="2465" w:type="dxa"/>
            <w:tcBorders/>
            <w:vAlign w:val="center"/>
          </w:tcPr>
          <w:p>
            <w:pPr>
              <w:pStyle w:val="TableContents"/>
              <w:bidi w:val="0"/>
              <w:spacing w:before="0" w:after="283"/>
              <w:jc w:val="left"/>
              <w:rPr/>
            </w:pPr>
            <w:r>
              <w:rPr/>
              <w:t xml:space="preserve">The session row and the whole </w:t>
            </w:r>
            <w:r>
              <w:rPr>
                <w:rStyle w:val="SourceText"/>
              </w:rPr>
              <w:t>/data/boardroom/{id}/</w:t>
            </w:r>
            <w:r>
              <w:rPr/>
              <w:t xml:space="preserve"> audio chunk directory</w:t>
            </w:r>
          </w:p>
        </w:tc>
        <w:tc>
          <w:tcPr>
            <w:tcW w:w="2111" w:type="dxa"/>
            <w:tcBorders/>
            <w:vAlign w:val="center"/>
          </w:tcPr>
          <w:p>
            <w:pPr>
              <w:pStyle w:val="TableContents"/>
              <w:bidi w:val="0"/>
              <w:spacing w:before="0" w:after="283"/>
              <w:jc w:val="left"/>
              <w:rPr/>
            </w:pPr>
            <w:r>
              <w:rPr>
                <w:rStyle w:val="SourceText"/>
              </w:rPr>
              <w:t>backend/app/api/routes/boardroom.py:73-79</w:t>
            </w:r>
            <w:r>
              <w:rPr/>
              <w:t xml:space="preserve">; </w:t>
            </w:r>
            <w:r>
              <w:rPr>
                <w:rStyle w:val="SourceText"/>
              </w:rPr>
              <w:t>backend/app/boardroom/service.py:163-176</w:t>
            </w:r>
          </w:p>
        </w:tc>
      </w:tr>
      <w:tr>
        <w:trPr/>
        <w:tc>
          <w:tcPr>
            <w:tcW w:w="1593" w:type="dxa"/>
            <w:tcBorders/>
            <w:vAlign w:val="center"/>
          </w:tcPr>
          <w:p>
            <w:pPr>
              <w:pStyle w:val="TableContents"/>
              <w:bidi w:val="0"/>
              <w:spacing w:before="0" w:after="283"/>
              <w:jc w:val="left"/>
              <w:rPr/>
            </w:pPr>
            <w:r>
              <w:rPr>
                <w:rStyle w:val="SourceText"/>
              </w:rPr>
              <w:t>DELETE /api/chat/{chat_id}</w:t>
            </w:r>
          </w:p>
        </w:tc>
        <w:tc>
          <w:tcPr>
            <w:tcW w:w="2465" w:type="dxa"/>
            <w:tcBorders/>
            <w:vAlign w:val="center"/>
          </w:tcPr>
          <w:p>
            <w:pPr>
              <w:pStyle w:val="TableContents"/>
              <w:bidi w:val="0"/>
              <w:spacing w:before="0" w:after="283"/>
              <w:jc w:val="left"/>
              <w:rPr/>
            </w:pPr>
            <w:r>
              <w:rPr/>
              <w:t>A chat and its messages</w:t>
            </w:r>
          </w:p>
        </w:tc>
        <w:tc>
          <w:tcPr>
            <w:tcW w:w="2111" w:type="dxa"/>
            <w:tcBorders/>
            <w:vAlign w:val="center"/>
          </w:tcPr>
          <w:p>
            <w:pPr>
              <w:pStyle w:val="TableContents"/>
              <w:bidi w:val="0"/>
              <w:spacing w:before="0" w:after="283"/>
              <w:jc w:val="left"/>
              <w:rPr/>
            </w:pPr>
            <w:r>
              <w:rPr>
                <w:rStyle w:val="SourceText"/>
              </w:rPr>
              <w:t>backend/app/api/routes/chat.py:156</w:t>
            </w:r>
          </w:p>
        </w:tc>
      </w:tr>
      <w:tr>
        <w:trPr/>
        <w:tc>
          <w:tcPr>
            <w:tcW w:w="1593" w:type="dxa"/>
            <w:tcBorders/>
            <w:vAlign w:val="center"/>
          </w:tcPr>
          <w:p>
            <w:pPr>
              <w:pStyle w:val="TableContents"/>
              <w:bidi w:val="0"/>
              <w:spacing w:before="0" w:after="283"/>
              <w:jc w:val="left"/>
              <w:rPr/>
            </w:pPr>
            <w:r>
              <w:rPr>
                <w:rStyle w:val="SourceText"/>
              </w:rPr>
              <w:t>DELETE /api/docgen/jobs/{job_id}</w:t>
            </w:r>
          </w:p>
        </w:tc>
        <w:tc>
          <w:tcPr>
            <w:tcW w:w="2465" w:type="dxa"/>
            <w:tcBorders/>
            <w:vAlign w:val="center"/>
          </w:tcPr>
          <w:p>
            <w:pPr>
              <w:pStyle w:val="TableContents"/>
              <w:bidi w:val="0"/>
              <w:spacing w:before="0" w:after="283"/>
              <w:jc w:val="left"/>
              <w:rPr/>
            </w:pPr>
            <w:r>
              <w:rPr/>
              <w:t>A Document Studio job</w:t>
            </w:r>
          </w:p>
        </w:tc>
        <w:tc>
          <w:tcPr>
            <w:tcW w:w="2111" w:type="dxa"/>
            <w:tcBorders/>
            <w:vAlign w:val="center"/>
          </w:tcPr>
          <w:p>
            <w:pPr>
              <w:pStyle w:val="TableContents"/>
              <w:bidi w:val="0"/>
              <w:spacing w:before="0" w:after="283"/>
              <w:jc w:val="left"/>
              <w:rPr/>
            </w:pPr>
            <w:r>
              <w:rPr>
                <w:rStyle w:val="SourceText"/>
              </w:rPr>
              <w:t>backend/app/api/routes/docgen.py:209</w:t>
            </w:r>
          </w:p>
        </w:tc>
      </w:tr>
      <w:tr>
        <w:trPr/>
        <w:tc>
          <w:tcPr>
            <w:tcW w:w="1593" w:type="dxa"/>
            <w:tcBorders/>
            <w:vAlign w:val="center"/>
          </w:tcPr>
          <w:p>
            <w:pPr>
              <w:pStyle w:val="TableContents"/>
              <w:bidi w:val="0"/>
              <w:spacing w:before="0" w:after="283"/>
              <w:jc w:val="left"/>
              <w:rPr/>
            </w:pPr>
            <w:r>
              <w:rPr>
                <w:rStyle w:val="SourceText"/>
              </w:rPr>
              <w:t>DELETE /api/auth/users/{username}</w:t>
            </w:r>
          </w:p>
        </w:tc>
        <w:tc>
          <w:tcPr>
            <w:tcW w:w="2465" w:type="dxa"/>
            <w:tcBorders/>
            <w:vAlign w:val="center"/>
          </w:tcPr>
          <w:p>
            <w:pPr>
              <w:pStyle w:val="TableContents"/>
              <w:bidi w:val="0"/>
              <w:spacing w:before="0" w:after="283"/>
              <w:jc w:val="left"/>
              <w:rPr/>
            </w:pPr>
            <w:r>
              <w:rPr/>
              <w:t>A user account</w:t>
            </w:r>
          </w:p>
        </w:tc>
        <w:tc>
          <w:tcPr>
            <w:tcW w:w="2111" w:type="dxa"/>
            <w:tcBorders/>
            <w:vAlign w:val="center"/>
          </w:tcPr>
          <w:p>
            <w:pPr>
              <w:pStyle w:val="TableContents"/>
              <w:bidi w:val="0"/>
              <w:spacing w:before="0" w:after="283"/>
              <w:jc w:val="left"/>
              <w:rPr/>
            </w:pPr>
            <w:r>
              <w:rPr>
                <w:rStyle w:val="SourceText"/>
              </w:rPr>
              <w:t>backend/app/api/routes/auth.py:87</w:t>
            </w:r>
          </w:p>
        </w:tc>
      </w:tr>
    </w:tbl>
    <w:p>
      <w:pPr>
        <w:pStyle w:val="BodyText"/>
        <w:bidi w:val="0"/>
        <w:jc w:val="left"/>
        <w:rPr/>
      </w:pPr>
      <w:r>
        <w:rPr>
          <w:rStyle w:val="Strong"/>
        </w:rPr>
        <w:t>What a deletion request must cover.</w:t>
      </w:r>
      <w:r>
        <w:rPr/>
        <w:t xml:space="preserve"> Because of §4 category C, deleting a document is not complete unless the chunks and the index entries go with it. The transcript endpoint is the model here: it deliberately matches both identifier forms specifically so that embeddings are not left orphaned. Any new deletion path must meet the same standard, and this is a design-review item under </w:t>
      </w:r>
      <w:r>
        <w:rPr>
          <w:rStyle w:val="SourceText"/>
        </w:rPr>
        <w:t>SOP-05</w:t>
      </w:r>
      <w:r>
        <w:rPr/>
        <w:t>.</w:t>
      </w:r>
    </w:p>
    <w:p>
      <w:pPr>
        <w:pStyle w:val="BodyText"/>
        <w:bidi w:val="0"/>
        <w:jc w:val="left"/>
        <w:rPr/>
      </w:pPr>
      <w:r>
        <w:rPr>
          <w:rStyle w:val="Strong"/>
        </w:rPr>
        <w:t>Not covered by any endpoint:</w:t>
      </w:r>
      <w:r>
        <w:rPr/>
        <w:t xml:space="preserve"> the </w:t>
      </w:r>
      <w:r>
        <w:rPr>
          <w:rStyle w:val="SourceText"/>
        </w:rPr>
        <w:t>activity_log</w:t>
      </w:r>
      <w:r>
        <w:rPr/>
        <w:t xml:space="preserve"> table, which holds usernames and IP addresses (category D) and has no deletion or pruning path at all.</w:t>
      </w:r>
    </w:p>
    <w:p>
      <w:pPr>
        <w:pStyle w:val="Heading2"/>
        <w:bidi w:val="0"/>
        <w:jc w:val="left"/>
        <w:rPr/>
      </w:pPr>
      <w:r>
        <w:rPr/>
        <w:t>10. Retention</w:t>
      </w:r>
    </w:p>
    <w:p>
      <w:pPr>
        <w:pStyle w:val="BodyText"/>
        <w:bidi w:val="0"/>
        <w:jc w:val="left"/>
        <w:rPr/>
      </w:pPr>
      <w:r>
        <w:rPr>
          <w:rStyle w:val="Strong"/>
        </w:rPr>
        <w:t>Stated plainly: no retention policy exists.</w:t>
      </w:r>
      <w:r>
        <w:rPr/>
        <w:t xml:space="preserve"> There is no time-based deletion of transcripts, documents, messages, boardroom audio or activity-log entries; no scheduled cleanup task; no retention statement in any shipped document; and no data-subject-request or erasure process. Deletion is per-object and manual (§9). The only time-to-live anywhere in the system is the authentication token lifetime, </w:t>
      </w:r>
      <w:r>
        <w:rPr>
          <w:rStyle w:val="SourceText"/>
        </w:rPr>
        <w:t>AUTH_TOKEN_TTL_MIN</w:t>
      </w:r>
      <w:r>
        <w:rPr/>
        <w:t xml:space="preserve"> 720 minutes (</w:t>
      </w:r>
      <w:r>
        <w:rPr>
          <w:rStyle w:val="SourceText"/>
        </w:rPr>
        <w:t>backend/app/core/config.py:232</w:t>
      </w:r>
      <w:r>
        <w:rPr/>
        <w:t>).</w:t>
      </w:r>
    </w:p>
    <w:p>
      <w:pPr>
        <w:pStyle w:val="BodyText"/>
        <w:bidi w:val="0"/>
        <w:jc w:val="left"/>
        <w:rPr/>
      </w:pPr>
      <w:r>
        <w:rPr/>
        <w:t xml:space="preserve">This is aggravated by unbounded accumulation. </w:t>
      </w:r>
      <w:r>
        <w:rPr>
          <w:rStyle w:val="SourceText"/>
        </w:rPr>
        <w:t>AUTO_STORE_INTERVAL_SEC</w:t>
      </w:r>
      <w:r>
        <w:rPr/>
        <w:t xml:space="preserve"> defaults to 60 (</w:t>
      </w:r>
      <w:r>
        <w:rPr>
          <w:rStyle w:val="SourceText"/>
        </w:rPr>
        <w:t>backend/app/core/config.py:95</w:t>
      </w:r>
      <w:r>
        <w:rPr/>
        <w:t xml:space="preserve">), so a live transcript is auto-stored into the knowledge base every 60 seconds while recording. </w:t>
      </w:r>
      <w:r>
        <w:rPr>
          <w:rStyle w:val="SourceText"/>
        </w:rPr>
        <w:t>eval/paper/results/SUMMARY.json</w:t>
      </w:r>
      <w:r>
        <w:rPr/>
        <w:t xml:space="preserve"> (experiment E2) records that at one point only 421 of 17,514 chunks were content — approximately 97.6% of the index was auto-accumulated transcript. That is a retention problem before it is a retrieval problem: material the customer never chose to keep is retained indefinitely and indexed.</w:t>
      </w:r>
    </w:p>
    <w:p>
      <w:pPr>
        <w:pStyle w:val="BodyText"/>
        <w:bidi w:val="0"/>
        <w:jc w:val="left"/>
        <w:rPr/>
      </w:pPr>
      <w:r>
        <w:rPr/>
        <w:t>A retention policy, when written, must specify at minimum:</w:t>
      </w:r>
    </w:p>
    <w:p>
      <w:pPr>
        <w:pStyle w:val="BodyText"/>
        <w:numPr>
          <w:ilvl w:val="0"/>
          <w:numId w:val="1"/>
        </w:numPr>
        <w:tabs>
          <w:tab w:val="clear" w:pos="1134"/>
          <w:tab w:val="left" w:pos="709" w:leader="none"/>
        </w:tabs>
        <w:bidi w:val="0"/>
        <w:spacing w:before="0" w:after="0"/>
        <w:ind w:hanging="283" w:left="709"/>
        <w:jc w:val="left"/>
        <w:rPr/>
      </w:pPr>
      <w:r>
        <w:rPr/>
        <w:t xml:space="preserve">a retention period for each object class in §5 — uploaded documents, transcripts, boardroom audio, chat messages, generated documents, activity-log entries — expressed as a period, not as "until deleted"; </w:t>
      </w:r>
    </w:p>
    <w:p>
      <w:pPr>
        <w:pStyle w:val="BodyText"/>
        <w:numPr>
          <w:ilvl w:val="0"/>
          <w:numId w:val="1"/>
        </w:numPr>
        <w:tabs>
          <w:tab w:val="clear" w:pos="1134"/>
          <w:tab w:val="left" w:pos="709" w:leader="none"/>
        </w:tabs>
        <w:bidi w:val="0"/>
        <w:spacing w:before="0" w:after="0"/>
        <w:ind w:hanging="283" w:left="709"/>
        <w:jc w:val="left"/>
        <w:rPr/>
      </w:pPr>
      <w:r>
        <w:rPr/>
        <w:t xml:space="preserve">whether the period is configurable per deployment, and where; </w:t>
      </w:r>
    </w:p>
    <w:p>
      <w:pPr>
        <w:pStyle w:val="BodyText"/>
        <w:numPr>
          <w:ilvl w:val="0"/>
          <w:numId w:val="1"/>
        </w:numPr>
        <w:tabs>
          <w:tab w:val="clear" w:pos="1134"/>
          <w:tab w:val="left" w:pos="709" w:leader="none"/>
        </w:tabs>
        <w:bidi w:val="0"/>
        <w:spacing w:before="0" w:after="0"/>
        <w:ind w:hanging="283" w:left="709"/>
        <w:jc w:val="left"/>
        <w:rPr/>
      </w:pPr>
      <w:r>
        <w:rPr/>
        <w:t xml:space="preserve">the mechanism that enforces it, and what it does on failure; </w:t>
      </w:r>
    </w:p>
    <w:p>
      <w:pPr>
        <w:pStyle w:val="BodyText"/>
        <w:numPr>
          <w:ilvl w:val="0"/>
          <w:numId w:val="1"/>
        </w:numPr>
        <w:tabs>
          <w:tab w:val="clear" w:pos="1134"/>
          <w:tab w:val="left" w:pos="709" w:leader="none"/>
        </w:tabs>
        <w:bidi w:val="0"/>
        <w:spacing w:before="0" w:after="0"/>
        <w:ind w:hanging="283" w:left="709"/>
        <w:jc w:val="left"/>
        <w:rPr/>
      </w:pPr>
      <w:r>
        <w:rPr/>
        <w:t xml:space="preserve">that expiry deletes the derived representations in category C along with the source; </w:t>
      </w:r>
    </w:p>
    <w:p>
      <w:pPr>
        <w:pStyle w:val="BodyText"/>
        <w:numPr>
          <w:ilvl w:val="0"/>
          <w:numId w:val="1"/>
        </w:numPr>
        <w:tabs>
          <w:tab w:val="clear" w:pos="1134"/>
          <w:tab w:val="left" w:pos="709" w:leader="none"/>
        </w:tabs>
        <w:bidi w:val="0"/>
        <w:spacing w:before="0" w:after="0"/>
        <w:ind w:hanging="283" w:left="709"/>
        <w:jc w:val="left"/>
        <w:rPr/>
      </w:pPr>
      <w:r>
        <w:rPr/>
        <w:t xml:space="preserve">a shorter, separately stated period for </w:t>
      </w:r>
      <w:r>
        <w:rPr>
          <w:rStyle w:val="SourceText"/>
        </w:rPr>
        <w:t>activity_log</w:t>
      </w:r>
      <w:r>
        <w:rPr/>
        <w:t xml:space="preserve">, because it is personal data that no user asked to create; </w:t>
      </w:r>
    </w:p>
    <w:p>
      <w:pPr>
        <w:pStyle w:val="BodyText"/>
        <w:numPr>
          <w:ilvl w:val="0"/>
          <w:numId w:val="1"/>
        </w:numPr>
        <w:tabs>
          <w:tab w:val="clear" w:pos="1134"/>
          <w:tab w:val="left" w:pos="709" w:leader="none"/>
        </w:tabs>
        <w:bidi w:val="0"/>
        <w:spacing w:before="0" w:after="0"/>
        <w:ind w:hanging="283" w:left="709"/>
        <w:jc w:val="left"/>
        <w:rPr/>
      </w:pPr>
      <w:r>
        <w:rPr/>
        <w:t xml:space="preserve">what happens at end of contract or decommissioning — how the customer confirms erasure; </w:t>
      </w:r>
    </w:p>
    <w:p>
      <w:pPr>
        <w:pStyle w:val="BodyText"/>
        <w:numPr>
          <w:ilvl w:val="0"/>
          <w:numId w:val="1"/>
        </w:numPr>
        <w:tabs>
          <w:tab w:val="clear" w:pos="1134"/>
          <w:tab w:val="left" w:pos="709" w:leader="none"/>
        </w:tabs>
        <w:bidi w:val="0"/>
        <w:ind w:hanging="283" w:left="709"/>
        <w:jc w:val="left"/>
        <w:rPr/>
      </w:pPr>
      <w:r>
        <w:rPr/>
        <w:t xml:space="preserve">how a customer exercises an individual erasure request through the operator. </w:t>
      </w:r>
    </w:p>
    <w:p>
      <w:pPr>
        <w:pStyle w:val="BodyText"/>
        <w:bidi w:val="0"/>
        <w:jc w:val="left"/>
        <w:rPr/>
      </w:pPr>
      <w:r>
        <w:rPr/>
        <w:t xml:space="preserve">Until such a policy exists and is implemented, Ajace AI must state to every customer, in the requirements record under </w:t>
      </w:r>
      <w:r>
        <w:rPr>
          <w:rStyle w:val="SourceText"/>
        </w:rPr>
        <w:t>SOP-04</w:t>
      </w:r>
      <w:r>
        <w:rPr/>
        <w:t>, that the platform retains everything indefinitely and that retention is the customer's responsibility to enforce operationally.</w:t>
      </w:r>
    </w:p>
    <w:p>
      <w:pPr>
        <w:pStyle w:val="Heading2"/>
        <w:bidi w:val="0"/>
        <w:jc w:val="left"/>
        <w:rPr/>
      </w:pPr>
      <w:r>
        <w:rPr/>
        <w:t>11. Preservation, backup and recovery (8.5.4)</w:t>
      </w:r>
    </w:p>
    <w:p>
      <w:pPr>
        <w:pStyle w:val="BodyText"/>
        <w:bidi w:val="0"/>
        <w:jc w:val="left"/>
        <w:rPr/>
      </w:pPr>
      <w:r>
        <w:rPr>
          <w:rStyle w:val="Strong"/>
        </w:rPr>
        <w:t>Stated plainly: the only volume containing customer data has no backup procedure. This is the highest-priority gap in this procedure.</w:t>
      </w:r>
    </w:p>
    <w:p>
      <w:pPr>
        <w:pStyle w:val="BodyText"/>
        <w:bidi w:val="0"/>
        <w:jc w:val="left"/>
        <w:rPr/>
      </w:pPr>
      <w:r>
        <w:rPr>
          <w:rStyle w:val="SourceText"/>
        </w:rPr>
        <w:t>echomind_data</w:t>
      </w:r>
      <w:r>
        <w:rPr/>
        <w:t xml:space="preserve"> holds everything listed in §5. </w:t>
      </w:r>
      <w:r>
        <w:rPr>
          <w:rStyle w:val="SourceText"/>
        </w:rPr>
        <w:t>scripts/export_offline_bundle.sh</w:t>
      </w:r>
      <w:r>
        <w:rPr/>
        <w:t xml:space="preserve"> exports the two </w:t>
      </w:r>
      <w:r>
        <w:rPr>
          <w:rStyle w:val="Emphasis"/>
        </w:rPr>
        <w:t>model</w:t>
      </w:r>
      <w:r>
        <w:rPr/>
        <w:t xml:space="preserve"> volumes — </w:t>
      </w:r>
      <w:r>
        <w:rPr>
          <w:rStyle w:val="SourceText"/>
        </w:rPr>
        <w:t>ollama_data</w:t>
      </w:r>
      <w:r>
        <w:rPr/>
        <w:t xml:space="preserve"> (</w:t>
      </w:r>
      <w:r>
        <w:rPr>
          <w:rStyle w:val="SourceText"/>
        </w:rPr>
        <w:t>:17,50</w:t>
      </w:r>
      <w:r>
        <w:rPr/>
        <w:t xml:space="preserve">) and </w:t>
      </w:r>
      <w:r>
        <w:rPr>
          <w:rStyle w:val="SourceText"/>
        </w:rPr>
        <w:t>trtllm_hf_cache</w:t>
      </w:r>
      <w:r>
        <w:rPr/>
        <w:t xml:space="preserve"> (</w:t>
      </w:r>
      <w:r>
        <w:rPr>
          <w:rStyle w:val="SourceText"/>
        </w:rPr>
        <w:t>:26,58</w:t>
      </w:r>
      <w:r>
        <w:rPr/>
        <w:t>) — plus the container images (</w:t>
      </w:r>
      <w:r>
        <w:rPr>
          <w:rStyle w:val="SourceText"/>
        </w:rPr>
        <w:t>:37</w:t>
      </w:r>
      <w:r>
        <w:rPr/>
        <w:t xml:space="preserve">). It does not reference </w:t>
      </w:r>
      <w:r>
        <w:rPr>
          <w:rStyle w:val="SourceText"/>
        </w:rPr>
        <w:t>echomind_data</w:t>
      </w:r>
      <w:r>
        <w:rPr/>
        <w:t xml:space="preserve">, and no other script in </w:t>
      </w:r>
      <w:r>
        <w:rPr>
          <w:rStyle w:val="SourceText"/>
        </w:rPr>
        <w:t>scripts/</w:t>
      </w:r>
      <w:r>
        <w:rPr/>
        <w:t xml:space="preserve"> backs it up. The volumes it does export are the reproducible ones: </w:t>
      </w:r>
      <w:r>
        <w:rPr>
          <w:rStyle w:val="SourceText"/>
        </w:rPr>
        <w:t>docs/USER_MANUAL.md:1158</w:t>
      </w:r>
      <w:r>
        <w:rPr/>
        <w:t xml:space="preserve"> states the operator's real backup priority is </w:t>
      </w:r>
      <w:r>
        <w:rPr>
          <w:rStyle w:val="SourceText"/>
        </w:rPr>
        <w:t>echomind_data</w:t>
      </w:r>
      <w:r>
        <w:rPr/>
        <w:t xml:space="preserve"> precisely because the model volumes can be rebuilt from the prepare step — but the manual gives no procedure for doing it.</w:t>
      </w:r>
    </w:p>
    <w:p>
      <w:pPr>
        <w:pStyle w:val="BodyText"/>
        <w:bidi w:val="0"/>
        <w:jc w:val="left"/>
        <w:rPr/>
      </w:pPr>
      <w:r>
        <w:rPr/>
        <w:t>Consequently there is:</w:t>
      </w:r>
    </w:p>
    <w:p>
      <w:pPr>
        <w:pStyle w:val="BodyText"/>
        <w:numPr>
          <w:ilvl w:val="0"/>
          <w:numId w:val="2"/>
        </w:numPr>
        <w:tabs>
          <w:tab w:val="clear" w:pos="1134"/>
          <w:tab w:val="left" w:pos="709" w:leader="none"/>
        </w:tabs>
        <w:bidi w:val="0"/>
        <w:spacing w:before="0" w:after="0"/>
        <w:ind w:hanging="283" w:left="709"/>
        <w:jc w:val="left"/>
        <w:rPr/>
      </w:pPr>
      <w:r>
        <w:rPr/>
        <w:t xml:space="preserve">no backup procedure for customer data; </w:t>
      </w:r>
    </w:p>
    <w:p>
      <w:pPr>
        <w:pStyle w:val="BodyText"/>
        <w:numPr>
          <w:ilvl w:val="0"/>
          <w:numId w:val="2"/>
        </w:numPr>
        <w:tabs>
          <w:tab w:val="clear" w:pos="1134"/>
          <w:tab w:val="left" w:pos="709" w:leader="none"/>
        </w:tabs>
        <w:bidi w:val="0"/>
        <w:spacing w:before="0" w:after="0"/>
        <w:ind w:hanging="283" w:left="709"/>
        <w:jc w:val="left"/>
        <w:rPr/>
      </w:pPr>
      <w:r>
        <w:rPr/>
        <w:t xml:space="preserve">no restore procedure; </w:t>
      </w:r>
    </w:p>
    <w:p>
      <w:pPr>
        <w:pStyle w:val="BodyText"/>
        <w:numPr>
          <w:ilvl w:val="0"/>
          <w:numId w:val="2"/>
        </w:numPr>
        <w:tabs>
          <w:tab w:val="clear" w:pos="1134"/>
          <w:tab w:val="left" w:pos="709" w:leader="none"/>
        </w:tabs>
        <w:bidi w:val="0"/>
        <w:spacing w:before="0" w:after="0"/>
        <w:ind w:hanging="283" w:left="709"/>
        <w:jc w:val="left"/>
        <w:rPr/>
      </w:pPr>
      <w:r>
        <w:rPr/>
        <w:t xml:space="preserve">no verification that a backup is restorable; </w:t>
      </w:r>
    </w:p>
    <w:p>
      <w:pPr>
        <w:pStyle w:val="BodyText"/>
        <w:numPr>
          <w:ilvl w:val="0"/>
          <w:numId w:val="2"/>
        </w:numPr>
        <w:tabs>
          <w:tab w:val="clear" w:pos="1134"/>
          <w:tab w:val="left" w:pos="709" w:leader="none"/>
        </w:tabs>
        <w:bidi w:val="0"/>
        <w:ind w:hanging="283" w:left="709"/>
        <w:jc w:val="left"/>
        <w:rPr/>
      </w:pPr>
      <w:r>
        <w:rPr/>
        <w:t xml:space="preserve">no stated recovery point objective or recovery time objective. </w:t>
      </w:r>
    </w:p>
    <w:p>
      <w:pPr>
        <w:pStyle w:val="BodyText"/>
        <w:bidi w:val="0"/>
        <w:jc w:val="left"/>
        <w:rPr/>
      </w:pPr>
      <w:r>
        <w:rPr/>
        <w:t xml:space="preserve">The preservation controls that </w:t>
      </w:r>
      <w:r>
        <w:rPr>
          <w:rStyle w:val="Emphasis"/>
        </w:rPr>
        <w:t>do</w:t>
      </w:r>
      <w:r>
        <w:rPr/>
        <w:t xml:space="preserve"> exist are the ones internal to the running system: the duplicate-upload guard (</w:t>
      </w:r>
      <w:r>
        <w:rPr>
          <w:rStyle w:val="SourceText"/>
        </w:rPr>
        <w:t>backend/app/api/routes/docs.py:152-166</w:t>
      </w:r>
      <w:r>
        <w:rPr/>
        <w:t>) prevents corruption of the index by double ingestion; the transcript delete path prevents orphaned embeddings (</w:t>
      </w:r>
      <w:r>
        <w:rPr>
          <w:rStyle w:val="SourceText"/>
        </w:rPr>
        <w:t>backend/app/api/routes/transcribe.py:225-227</w:t>
      </w:r>
      <w:r>
        <w:rPr/>
        <w:t xml:space="preserve">); and the volume is preserved across rebuilds, which was explicitly verified during the clean rebuild recorded in commit </w:t>
      </w:r>
      <w:r>
        <w:rPr>
          <w:rStyle w:val="SourceText"/>
        </w:rPr>
        <w:t>724fb98</w:t>
      </w:r>
      <w:r>
        <w:rPr/>
        <w:t>. None of these survive loss of the volume.</w:t>
      </w:r>
    </w:p>
    <w:p>
      <w:pPr>
        <w:pStyle w:val="BodyText"/>
        <w:bidi w:val="0"/>
        <w:jc w:val="left"/>
        <w:rPr/>
      </w:pPr>
      <w:r>
        <w:rPr/>
        <w:t>Because the volume is on customer hardware, backup is operationally the customer's task. That does not discharge Ajace AI's obligation: the product must ship a documented, tested backup and restore procedure for the operator to follow, and the absence of one is Ajace AI's nonconformity, not the customer's.</w:t>
      </w:r>
    </w:p>
    <w:p>
      <w:pPr>
        <w:pStyle w:val="Heading2"/>
        <w:bidi w:val="0"/>
        <w:jc w:val="left"/>
        <w:rPr/>
      </w:pPr>
      <w:r>
        <w:rPr/>
        <w:t>12. Loss, damage or unsuitability of customer property (8.5.3)</w:t>
      </w:r>
    </w:p>
    <w:p>
      <w:pPr>
        <w:pStyle w:val="BodyText"/>
        <w:bidi w:val="0"/>
        <w:jc w:val="left"/>
        <w:rPr/>
      </w:pPr>
      <w:r>
        <w:rPr/>
        <w:t>ISO 9001:2015 8.5.3 requires that when customer property is lost, damaged or otherwise found to be unsuitable for use, Ajace AI reports this to the customer and retains documented information on what occurred.</w:t>
      </w:r>
    </w:p>
    <w:tbl>
      <w:tblPr>
        <w:tblW w:w="6169" w:type="dxa"/>
        <w:jc w:val="left"/>
        <w:tblInd w:w="0" w:type="dxa"/>
        <w:tblLayout w:type="fixed"/>
        <w:tblCellMar>
          <w:top w:w="28" w:type="dxa"/>
          <w:left w:w="28" w:type="dxa"/>
          <w:bottom w:w="28" w:type="dxa"/>
          <w:right w:w="28" w:type="dxa"/>
        </w:tblCellMar>
      </w:tblPr>
      <w:tblGrid>
        <w:gridCol w:w="2272"/>
        <w:gridCol w:w="2567"/>
        <w:gridCol w:w="1330"/>
      </w:tblGrid>
      <w:tr>
        <w:trPr>
          <w:tblHeader w:val="true"/>
        </w:trPr>
        <w:tc>
          <w:tcPr>
            <w:tcW w:w="2272" w:type="dxa"/>
            <w:tcBorders/>
            <w:vAlign w:val="center"/>
          </w:tcPr>
          <w:p>
            <w:pPr>
              <w:pStyle w:val="TableHeading"/>
              <w:suppressLineNumbers/>
              <w:shd w:fill="1F3A5F" w:val="clear"/>
              <w:bidi w:val="0"/>
              <w:spacing w:before="0" w:after="283"/>
              <w:jc w:val="center"/>
              <w:rPr/>
            </w:pPr>
            <w:r>
              <w:rPr/>
              <w:t>Event</w:t>
            </w:r>
          </w:p>
        </w:tc>
        <w:tc>
          <w:tcPr>
            <w:tcW w:w="2567" w:type="dxa"/>
            <w:tcBorders/>
            <w:vAlign w:val="center"/>
          </w:tcPr>
          <w:p>
            <w:pPr>
              <w:pStyle w:val="TableHeading"/>
              <w:suppressLineNumbers/>
              <w:shd w:fill="1F3A5F" w:val="clear"/>
              <w:bidi w:val="0"/>
              <w:spacing w:before="0" w:after="283"/>
              <w:jc w:val="center"/>
              <w:rPr/>
            </w:pPr>
            <w:r>
              <w:rPr/>
              <w:t>Report to the customer</w:t>
            </w:r>
          </w:p>
        </w:tc>
        <w:tc>
          <w:tcPr>
            <w:tcW w:w="1330" w:type="dxa"/>
            <w:tcBorders/>
            <w:vAlign w:val="center"/>
          </w:tcPr>
          <w:p>
            <w:pPr>
              <w:pStyle w:val="TableHeading"/>
              <w:suppressLineNumbers/>
              <w:shd w:fill="1F3A5F" w:val="clear"/>
              <w:bidi w:val="0"/>
              <w:spacing w:before="0" w:after="283"/>
              <w:jc w:val="center"/>
              <w:rPr/>
            </w:pPr>
            <w:r>
              <w:rPr/>
              <w:t>Record</w:t>
            </w:r>
          </w:p>
        </w:tc>
      </w:tr>
      <w:tr>
        <w:trPr/>
        <w:tc>
          <w:tcPr>
            <w:tcW w:w="2272" w:type="dxa"/>
            <w:tcBorders/>
            <w:vAlign w:val="center"/>
          </w:tcPr>
          <w:p>
            <w:pPr>
              <w:pStyle w:val="TableContents"/>
              <w:bidi w:val="0"/>
              <w:spacing w:before="0" w:after="283"/>
              <w:jc w:val="left"/>
              <w:rPr/>
            </w:pPr>
            <w:r>
              <w:rPr/>
              <w:t>Customer data lost, corrupted or irrecoverable</w:t>
            </w:r>
          </w:p>
        </w:tc>
        <w:tc>
          <w:tcPr>
            <w:tcW w:w="2567" w:type="dxa"/>
            <w:tcBorders/>
            <w:vAlign w:val="center"/>
          </w:tcPr>
          <w:p>
            <w:pPr>
              <w:pStyle w:val="TableContents"/>
              <w:bidi w:val="0"/>
              <w:spacing w:before="0" w:after="283"/>
              <w:jc w:val="left"/>
              <w:rPr/>
            </w:pPr>
            <w:r>
              <w:rPr/>
              <w:t>Immediately, by the Managing Director, stating what was affected, over what period, and what can be recovered</w:t>
            </w:r>
          </w:p>
        </w:tc>
        <w:tc>
          <w:tcPr>
            <w:tcW w:w="1330" w:type="dxa"/>
            <w:tcBorders/>
            <w:vAlign w:val="center"/>
          </w:tcPr>
          <w:p>
            <w:pPr>
              <w:pStyle w:val="TableContents"/>
              <w:bidi w:val="0"/>
              <w:spacing w:before="0" w:after="283"/>
              <w:jc w:val="left"/>
              <w:rPr/>
            </w:pPr>
            <w:r>
              <w:rPr>
                <w:rStyle w:val="SourceText"/>
              </w:rPr>
              <w:t>FRM-05</w:t>
            </w:r>
            <w:r>
              <w:rPr/>
              <w:t xml:space="preserve"> at severity S1 under </w:t>
            </w:r>
            <w:r>
              <w:rPr>
                <w:rStyle w:val="SourceText"/>
              </w:rPr>
              <w:t>SOP-10</w:t>
            </w:r>
            <w:r>
              <w:rPr/>
              <w:t xml:space="preserve"> §5</w:t>
            </w:r>
          </w:p>
        </w:tc>
      </w:tr>
      <w:tr>
        <w:trPr/>
        <w:tc>
          <w:tcPr>
            <w:tcW w:w="2272" w:type="dxa"/>
            <w:tcBorders/>
            <w:vAlign w:val="center"/>
          </w:tcPr>
          <w:p>
            <w:pPr>
              <w:pStyle w:val="TableContents"/>
              <w:bidi w:val="0"/>
              <w:spacing w:before="0" w:after="283"/>
              <w:jc w:val="left"/>
              <w:rPr/>
            </w:pPr>
            <w:r>
              <w:rPr/>
              <w:t>Content crossing a namespace or tenant boundary</w:t>
            </w:r>
          </w:p>
        </w:tc>
        <w:tc>
          <w:tcPr>
            <w:tcW w:w="2567" w:type="dxa"/>
            <w:tcBorders/>
            <w:vAlign w:val="center"/>
          </w:tcPr>
          <w:p>
            <w:pPr>
              <w:pStyle w:val="TableContents"/>
              <w:bidi w:val="0"/>
              <w:spacing w:before="0" w:after="283"/>
              <w:jc w:val="left"/>
              <w:rPr/>
            </w:pPr>
            <w:r>
              <w:rPr/>
              <w:t>Immediately — the customer cannot detect this themselves</w:t>
            </w:r>
          </w:p>
        </w:tc>
        <w:tc>
          <w:tcPr>
            <w:tcW w:w="1330" w:type="dxa"/>
            <w:tcBorders/>
            <w:vAlign w:val="center"/>
          </w:tcPr>
          <w:p>
            <w:pPr>
              <w:pStyle w:val="TableContents"/>
              <w:bidi w:val="0"/>
              <w:spacing w:before="0" w:after="283"/>
              <w:jc w:val="left"/>
              <w:rPr/>
            </w:pPr>
            <w:r>
              <w:rPr>
                <w:rStyle w:val="SourceText"/>
              </w:rPr>
              <w:t>FRM-05</w:t>
            </w:r>
            <w:r>
              <w:rPr/>
              <w:t xml:space="preserve"> at severity S1; see </w:t>
            </w:r>
            <w:r>
              <w:rPr>
                <w:rStyle w:val="SourceText"/>
              </w:rPr>
              <w:t>SOP-10</w:t>
            </w:r>
            <w:r>
              <w:rPr/>
              <w:t xml:space="preserve"> §10 Example A</w:t>
            </w:r>
          </w:p>
        </w:tc>
      </w:tr>
      <w:tr>
        <w:trPr/>
        <w:tc>
          <w:tcPr>
            <w:tcW w:w="2272" w:type="dxa"/>
            <w:tcBorders/>
            <w:vAlign w:val="center"/>
          </w:tcPr>
          <w:p>
            <w:pPr>
              <w:pStyle w:val="TableContents"/>
              <w:bidi w:val="0"/>
              <w:spacing w:before="0" w:after="283"/>
              <w:jc w:val="left"/>
              <w:rPr/>
            </w:pPr>
            <w:r>
              <w:rPr/>
              <w:t>Customer material reaching any destination outside their perimeter</w:t>
            </w:r>
          </w:p>
        </w:tc>
        <w:tc>
          <w:tcPr>
            <w:tcW w:w="2567" w:type="dxa"/>
            <w:tcBorders/>
            <w:vAlign w:val="center"/>
          </w:tcPr>
          <w:p>
            <w:pPr>
              <w:pStyle w:val="TableContents"/>
              <w:bidi w:val="0"/>
              <w:spacing w:before="0" w:after="283"/>
              <w:jc w:val="left"/>
              <w:rPr/>
            </w:pPr>
            <w:r>
              <w:rPr/>
              <w:t>Immediately, with the destination, the volume and the period named</w:t>
            </w:r>
          </w:p>
        </w:tc>
        <w:tc>
          <w:tcPr>
            <w:tcW w:w="1330" w:type="dxa"/>
            <w:tcBorders/>
            <w:vAlign w:val="center"/>
          </w:tcPr>
          <w:p>
            <w:pPr>
              <w:pStyle w:val="TableContents"/>
              <w:bidi w:val="0"/>
              <w:spacing w:before="0" w:after="283"/>
              <w:jc w:val="left"/>
              <w:rPr/>
            </w:pPr>
            <w:r>
              <w:rPr>
                <w:rStyle w:val="SourceText"/>
              </w:rPr>
              <w:t>FRM-05</w:t>
            </w:r>
            <w:r>
              <w:rPr/>
              <w:t xml:space="preserve"> at severity S1</w:t>
            </w:r>
          </w:p>
        </w:tc>
      </w:tr>
      <w:tr>
        <w:trPr/>
        <w:tc>
          <w:tcPr>
            <w:tcW w:w="2272" w:type="dxa"/>
            <w:tcBorders/>
            <w:vAlign w:val="center"/>
          </w:tcPr>
          <w:p>
            <w:pPr>
              <w:pStyle w:val="TableContents"/>
              <w:bidi w:val="0"/>
              <w:spacing w:before="0" w:after="283"/>
              <w:jc w:val="left"/>
              <w:rPr/>
            </w:pPr>
            <w:r>
              <w:rPr/>
              <w:t>Uploaded material found unsuitable — for example a scanned PDF from which no text can be extracted</w:t>
            </w:r>
          </w:p>
        </w:tc>
        <w:tc>
          <w:tcPr>
            <w:tcW w:w="2567" w:type="dxa"/>
            <w:tcBorders/>
            <w:vAlign w:val="center"/>
          </w:tcPr>
          <w:p>
            <w:pPr>
              <w:pStyle w:val="TableContents"/>
              <w:bidi w:val="0"/>
              <w:spacing w:before="0" w:after="283"/>
              <w:jc w:val="left"/>
              <w:rPr/>
            </w:pPr>
            <w:r>
              <w:rPr/>
              <w:t>To the user at the point of upload; a 422 with an explanatory message is returned today (</w:t>
            </w:r>
            <w:r>
              <w:rPr>
                <w:rStyle w:val="SourceText"/>
              </w:rPr>
              <w:t>backend/app/api/routes/docs.py:168-172</w:t>
            </w:r>
            <w:r>
              <w:rPr/>
              <w:t>)</w:t>
            </w:r>
          </w:p>
        </w:tc>
        <w:tc>
          <w:tcPr>
            <w:tcW w:w="1330" w:type="dxa"/>
            <w:tcBorders/>
            <w:vAlign w:val="center"/>
          </w:tcPr>
          <w:p>
            <w:pPr>
              <w:pStyle w:val="TableContents"/>
              <w:bidi w:val="0"/>
              <w:spacing w:before="0" w:after="283"/>
              <w:jc w:val="left"/>
              <w:rPr/>
            </w:pPr>
            <w:r>
              <w:rPr/>
              <w:t>No further record required</w:t>
            </w:r>
          </w:p>
        </w:tc>
      </w:tr>
      <w:tr>
        <w:trPr/>
        <w:tc>
          <w:tcPr>
            <w:tcW w:w="2272" w:type="dxa"/>
            <w:tcBorders/>
            <w:vAlign w:val="center"/>
          </w:tcPr>
          <w:p>
            <w:pPr>
              <w:pStyle w:val="TableContents"/>
              <w:bidi w:val="0"/>
              <w:spacing w:before="0" w:after="283"/>
              <w:jc w:val="left"/>
              <w:rPr/>
            </w:pPr>
            <w:r>
              <w:rPr/>
              <w:t>Customer material handled by Ajace AI during support or customisation, and then lost or disclosed</w:t>
            </w:r>
          </w:p>
        </w:tc>
        <w:tc>
          <w:tcPr>
            <w:tcW w:w="2567" w:type="dxa"/>
            <w:tcBorders/>
            <w:vAlign w:val="center"/>
          </w:tcPr>
          <w:p>
            <w:pPr>
              <w:pStyle w:val="TableContents"/>
              <w:bidi w:val="0"/>
              <w:spacing w:before="0" w:after="283"/>
              <w:jc w:val="left"/>
              <w:rPr/>
            </w:pPr>
            <w:r>
              <w:rPr/>
              <w:t>Immediately, by the Managing Director</w:t>
            </w:r>
          </w:p>
        </w:tc>
        <w:tc>
          <w:tcPr>
            <w:tcW w:w="1330" w:type="dxa"/>
            <w:tcBorders/>
            <w:vAlign w:val="center"/>
          </w:tcPr>
          <w:p>
            <w:pPr>
              <w:pStyle w:val="TableContents"/>
              <w:bidi w:val="0"/>
              <w:spacing w:before="0" w:after="283"/>
              <w:jc w:val="left"/>
              <w:rPr/>
            </w:pPr>
            <w:r>
              <w:rPr>
                <w:rStyle w:val="SourceText"/>
              </w:rPr>
              <w:t>FRM-05</w:t>
            </w:r>
            <w:r>
              <w:rPr/>
              <w:t xml:space="preserve"> at severity S1</w:t>
            </w:r>
          </w:p>
        </w:tc>
      </w:tr>
    </w:tbl>
    <w:p>
      <w:pPr>
        <w:pStyle w:val="BodyText"/>
        <w:bidi w:val="0"/>
        <w:jc w:val="left"/>
        <w:rPr/>
      </w:pPr>
      <w:r>
        <w:rPr>
          <w:rStyle w:val="Strong"/>
        </w:rPr>
        <w:t>There is no customer-notification procedure today</w:t>
      </w:r>
      <w:r>
        <w:rPr/>
        <w:t xml:space="preserve"> — no defined recipient, timescale, content or channel. §12 states the obligation; </w:t>
      </w:r>
      <w:r>
        <w:rPr>
          <w:rStyle w:val="SourceText"/>
        </w:rPr>
        <w:t>SOP-10</w:t>
      </w:r>
      <w:r>
        <w:rPr/>
        <w:t xml:space="preserve"> §12 records the absence of the mechanism as the highest-priority gap in that procedure. The two entries describe the same missing control and must be closed together.</w:t>
      </w:r>
    </w:p>
    <w:p>
      <w:pPr>
        <w:pStyle w:val="Heading2"/>
        <w:bidi w:val="0"/>
        <w:jc w:val="left"/>
        <w:rPr/>
      </w:pPr>
      <w:r>
        <w:rPr/>
        <w:t>13. Records</w:t>
      </w:r>
    </w:p>
    <w:tbl>
      <w:tblPr>
        <w:tblW w:w="6169" w:type="dxa"/>
        <w:jc w:val="left"/>
        <w:tblInd w:w="0" w:type="dxa"/>
        <w:tblLayout w:type="fixed"/>
        <w:tblCellMar>
          <w:top w:w="28" w:type="dxa"/>
          <w:left w:w="28" w:type="dxa"/>
          <w:bottom w:w="28" w:type="dxa"/>
          <w:right w:w="28" w:type="dxa"/>
        </w:tblCellMar>
      </w:tblPr>
      <w:tblGrid>
        <w:gridCol w:w="1830"/>
        <w:gridCol w:w="3022"/>
        <w:gridCol w:w="1317"/>
      </w:tblGrid>
      <w:tr>
        <w:trPr>
          <w:tblHeader w:val="true"/>
        </w:trPr>
        <w:tc>
          <w:tcPr>
            <w:tcW w:w="1830" w:type="dxa"/>
            <w:tcBorders/>
            <w:vAlign w:val="center"/>
          </w:tcPr>
          <w:p>
            <w:pPr>
              <w:pStyle w:val="TableHeading"/>
              <w:suppressLineNumbers/>
              <w:shd w:fill="1F3A5F" w:val="clear"/>
              <w:bidi w:val="0"/>
              <w:spacing w:before="0" w:after="283"/>
              <w:jc w:val="center"/>
              <w:rPr/>
            </w:pPr>
            <w:r>
              <w:rPr/>
              <w:t>Record</w:t>
            </w:r>
          </w:p>
        </w:tc>
        <w:tc>
          <w:tcPr>
            <w:tcW w:w="3022" w:type="dxa"/>
            <w:tcBorders/>
            <w:vAlign w:val="center"/>
          </w:tcPr>
          <w:p>
            <w:pPr>
              <w:pStyle w:val="TableHeading"/>
              <w:suppressLineNumbers/>
              <w:shd w:fill="1F3A5F" w:val="clear"/>
              <w:bidi w:val="0"/>
              <w:spacing w:before="0" w:after="283"/>
              <w:jc w:val="center"/>
              <w:rPr/>
            </w:pPr>
            <w:r>
              <w:rPr/>
              <w:t>Location</w:t>
            </w:r>
          </w:p>
        </w:tc>
        <w:tc>
          <w:tcPr>
            <w:tcW w:w="1317" w:type="dxa"/>
            <w:tcBorders/>
            <w:vAlign w:val="center"/>
          </w:tcPr>
          <w:p>
            <w:pPr>
              <w:pStyle w:val="TableHeading"/>
              <w:suppressLineNumbers/>
              <w:shd w:fill="1F3A5F" w:val="clear"/>
              <w:bidi w:val="0"/>
              <w:spacing w:before="0" w:after="283"/>
              <w:jc w:val="center"/>
              <w:rPr/>
            </w:pPr>
            <w:r>
              <w:rPr/>
              <w:t>Retention</w:t>
            </w:r>
          </w:p>
        </w:tc>
      </w:tr>
      <w:tr>
        <w:trPr/>
        <w:tc>
          <w:tcPr>
            <w:tcW w:w="1830" w:type="dxa"/>
            <w:tcBorders/>
            <w:vAlign w:val="center"/>
          </w:tcPr>
          <w:p>
            <w:pPr>
              <w:pStyle w:val="TableContents"/>
              <w:bidi w:val="0"/>
              <w:spacing w:before="0" w:after="283"/>
              <w:jc w:val="left"/>
              <w:rPr/>
            </w:pPr>
            <w:r>
              <w:rPr/>
              <w:t>Customer property inventory</w:t>
            </w:r>
          </w:p>
        </w:tc>
        <w:tc>
          <w:tcPr>
            <w:tcW w:w="3022" w:type="dxa"/>
            <w:tcBorders/>
            <w:vAlign w:val="center"/>
          </w:tcPr>
          <w:p>
            <w:pPr>
              <w:pStyle w:val="TableContents"/>
              <w:bidi w:val="0"/>
              <w:spacing w:before="0" w:after="283"/>
              <w:jc w:val="left"/>
              <w:rPr/>
            </w:pPr>
            <w:r>
              <w:rPr/>
              <w:t>§5 of this document; revision history in Git</w:t>
            </w:r>
          </w:p>
        </w:tc>
        <w:tc>
          <w:tcPr>
            <w:tcW w:w="1317" w:type="dxa"/>
            <w:tcBorders/>
            <w:vAlign w:val="center"/>
          </w:tcPr>
          <w:p>
            <w:pPr>
              <w:pStyle w:val="TableContents"/>
              <w:bidi w:val="0"/>
              <w:spacing w:before="0" w:after="283"/>
              <w:jc w:val="left"/>
              <w:rPr/>
            </w:pPr>
            <w:r>
              <w:rPr/>
              <w:t>Life of the QMS + 3 years (</w:t>
            </w:r>
            <w:r>
              <w:rPr>
                <w:rStyle w:val="SourceText"/>
              </w:rPr>
              <w:t>SOP-01</w:t>
            </w:r>
            <w:r>
              <w:rPr/>
              <w:t xml:space="preserve"> §8)</w:t>
            </w:r>
          </w:p>
        </w:tc>
      </w:tr>
      <w:tr>
        <w:trPr/>
        <w:tc>
          <w:tcPr>
            <w:tcW w:w="1830" w:type="dxa"/>
            <w:tcBorders/>
            <w:vAlign w:val="center"/>
          </w:tcPr>
          <w:p>
            <w:pPr>
              <w:pStyle w:val="TableContents"/>
              <w:bidi w:val="0"/>
              <w:spacing w:before="0" w:after="283"/>
              <w:jc w:val="left"/>
              <w:rPr/>
            </w:pPr>
            <w:r>
              <w:rPr/>
              <w:t>Agreement on whether Ajace AI may access real customer material</w:t>
            </w:r>
          </w:p>
        </w:tc>
        <w:tc>
          <w:tcPr>
            <w:tcW w:w="3022" w:type="dxa"/>
            <w:tcBorders/>
            <w:vAlign w:val="center"/>
          </w:tcPr>
          <w:p>
            <w:pPr>
              <w:pStyle w:val="TableContents"/>
              <w:bidi w:val="0"/>
              <w:spacing w:before="0" w:after="283"/>
              <w:jc w:val="left"/>
              <w:rPr/>
            </w:pPr>
            <w:r>
              <w:rPr/>
              <w:t xml:space="preserve">Customer requirements record under </w:t>
            </w:r>
            <w:r>
              <w:rPr>
                <w:rStyle w:val="SourceText"/>
              </w:rPr>
              <w:t>SOP-04</w:t>
            </w:r>
          </w:p>
        </w:tc>
        <w:tc>
          <w:tcPr>
            <w:tcW w:w="1317" w:type="dxa"/>
            <w:tcBorders/>
            <w:vAlign w:val="center"/>
          </w:tcPr>
          <w:p>
            <w:pPr>
              <w:pStyle w:val="TableContents"/>
              <w:bidi w:val="0"/>
              <w:spacing w:before="0" w:after="283"/>
              <w:jc w:val="left"/>
              <w:rPr/>
            </w:pPr>
            <w:r>
              <w:rPr/>
              <w:t>Life of the contract + 3 years</w:t>
            </w:r>
          </w:p>
        </w:tc>
      </w:tr>
      <w:tr>
        <w:trPr/>
        <w:tc>
          <w:tcPr>
            <w:tcW w:w="1830" w:type="dxa"/>
            <w:tcBorders/>
            <w:vAlign w:val="center"/>
          </w:tcPr>
          <w:p>
            <w:pPr>
              <w:pStyle w:val="TableContents"/>
              <w:bidi w:val="0"/>
              <w:spacing w:before="0" w:after="283"/>
              <w:jc w:val="left"/>
              <w:rPr/>
            </w:pPr>
            <w:r>
              <w:rPr/>
              <w:t>Report of loss, damage or unsuitability of customer property</w:t>
            </w:r>
          </w:p>
        </w:tc>
        <w:tc>
          <w:tcPr>
            <w:tcW w:w="3022" w:type="dxa"/>
            <w:tcBorders/>
            <w:vAlign w:val="center"/>
          </w:tcPr>
          <w:p>
            <w:pPr>
              <w:pStyle w:val="TableContents"/>
              <w:bidi w:val="0"/>
              <w:spacing w:before="0" w:after="283"/>
              <w:jc w:val="left"/>
              <w:rPr/>
            </w:pPr>
            <w:r>
              <w:rPr>
                <w:rStyle w:val="SourceText"/>
              </w:rPr>
              <w:t>forms/FRM-05_Nonconformity_and_CAPA_Record.md</w:t>
            </w:r>
            <w:r>
              <w:rPr/>
              <w:t xml:space="preserve">, logged in </w:t>
            </w:r>
            <w:r>
              <w:rPr>
                <w:rStyle w:val="SourceText"/>
              </w:rPr>
              <w:t>registers/REG-04_Nonconformity_and_CAPA_Log.md</w:t>
            </w:r>
          </w:p>
        </w:tc>
        <w:tc>
          <w:tcPr>
            <w:tcW w:w="1317" w:type="dxa"/>
            <w:tcBorders/>
            <w:vAlign w:val="center"/>
          </w:tcPr>
          <w:p>
            <w:pPr>
              <w:pStyle w:val="TableContents"/>
              <w:bidi w:val="0"/>
              <w:spacing w:before="0" w:after="283"/>
              <w:jc w:val="left"/>
              <w:rPr/>
            </w:pPr>
            <w:r>
              <w:rPr/>
              <w:t>3 years after closure</w:t>
            </w:r>
          </w:p>
        </w:tc>
      </w:tr>
      <w:tr>
        <w:trPr/>
        <w:tc>
          <w:tcPr>
            <w:tcW w:w="1830" w:type="dxa"/>
            <w:tcBorders/>
            <w:vAlign w:val="center"/>
          </w:tcPr>
          <w:p>
            <w:pPr>
              <w:pStyle w:val="TableContents"/>
              <w:bidi w:val="0"/>
              <w:spacing w:before="0" w:after="283"/>
              <w:jc w:val="left"/>
              <w:rPr/>
            </w:pPr>
            <w:r>
              <w:rPr/>
              <w:t>Deletion performed on customer request</w:t>
            </w:r>
          </w:p>
        </w:tc>
        <w:tc>
          <w:tcPr>
            <w:tcW w:w="3022" w:type="dxa"/>
            <w:tcBorders/>
            <w:vAlign w:val="center"/>
          </w:tcPr>
          <w:p>
            <w:pPr>
              <w:pStyle w:val="TableContents"/>
              <w:bidi w:val="0"/>
              <w:spacing w:before="0" w:after="283"/>
              <w:jc w:val="left"/>
              <w:rPr/>
            </w:pPr>
            <w:r>
              <w:rPr>
                <w:rStyle w:val="SourceText"/>
              </w:rPr>
              <w:t>activity_log</w:t>
            </w:r>
            <w:r>
              <w:rPr/>
              <w:t xml:space="preserve"> table in the deployment (method, path, user, timestamp, IP) — in the customer's system, </w:t>
            </w:r>
            <w:r>
              <w:rPr>
                <w:rStyle w:val="Strong"/>
              </w:rPr>
              <w:t>not</w:t>
            </w:r>
            <w:r>
              <w:rPr/>
              <w:t xml:space="preserve"> in Git</w:t>
            </w:r>
          </w:p>
        </w:tc>
        <w:tc>
          <w:tcPr>
            <w:tcW w:w="1317" w:type="dxa"/>
            <w:tcBorders/>
            <w:vAlign w:val="center"/>
          </w:tcPr>
          <w:p>
            <w:pPr>
              <w:pStyle w:val="TableContents"/>
              <w:bidi w:val="0"/>
              <w:spacing w:before="0" w:after="283"/>
              <w:jc w:val="left"/>
              <w:rPr/>
            </w:pPr>
            <w:r>
              <w:rPr/>
              <w:t>Per the customer contract</w:t>
            </w:r>
          </w:p>
        </w:tc>
      </w:tr>
      <w:tr>
        <w:trPr/>
        <w:tc>
          <w:tcPr>
            <w:tcW w:w="1830" w:type="dxa"/>
            <w:tcBorders/>
            <w:vAlign w:val="center"/>
          </w:tcPr>
          <w:p>
            <w:pPr>
              <w:pStyle w:val="TableContents"/>
              <w:bidi w:val="0"/>
              <w:spacing w:before="0" w:after="283"/>
              <w:jc w:val="left"/>
              <w:rPr/>
            </w:pPr>
            <w:r>
              <w:rPr/>
              <w:t>Customer data held in a deployment</w:t>
            </w:r>
          </w:p>
        </w:tc>
        <w:tc>
          <w:tcPr>
            <w:tcW w:w="3022" w:type="dxa"/>
            <w:tcBorders/>
            <w:vAlign w:val="center"/>
          </w:tcPr>
          <w:p>
            <w:pPr>
              <w:pStyle w:val="TableContents"/>
              <w:bidi w:val="0"/>
              <w:spacing w:before="0" w:after="283"/>
              <w:jc w:val="left"/>
              <w:rPr/>
            </w:pPr>
            <w:r>
              <w:rPr/>
              <w:t xml:space="preserve">The </w:t>
            </w:r>
            <w:r>
              <w:rPr>
                <w:rStyle w:val="SourceText"/>
              </w:rPr>
              <w:t>echomind_data</w:t>
            </w:r>
            <w:r>
              <w:rPr/>
              <w:t xml:space="preserve"> volume on customer hardware</w:t>
            </w:r>
          </w:p>
        </w:tc>
        <w:tc>
          <w:tcPr>
            <w:tcW w:w="1317" w:type="dxa"/>
            <w:tcBorders/>
            <w:vAlign w:val="center"/>
          </w:tcPr>
          <w:p>
            <w:pPr>
              <w:pStyle w:val="TableContents"/>
              <w:bidi w:val="0"/>
              <w:spacing w:before="0" w:after="283"/>
              <w:jc w:val="left"/>
              <w:rPr/>
            </w:pPr>
            <w:r>
              <w:rPr/>
              <w:t>Per the customer contract; see §10</w:t>
            </w:r>
          </w:p>
        </w:tc>
      </w:tr>
      <w:tr>
        <w:trPr/>
        <w:tc>
          <w:tcPr>
            <w:tcW w:w="1830" w:type="dxa"/>
            <w:tcBorders/>
            <w:vAlign w:val="center"/>
          </w:tcPr>
          <w:p>
            <w:pPr>
              <w:pStyle w:val="TableContents"/>
              <w:bidi w:val="0"/>
              <w:spacing w:before="0" w:after="283"/>
              <w:jc w:val="left"/>
              <w:rPr/>
            </w:pPr>
            <w:r>
              <w:rPr/>
              <w:t>Retention and backup requirements agreed with a customer</w:t>
            </w:r>
          </w:p>
        </w:tc>
        <w:tc>
          <w:tcPr>
            <w:tcW w:w="3022" w:type="dxa"/>
            <w:tcBorders/>
            <w:vAlign w:val="center"/>
          </w:tcPr>
          <w:p>
            <w:pPr>
              <w:pStyle w:val="TableContents"/>
              <w:bidi w:val="0"/>
              <w:spacing w:before="0" w:after="283"/>
              <w:jc w:val="left"/>
              <w:rPr/>
            </w:pPr>
            <w:r>
              <w:rPr/>
              <w:t xml:space="preserve">Customer requirements record under </w:t>
            </w:r>
            <w:r>
              <w:rPr>
                <w:rStyle w:val="SourceText"/>
              </w:rPr>
              <w:t>SOP-04</w:t>
            </w:r>
          </w:p>
        </w:tc>
        <w:tc>
          <w:tcPr>
            <w:tcW w:w="1317" w:type="dxa"/>
            <w:tcBorders/>
            <w:vAlign w:val="center"/>
          </w:tcPr>
          <w:p>
            <w:pPr>
              <w:pStyle w:val="TableContents"/>
              <w:bidi w:val="0"/>
              <w:spacing w:before="0" w:after="283"/>
              <w:jc w:val="left"/>
              <w:rPr/>
            </w:pPr>
            <w:r>
              <w:rPr/>
              <w:t>Life of the contract + 3 years</w:t>
            </w:r>
          </w:p>
        </w:tc>
      </w:tr>
      <w:tr>
        <w:trPr/>
        <w:tc>
          <w:tcPr>
            <w:tcW w:w="1830" w:type="dxa"/>
            <w:tcBorders/>
            <w:vAlign w:val="center"/>
          </w:tcPr>
          <w:p>
            <w:pPr>
              <w:pStyle w:val="TableContents"/>
              <w:bidi w:val="0"/>
              <w:spacing w:before="0" w:after="283"/>
              <w:jc w:val="left"/>
              <w:rPr/>
            </w:pPr>
            <w:r>
              <w:rPr/>
              <w:t>Review of this procedure against the code</w:t>
            </w:r>
          </w:p>
        </w:tc>
        <w:tc>
          <w:tcPr>
            <w:tcW w:w="3022" w:type="dxa"/>
            <w:tcBorders/>
            <w:vAlign w:val="center"/>
          </w:tcPr>
          <w:p>
            <w:pPr>
              <w:pStyle w:val="TableContents"/>
              <w:bidi w:val="0"/>
              <w:spacing w:before="0" w:after="283"/>
              <w:jc w:val="left"/>
              <w:rPr/>
            </w:pPr>
            <w:r>
              <w:rPr/>
              <w:t xml:space="preserve">Management review minutes under </w:t>
            </w:r>
            <w:r>
              <w:rPr>
                <w:rStyle w:val="SourceText"/>
              </w:rPr>
              <w:t>SOP-15</w:t>
            </w:r>
          </w:p>
        </w:tc>
        <w:tc>
          <w:tcPr>
            <w:tcW w:w="1317" w:type="dxa"/>
            <w:tcBorders/>
            <w:vAlign w:val="center"/>
          </w:tcPr>
          <w:p>
            <w:pPr>
              <w:pStyle w:val="TableContents"/>
              <w:bidi w:val="0"/>
              <w:spacing w:before="0" w:after="283"/>
              <w:jc w:val="left"/>
              <w:rPr/>
            </w:pPr>
            <w:r>
              <w:rPr/>
              <w:t>3 years</w:t>
            </w:r>
          </w:p>
        </w:tc>
      </w:tr>
    </w:tbl>
    <w:p>
      <w:pPr>
        <w:pStyle w:val="Heading2"/>
        <w:bidi w:val="0"/>
        <w:jc w:val="left"/>
        <w:rPr/>
      </w:pPr>
      <w:r>
        <w:rPr/>
        <w:t>14. Current state and gaps</w:t>
      </w:r>
    </w:p>
    <w:p>
      <w:pPr>
        <w:pStyle w:val="BodyText"/>
        <w:bidi w:val="0"/>
        <w:jc w:val="left"/>
        <w:rPr/>
      </w:pPr>
      <w:r>
        <w:rPr>
          <w:rStyle w:val="Strong"/>
        </w:rPr>
        <w:t>Stated plainly: the platform's protection of customer property rests almost entirely on one control — it never leaves the customer's machine. That control is real, verifiable and strong. Very little else is in place, and the organisation should not claim otherwise.</w:t>
      </w:r>
    </w:p>
    <w:tbl>
      <w:tblPr>
        <w:tblW w:w="6169" w:type="dxa"/>
        <w:jc w:val="left"/>
        <w:tblInd w:w="0" w:type="dxa"/>
        <w:tblLayout w:type="fixed"/>
        <w:tblCellMar>
          <w:top w:w="28" w:type="dxa"/>
          <w:left w:w="28" w:type="dxa"/>
          <w:bottom w:w="28" w:type="dxa"/>
          <w:right w:w="28" w:type="dxa"/>
        </w:tblCellMar>
      </w:tblPr>
      <w:tblGrid>
        <w:gridCol w:w="1855"/>
        <w:gridCol w:w="2490"/>
        <w:gridCol w:w="1824"/>
      </w:tblGrid>
      <w:tr>
        <w:trPr>
          <w:tblHeader w:val="true"/>
        </w:trPr>
        <w:tc>
          <w:tcPr>
            <w:tcW w:w="1855" w:type="dxa"/>
            <w:tcBorders/>
            <w:vAlign w:val="center"/>
          </w:tcPr>
          <w:p>
            <w:pPr>
              <w:pStyle w:val="TableHeading"/>
              <w:suppressLineNumbers/>
              <w:shd w:fill="1F3A5F" w:val="clear"/>
              <w:bidi w:val="0"/>
              <w:spacing w:before="0" w:after="283"/>
              <w:jc w:val="center"/>
              <w:rPr/>
            </w:pPr>
            <w:r>
              <w:rPr/>
              <w:t>Gap</w:t>
            </w:r>
          </w:p>
        </w:tc>
        <w:tc>
          <w:tcPr>
            <w:tcW w:w="2490" w:type="dxa"/>
            <w:tcBorders/>
            <w:vAlign w:val="center"/>
          </w:tcPr>
          <w:p>
            <w:pPr>
              <w:pStyle w:val="TableHeading"/>
              <w:suppressLineNumbers/>
              <w:shd w:fill="1F3A5F" w:val="clear"/>
              <w:bidi w:val="0"/>
              <w:spacing w:before="0" w:after="283"/>
              <w:jc w:val="center"/>
              <w:rPr/>
            </w:pPr>
            <w:r>
              <w:rPr/>
              <w:t>Current state</w:t>
            </w:r>
          </w:p>
        </w:tc>
        <w:tc>
          <w:tcPr>
            <w:tcW w:w="1824" w:type="dxa"/>
            <w:tcBorders/>
            <w:vAlign w:val="center"/>
          </w:tcPr>
          <w:p>
            <w:pPr>
              <w:pStyle w:val="TableHeading"/>
              <w:suppressLineNumbers/>
              <w:shd w:fill="1F3A5F" w:val="clear"/>
              <w:bidi w:val="0"/>
              <w:spacing w:before="0" w:after="283"/>
              <w:jc w:val="center"/>
              <w:rPr/>
            </w:pPr>
            <w:r>
              <w:rPr/>
              <w:t>Consequence</w:t>
            </w:r>
          </w:p>
        </w:tc>
      </w:tr>
      <w:tr>
        <w:trPr/>
        <w:tc>
          <w:tcPr>
            <w:tcW w:w="1855" w:type="dxa"/>
            <w:tcBorders/>
            <w:vAlign w:val="center"/>
          </w:tcPr>
          <w:p>
            <w:pPr>
              <w:pStyle w:val="TableContents"/>
              <w:bidi w:val="0"/>
              <w:spacing w:before="0" w:after="283"/>
              <w:jc w:val="left"/>
              <w:rPr/>
            </w:pPr>
            <w:r>
              <w:rPr/>
              <w:t>No encryption at rest</w:t>
            </w:r>
          </w:p>
        </w:tc>
        <w:tc>
          <w:tcPr>
            <w:tcW w:w="2490" w:type="dxa"/>
            <w:tcBorders/>
            <w:vAlign w:val="center"/>
          </w:tcPr>
          <w:p>
            <w:pPr>
              <w:pStyle w:val="TableContents"/>
              <w:bidi w:val="0"/>
              <w:spacing w:before="0" w:after="283"/>
              <w:jc w:val="left"/>
              <w:rPr/>
            </w:pPr>
            <w:r>
              <w:rPr/>
              <w:t xml:space="preserve">SQLite, uploads and FAISS indexes are all plain on disk in </w:t>
            </w:r>
            <w:r>
              <w:rPr>
                <w:rStyle w:val="SourceText"/>
              </w:rPr>
              <w:t>echomind_data</w:t>
            </w:r>
            <w:r>
              <w:rPr/>
              <w:t xml:space="preserve">; nothing in </w:t>
            </w:r>
            <w:r>
              <w:rPr>
                <w:rStyle w:val="SourceText"/>
              </w:rPr>
              <w:t>docker-compose.yml</w:t>
            </w:r>
            <w:r>
              <w:rPr/>
              <w:t xml:space="preserve"> configures encryption</w:t>
            </w:r>
          </w:p>
        </w:tc>
        <w:tc>
          <w:tcPr>
            <w:tcW w:w="1824" w:type="dxa"/>
            <w:tcBorders/>
            <w:vAlign w:val="center"/>
          </w:tcPr>
          <w:p>
            <w:pPr>
              <w:pStyle w:val="TableContents"/>
              <w:bidi w:val="0"/>
              <w:spacing w:before="0" w:after="283"/>
              <w:jc w:val="left"/>
              <w:rPr/>
            </w:pPr>
            <w:r>
              <w:rPr/>
              <w:t>Host, volume or disk access exposes all customer content. The single most significant technical gap in this procedure</w:t>
            </w:r>
          </w:p>
        </w:tc>
      </w:tr>
      <w:tr>
        <w:trPr/>
        <w:tc>
          <w:tcPr>
            <w:tcW w:w="1855" w:type="dxa"/>
            <w:tcBorders/>
            <w:vAlign w:val="center"/>
          </w:tcPr>
          <w:p>
            <w:pPr>
              <w:pStyle w:val="TableContents"/>
              <w:bidi w:val="0"/>
              <w:spacing w:before="0" w:after="283"/>
              <w:jc w:val="left"/>
              <w:rPr/>
            </w:pPr>
            <w:r>
              <w:rPr/>
              <w:t>No backup of the only volume holding customer data</w:t>
            </w:r>
          </w:p>
        </w:tc>
        <w:tc>
          <w:tcPr>
            <w:tcW w:w="2490" w:type="dxa"/>
            <w:tcBorders/>
            <w:vAlign w:val="center"/>
          </w:tcPr>
          <w:p>
            <w:pPr>
              <w:pStyle w:val="TableContents"/>
              <w:bidi w:val="0"/>
              <w:spacing w:before="0" w:after="283"/>
              <w:jc w:val="left"/>
              <w:rPr/>
            </w:pPr>
            <w:r>
              <w:rPr>
                <w:rStyle w:val="SourceText"/>
              </w:rPr>
              <w:t>scripts/export_offline_bundle.sh</w:t>
            </w:r>
            <w:r>
              <w:rPr/>
              <w:t xml:space="preserve"> covers </w:t>
            </w:r>
            <w:r>
              <w:rPr>
                <w:rStyle w:val="SourceText"/>
              </w:rPr>
              <w:t>ollama_data</w:t>
            </w:r>
            <w:r>
              <w:rPr/>
              <w:t xml:space="preserve"> and </w:t>
            </w:r>
            <w:r>
              <w:rPr>
                <w:rStyle w:val="SourceText"/>
              </w:rPr>
              <w:t>trtllm_hf_cache</w:t>
            </w:r>
            <w:r>
              <w:rPr/>
              <w:t xml:space="preserve"> only; </w:t>
            </w:r>
            <w:r>
              <w:rPr>
                <w:rStyle w:val="SourceText"/>
              </w:rPr>
              <w:t>docs/USER_MANUAL.md:1158</w:t>
            </w:r>
            <w:r>
              <w:rPr/>
              <w:t xml:space="preserve"> names </w:t>
            </w:r>
            <w:r>
              <w:rPr>
                <w:rStyle w:val="SourceText"/>
              </w:rPr>
              <w:t>echomind_data</w:t>
            </w:r>
            <w:r>
              <w:rPr/>
              <w:t xml:space="preserve"> as the real priority but gives no procedure</w:t>
            </w:r>
          </w:p>
        </w:tc>
        <w:tc>
          <w:tcPr>
            <w:tcW w:w="1824" w:type="dxa"/>
            <w:tcBorders/>
            <w:vAlign w:val="center"/>
          </w:tcPr>
          <w:p>
            <w:pPr>
              <w:pStyle w:val="TableContents"/>
              <w:bidi w:val="0"/>
              <w:spacing w:before="0" w:after="283"/>
              <w:jc w:val="left"/>
              <w:rPr/>
            </w:pPr>
            <w:r>
              <w:rPr/>
              <w:t>Total, unrecoverable loss of customer data on volume loss. Highest-priority gap</w:t>
            </w:r>
          </w:p>
        </w:tc>
      </w:tr>
      <w:tr>
        <w:trPr/>
        <w:tc>
          <w:tcPr>
            <w:tcW w:w="1855" w:type="dxa"/>
            <w:tcBorders/>
            <w:vAlign w:val="center"/>
          </w:tcPr>
          <w:p>
            <w:pPr>
              <w:pStyle w:val="TableContents"/>
              <w:bidi w:val="0"/>
              <w:spacing w:before="0" w:after="283"/>
              <w:jc w:val="left"/>
              <w:rPr/>
            </w:pPr>
            <w:r>
              <w:rPr/>
              <w:t>No restore procedure and no backup verification</w:t>
            </w:r>
          </w:p>
        </w:tc>
        <w:tc>
          <w:tcPr>
            <w:tcW w:w="2490" w:type="dxa"/>
            <w:tcBorders/>
            <w:vAlign w:val="center"/>
          </w:tcPr>
          <w:p>
            <w:pPr>
              <w:pStyle w:val="TableContents"/>
              <w:bidi w:val="0"/>
              <w:spacing w:before="0" w:after="283"/>
              <w:jc w:val="left"/>
              <w:rPr/>
            </w:pPr>
            <w:r>
              <w:rPr/>
              <w:t xml:space="preserve">None exists in </w:t>
            </w:r>
            <w:r>
              <w:rPr>
                <w:rStyle w:val="SourceText"/>
              </w:rPr>
              <w:t>scripts/</w:t>
            </w:r>
            <w:r>
              <w:rPr/>
              <w:t xml:space="preserve"> or </w:t>
            </w:r>
            <w:r>
              <w:rPr>
                <w:rStyle w:val="SourceText"/>
              </w:rPr>
              <w:t>docs/</w:t>
            </w:r>
          </w:p>
        </w:tc>
        <w:tc>
          <w:tcPr>
            <w:tcW w:w="1824" w:type="dxa"/>
            <w:tcBorders/>
            <w:vAlign w:val="center"/>
          </w:tcPr>
          <w:p>
            <w:pPr>
              <w:pStyle w:val="TableContents"/>
              <w:bidi w:val="0"/>
              <w:spacing w:before="0" w:after="283"/>
              <w:jc w:val="left"/>
              <w:rPr/>
            </w:pPr>
            <w:r>
              <w:rPr/>
              <w:t>A backup that has never been restored is not a backup</w:t>
            </w:r>
          </w:p>
        </w:tc>
      </w:tr>
      <w:tr>
        <w:trPr/>
        <w:tc>
          <w:tcPr>
            <w:tcW w:w="1855" w:type="dxa"/>
            <w:tcBorders/>
            <w:vAlign w:val="center"/>
          </w:tcPr>
          <w:p>
            <w:pPr>
              <w:pStyle w:val="TableContents"/>
              <w:bidi w:val="0"/>
              <w:spacing w:before="0" w:after="283"/>
              <w:jc w:val="left"/>
              <w:rPr/>
            </w:pPr>
            <w:r>
              <w:rPr/>
              <w:t>No retention policy</w:t>
            </w:r>
          </w:p>
        </w:tc>
        <w:tc>
          <w:tcPr>
            <w:tcW w:w="2490" w:type="dxa"/>
            <w:tcBorders/>
            <w:vAlign w:val="center"/>
          </w:tcPr>
          <w:p>
            <w:pPr>
              <w:pStyle w:val="TableContents"/>
              <w:bidi w:val="0"/>
              <w:spacing w:before="0" w:after="283"/>
              <w:jc w:val="left"/>
              <w:rPr/>
            </w:pPr>
            <w:r>
              <w:rPr/>
              <w:t>§10</w:t>
            </w:r>
          </w:p>
        </w:tc>
        <w:tc>
          <w:tcPr>
            <w:tcW w:w="1824" w:type="dxa"/>
            <w:tcBorders/>
            <w:vAlign w:val="center"/>
          </w:tcPr>
          <w:p>
            <w:pPr>
              <w:pStyle w:val="TableContents"/>
              <w:bidi w:val="0"/>
              <w:spacing w:before="0" w:after="283"/>
              <w:jc w:val="left"/>
              <w:rPr/>
            </w:pPr>
            <w:r>
              <w:rPr/>
              <w:t>Everything is kept for ever, including material auto-accumulated without a user decision</w:t>
            </w:r>
          </w:p>
        </w:tc>
      </w:tr>
      <w:tr>
        <w:trPr/>
        <w:tc>
          <w:tcPr>
            <w:tcW w:w="1855" w:type="dxa"/>
            <w:tcBorders/>
            <w:vAlign w:val="center"/>
          </w:tcPr>
          <w:p>
            <w:pPr>
              <w:pStyle w:val="TableContents"/>
              <w:bidi w:val="0"/>
              <w:spacing w:before="0" w:after="283"/>
              <w:jc w:val="left"/>
              <w:rPr/>
            </w:pPr>
            <w:r>
              <w:rPr/>
              <w:t>No data-subject-request or bulk-erasure process</w:t>
            </w:r>
          </w:p>
        </w:tc>
        <w:tc>
          <w:tcPr>
            <w:tcW w:w="2490" w:type="dxa"/>
            <w:tcBorders/>
            <w:vAlign w:val="center"/>
          </w:tcPr>
          <w:p>
            <w:pPr>
              <w:pStyle w:val="TableContents"/>
              <w:bidi w:val="0"/>
              <w:spacing w:before="0" w:after="283"/>
              <w:jc w:val="left"/>
              <w:rPr/>
            </w:pPr>
            <w:r>
              <w:rPr/>
              <w:t>Deletion is per-object and manual (§9)</w:t>
            </w:r>
          </w:p>
        </w:tc>
        <w:tc>
          <w:tcPr>
            <w:tcW w:w="1824" w:type="dxa"/>
            <w:tcBorders/>
            <w:vAlign w:val="center"/>
          </w:tcPr>
          <w:p>
            <w:pPr>
              <w:pStyle w:val="TableContents"/>
              <w:bidi w:val="0"/>
              <w:spacing w:before="0" w:after="283"/>
              <w:jc w:val="left"/>
              <w:rPr/>
            </w:pPr>
            <w:r>
              <w:rPr/>
              <w:t>A customer cannot demonstrate erasure to their own regulator using the platform alone</w:t>
            </w:r>
          </w:p>
        </w:tc>
      </w:tr>
      <w:tr>
        <w:trPr/>
        <w:tc>
          <w:tcPr>
            <w:tcW w:w="1855" w:type="dxa"/>
            <w:tcBorders/>
            <w:vAlign w:val="center"/>
          </w:tcPr>
          <w:p>
            <w:pPr>
              <w:pStyle w:val="TableContents"/>
              <w:bidi w:val="0"/>
              <w:spacing w:before="0" w:after="283"/>
              <w:jc w:val="left"/>
              <w:rPr/>
            </w:pPr>
            <w:r>
              <w:rPr>
                <w:rStyle w:val="SourceText"/>
              </w:rPr>
              <w:t>activity_log</w:t>
            </w:r>
            <w:r>
              <w:rPr/>
              <w:t xml:space="preserve"> has no deletion or pruning path</w:t>
            </w:r>
          </w:p>
        </w:tc>
        <w:tc>
          <w:tcPr>
            <w:tcW w:w="2490" w:type="dxa"/>
            <w:tcBorders/>
            <w:vAlign w:val="center"/>
          </w:tcPr>
          <w:p>
            <w:pPr>
              <w:pStyle w:val="TableContents"/>
              <w:bidi w:val="0"/>
              <w:spacing w:before="0" w:after="283"/>
              <w:jc w:val="left"/>
              <w:rPr/>
            </w:pPr>
            <w:r>
              <w:rPr/>
              <w:t>No endpoint and no scheduled task touches it (</w:t>
            </w:r>
            <w:r>
              <w:rPr>
                <w:rStyle w:val="SourceText"/>
              </w:rPr>
              <w:t>backend/app/core/db.py:17</w:t>
            </w:r>
            <w:r>
              <w:rPr/>
              <w:t xml:space="preserve">; </w:t>
            </w:r>
            <w:r>
              <w:rPr>
                <w:rStyle w:val="SourceText"/>
              </w:rPr>
              <w:t>backend/app/core/audit.py</w:t>
            </w:r>
            <w:r>
              <w:rPr/>
              <w:t>)</w:t>
            </w:r>
          </w:p>
        </w:tc>
        <w:tc>
          <w:tcPr>
            <w:tcW w:w="1824" w:type="dxa"/>
            <w:tcBorders/>
            <w:vAlign w:val="center"/>
          </w:tcPr>
          <w:p>
            <w:pPr>
              <w:pStyle w:val="TableContents"/>
              <w:bidi w:val="0"/>
              <w:spacing w:before="0" w:after="283"/>
              <w:jc w:val="left"/>
              <w:rPr/>
            </w:pPr>
            <w:r>
              <w:rPr/>
              <w:t>Usernames and IP addresses accumulate indefinitely with no way to remove them</w:t>
            </w:r>
          </w:p>
        </w:tc>
      </w:tr>
      <w:tr>
        <w:trPr/>
        <w:tc>
          <w:tcPr>
            <w:tcW w:w="1855" w:type="dxa"/>
            <w:tcBorders/>
            <w:vAlign w:val="center"/>
          </w:tcPr>
          <w:p>
            <w:pPr>
              <w:pStyle w:val="TableContents"/>
              <w:bidi w:val="0"/>
              <w:spacing w:before="0" w:after="283"/>
              <w:jc w:val="left"/>
              <w:rPr/>
            </w:pPr>
            <w:r>
              <w:rPr/>
              <w:t>Tenant boundary conditional on an off-by-default setting</w:t>
            </w:r>
          </w:p>
        </w:tc>
        <w:tc>
          <w:tcPr>
            <w:tcW w:w="2490" w:type="dxa"/>
            <w:tcBorders/>
            <w:vAlign w:val="center"/>
          </w:tcPr>
          <w:p>
            <w:pPr>
              <w:pStyle w:val="TableContents"/>
              <w:bidi w:val="0"/>
              <w:spacing w:before="0" w:after="283"/>
              <w:jc w:val="left"/>
              <w:rPr/>
            </w:pPr>
            <w:r>
              <w:rPr>
                <w:rStyle w:val="SourceText"/>
              </w:rPr>
              <w:t>_effective_ns</w:t>
            </w:r>
            <w:r>
              <w:rPr/>
              <w:t xml:space="preserve"> applies only when </w:t>
            </w:r>
            <w:r>
              <w:rPr>
                <w:rStyle w:val="SourceText"/>
              </w:rPr>
              <w:t>AUTH_ENABLED</w:t>
            </w:r>
            <w:r>
              <w:rPr/>
              <w:t xml:space="preserve"> is true (</w:t>
            </w:r>
            <w:r>
              <w:rPr>
                <w:rStyle w:val="SourceText"/>
              </w:rPr>
              <w:t>backend/app/api/routes/chat.py:25-33</w:t>
            </w:r>
            <w:r>
              <w:rPr/>
              <w:t xml:space="preserve">); default is </w:t>
            </w:r>
            <w:r>
              <w:rPr>
                <w:rStyle w:val="SourceText"/>
              </w:rPr>
              <w:t>0</w:t>
            </w:r>
          </w:p>
        </w:tc>
        <w:tc>
          <w:tcPr>
            <w:tcW w:w="1824" w:type="dxa"/>
            <w:tcBorders/>
            <w:vAlign w:val="center"/>
          </w:tcPr>
          <w:p>
            <w:pPr>
              <w:pStyle w:val="TableContents"/>
              <w:bidi w:val="0"/>
              <w:spacing w:before="0" w:after="283"/>
              <w:jc w:val="left"/>
              <w:rPr/>
            </w:pPr>
            <w:r>
              <w:rPr/>
              <w:t>In the default configuration, namespace is a partition and not a security boundary. Must be stated in writing to every customer</w:t>
            </w:r>
          </w:p>
        </w:tc>
      </w:tr>
      <w:tr>
        <w:trPr/>
        <w:tc>
          <w:tcPr>
            <w:tcW w:w="1855" w:type="dxa"/>
            <w:tcBorders/>
            <w:vAlign w:val="center"/>
          </w:tcPr>
          <w:p>
            <w:pPr>
              <w:pStyle w:val="TableContents"/>
              <w:bidi w:val="0"/>
              <w:spacing w:before="0" w:after="283"/>
              <w:jc w:val="left"/>
              <w:rPr/>
            </w:pPr>
            <w:r>
              <w:rPr/>
              <w:t>WebSocket endpoints not covered by the HTTP auth guard</w:t>
            </w:r>
          </w:p>
        </w:tc>
        <w:tc>
          <w:tcPr>
            <w:tcW w:w="2490" w:type="dxa"/>
            <w:tcBorders/>
            <w:vAlign w:val="center"/>
          </w:tcPr>
          <w:p>
            <w:pPr>
              <w:pStyle w:val="TableContents"/>
              <w:bidi w:val="0"/>
              <w:spacing w:before="0" w:after="283"/>
              <w:jc w:val="left"/>
              <w:rPr/>
            </w:pPr>
            <w:r>
              <w:rPr>
                <w:rStyle w:val="SourceText"/>
              </w:rPr>
              <w:t>backend/app/main.py:135,138-147</w:t>
            </w:r>
          </w:p>
        </w:tc>
        <w:tc>
          <w:tcPr>
            <w:tcW w:w="1824" w:type="dxa"/>
            <w:tcBorders/>
            <w:vAlign w:val="center"/>
          </w:tcPr>
          <w:p>
            <w:pPr>
              <w:pStyle w:val="TableContents"/>
              <w:bidi w:val="0"/>
              <w:spacing w:before="0" w:after="283"/>
              <w:jc w:val="left"/>
              <w:rPr/>
            </w:pPr>
            <w:r>
              <w:rPr/>
              <w:t>Live transcription is reachable without the HTTP session check even when auth is on</w:t>
            </w:r>
          </w:p>
        </w:tc>
      </w:tr>
      <w:tr>
        <w:trPr/>
        <w:tc>
          <w:tcPr>
            <w:tcW w:w="1855" w:type="dxa"/>
            <w:tcBorders/>
            <w:vAlign w:val="center"/>
          </w:tcPr>
          <w:p>
            <w:pPr>
              <w:pStyle w:val="TableContents"/>
              <w:bidi w:val="0"/>
              <w:spacing w:before="0" w:after="283"/>
              <w:jc w:val="left"/>
              <w:rPr/>
            </w:pPr>
            <w:r>
              <w:rPr/>
              <w:t>Wildcard CORS and no rate limiting by default</w:t>
            </w:r>
          </w:p>
        </w:tc>
        <w:tc>
          <w:tcPr>
            <w:tcW w:w="2490" w:type="dxa"/>
            <w:tcBorders/>
            <w:vAlign w:val="center"/>
          </w:tcPr>
          <w:p>
            <w:pPr>
              <w:pStyle w:val="TableContents"/>
              <w:bidi w:val="0"/>
              <w:spacing w:before="0" w:after="283"/>
              <w:jc w:val="left"/>
              <w:rPr/>
            </w:pPr>
            <w:r>
              <w:rPr>
                <w:rStyle w:val="SourceText"/>
              </w:rPr>
              <w:t>backend/app/core/config.py:235,236</w:t>
            </w:r>
          </w:p>
        </w:tc>
        <w:tc>
          <w:tcPr>
            <w:tcW w:w="1824" w:type="dxa"/>
            <w:tcBorders/>
            <w:vAlign w:val="center"/>
          </w:tcPr>
          <w:p>
            <w:pPr>
              <w:pStyle w:val="TableContents"/>
              <w:bidi w:val="0"/>
              <w:spacing w:before="0" w:after="283"/>
              <w:jc w:val="left"/>
              <w:rPr/>
            </w:pPr>
            <w:r>
              <w:rPr/>
              <w:t>Bulk extraction is unimpeded on a network-reachable deployment</w:t>
            </w:r>
          </w:p>
        </w:tc>
      </w:tr>
      <w:tr>
        <w:trPr/>
        <w:tc>
          <w:tcPr>
            <w:tcW w:w="1855" w:type="dxa"/>
            <w:tcBorders/>
            <w:vAlign w:val="center"/>
          </w:tcPr>
          <w:p>
            <w:pPr>
              <w:pStyle w:val="TableContents"/>
              <w:bidi w:val="0"/>
              <w:spacing w:before="0" w:after="283"/>
              <w:jc w:val="left"/>
              <w:rPr/>
            </w:pPr>
            <w:r>
              <w:rPr/>
              <w:t>Activity log is best-effort</w:t>
            </w:r>
          </w:p>
        </w:tc>
        <w:tc>
          <w:tcPr>
            <w:tcW w:w="2490" w:type="dxa"/>
            <w:tcBorders/>
            <w:vAlign w:val="center"/>
          </w:tcPr>
          <w:p>
            <w:pPr>
              <w:pStyle w:val="TableContents"/>
              <w:bidi w:val="0"/>
              <w:spacing w:before="0" w:after="283"/>
              <w:jc w:val="left"/>
              <w:rPr/>
            </w:pPr>
            <w:r>
              <w:rPr>
                <w:rStyle w:val="SourceText"/>
              </w:rPr>
              <w:t>backend/app/main.py:161-162</w:t>
            </w:r>
            <w:r>
              <w:rPr/>
              <w:t xml:space="preserve">; </w:t>
            </w:r>
            <w:r>
              <w:rPr>
                <w:rStyle w:val="SourceText"/>
              </w:rPr>
              <w:t>backend/app/core/audit.py:21-22</w:t>
            </w:r>
          </w:p>
        </w:tc>
        <w:tc>
          <w:tcPr>
            <w:tcW w:w="1824" w:type="dxa"/>
            <w:tcBorders/>
            <w:vAlign w:val="center"/>
          </w:tcPr>
          <w:p>
            <w:pPr>
              <w:pStyle w:val="TableContents"/>
              <w:bidi w:val="0"/>
              <w:spacing w:before="0" w:after="283"/>
              <w:jc w:val="left"/>
              <w:rPr/>
            </w:pPr>
            <w:r>
              <w:rPr/>
              <w:t>The audit trail cannot be asserted to be complete</w:t>
            </w:r>
          </w:p>
        </w:tc>
      </w:tr>
      <w:tr>
        <w:trPr/>
        <w:tc>
          <w:tcPr>
            <w:tcW w:w="1855" w:type="dxa"/>
            <w:tcBorders/>
            <w:vAlign w:val="center"/>
          </w:tcPr>
          <w:p>
            <w:pPr>
              <w:pStyle w:val="TableContents"/>
              <w:bidi w:val="0"/>
              <w:spacing w:before="0" w:after="283"/>
              <w:jc w:val="left"/>
              <w:rPr/>
            </w:pPr>
            <w:r>
              <w:rPr/>
              <w:t>No customer-notification procedure</w:t>
            </w:r>
          </w:p>
        </w:tc>
        <w:tc>
          <w:tcPr>
            <w:tcW w:w="2490" w:type="dxa"/>
            <w:tcBorders/>
            <w:vAlign w:val="center"/>
          </w:tcPr>
          <w:p>
            <w:pPr>
              <w:pStyle w:val="TableContents"/>
              <w:bidi w:val="0"/>
              <w:spacing w:before="0" w:after="283"/>
              <w:jc w:val="left"/>
              <w:rPr/>
            </w:pPr>
            <w:r>
              <w:rPr/>
              <w:t>§12</w:t>
            </w:r>
          </w:p>
        </w:tc>
        <w:tc>
          <w:tcPr>
            <w:tcW w:w="1824" w:type="dxa"/>
            <w:tcBorders/>
            <w:vAlign w:val="center"/>
          </w:tcPr>
          <w:p>
            <w:pPr>
              <w:pStyle w:val="TableContents"/>
              <w:bidi w:val="0"/>
              <w:spacing w:before="0" w:after="283"/>
              <w:jc w:val="left"/>
              <w:rPr/>
            </w:pPr>
            <w:r>
              <w:rPr/>
              <w:t>The 8.5.3 reporting obligation has no mechanism behind it</w:t>
            </w:r>
          </w:p>
        </w:tc>
      </w:tr>
      <w:tr>
        <w:trPr/>
        <w:tc>
          <w:tcPr>
            <w:tcW w:w="1855" w:type="dxa"/>
            <w:tcBorders/>
            <w:vAlign w:val="center"/>
          </w:tcPr>
          <w:p>
            <w:pPr>
              <w:pStyle w:val="TableContents"/>
              <w:bidi w:val="0"/>
              <w:spacing w:before="0" w:after="283"/>
              <w:jc w:val="left"/>
              <w:rPr/>
            </w:pPr>
            <w:r>
              <w:rPr/>
              <w:t>Unbounded knowledge-base growth from auto-stored transcripts</w:t>
            </w:r>
          </w:p>
        </w:tc>
        <w:tc>
          <w:tcPr>
            <w:tcW w:w="2490" w:type="dxa"/>
            <w:tcBorders/>
            <w:vAlign w:val="center"/>
          </w:tcPr>
          <w:p>
            <w:pPr>
              <w:pStyle w:val="TableContents"/>
              <w:bidi w:val="0"/>
              <w:spacing w:before="0" w:after="283"/>
              <w:jc w:val="left"/>
              <w:rPr/>
            </w:pPr>
            <w:r>
              <w:rPr>
                <w:rStyle w:val="SourceText"/>
              </w:rPr>
              <w:t>AUTO_STORE_INTERVAL_SEC</w:t>
            </w:r>
            <w:r>
              <w:rPr/>
              <w:t xml:space="preserve"> 60 (</w:t>
            </w:r>
            <w:r>
              <w:rPr>
                <w:rStyle w:val="SourceText"/>
              </w:rPr>
              <w:t>backend/app/core/config.py:95</w:t>
            </w:r>
            <w:r>
              <w:rPr/>
              <w:t xml:space="preserve">); </w:t>
            </w:r>
            <w:r>
              <w:rPr>
                <w:rStyle w:val="SourceText"/>
              </w:rPr>
              <w:t>eval/paper/results/SUMMARY.json</w:t>
            </w:r>
            <w:r>
              <w:rPr/>
              <w:t xml:space="preserve"> E2 records 421 content chunks of 17,514</w:t>
            </w:r>
          </w:p>
        </w:tc>
        <w:tc>
          <w:tcPr>
            <w:tcW w:w="1824" w:type="dxa"/>
            <w:tcBorders/>
            <w:vAlign w:val="center"/>
          </w:tcPr>
          <w:p>
            <w:pPr>
              <w:pStyle w:val="TableContents"/>
              <w:bidi w:val="0"/>
              <w:spacing w:before="0" w:after="283"/>
              <w:jc w:val="left"/>
              <w:rPr/>
            </w:pPr>
            <w:r>
              <w:rPr/>
              <w:t>Retention, storage and retrieval quality all degrade together</w:t>
            </w:r>
          </w:p>
        </w:tc>
      </w:tr>
      <w:tr>
        <w:trPr/>
        <w:tc>
          <w:tcPr>
            <w:tcW w:w="1855" w:type="dxa"/>
            <w:tcBorders/>
            <w:vAlign w:val="center"/>
          </w:tcPr>
          <w:p>
            <w:pPr>
              <w:pStyle w:val="TableContents"/>
              <w:bidi w:val="0"/>
              <w:spacing w:before="0" w:after="283"/>
              <w:jc w:val="left"/>
              <w:rPr/>
            </w:pPr>
            <w:r>
              <w:rPr/>
              <w:t>Stale security statements in shipped files</w:t>
            </w:r>
          </w:p>
        </w:tc>
        <w:tc>
          <w:tcPr>
            <w:tcW w:w="2490" w:type="dxa"/>
            <w:tcBorders/>
            <w:vAlign w:val="center"/>
          </w:tcPr>
          <w:p>
            <w:pPr>
              <w:pStyle w:val="TableContents"/>
              <w:bidi w:val="0"/>
              <w:spacing w:before="0" w:after="283"/>
              <w:jc w:val="left"/>
              <w:rPr/>
            </w:pPr>
            <w:r>
              <w:rPr>
                <w:rStyle w:val="SourceText"/>
              </w:rPr>
              <w:t>docker-compose.yml:221</w:t>
            </w:r>
            <w:r>
              <w:rPr/>
              <w:t xml:space="preserve"> and </w:t>
            </w:r>
            <w:r>
              <w:rPr>
                <w:rStyle w:val="SourceText"/>
              </w:rPr>
              <w:t>docs/PUBLIC_DEPLOYMENT.md:5</w:t>
            </w:r>
            <w:r>
              <w:rPr/>
              <w:t xml:space="preserve"> contradict </w:t>
            </w:r>
            <w:r>
              <w:rPr>
                <w:rStyle w:val="SourceText"/>
              </w:rPr>
              <w:t>README.md:133</w:t>
            </w:r>
          </w:p>
        </w:tc>
        <w:tc>
          <w:tcPr>
            <w:tcW w:w="1824" w:type="dxa"/>
            <w:tcBorders/>
            <w:vAlign w:val="center"/>
          </w:tcPr>
          <w:p>
            <w:pPr>
              <w:pStyle w:val="TableContents"/>
              <w:bidi w:val="0"/>
              <w:spacing w:before="0" w:after="283"/>
              <w:jc w:val="left"/>
              <w:rPr/>
            </w:pPr>
            <w:r>
              <w:rPr/>
              <w:t>An operator may under- or over-estimate the protection in place</w:t>
            </w:r>
          </w:p>
        </w:tc>
      </w:tr>
    </w:tbl>
    <w:p>
      <w:pPr>
        <w:pStyle w:val="BodyText"/>
        <w:bidi w:val="0"/>
        <w:spacing w:before="0" w:after="283"/>
        <w:jc w:val="left"/>
        <w:rPr/>
      </w:pPr>
      <w:r>
        <w:rPr/>
        <w:t xml:space="preserve">Each gap above is carried into </w:t>
      </w:r>
      <w:r>
        <w:rPr>
          <w:rStyle w:val="SourceText"/>
        </w:rPr>
        <w:t>registers/REG-03_Risk_Register.md</w:t>
      </w:r>
      <w:r>
        <w:rPr/>
        <w:t xml:space="preserve"> with a score, and into </w:t>
      </w:r>
      <w:r>
        <w:rPr>
          <w:rStyle w:val="SourceText"/>
        </w:rPr>
        <w:t>ISO9001_Gap_Analysis.md</w:t>
      </w:r>
      <w:r>
        <w:rPr/>
        <w:t>.</w:t>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Noto Sans">
    <w:charset w:val="01"/>
    <w:family w:val="auto"/>
    <w:pitch w:val="variable"/>
  </w:font>
  <w:font w:name="Consolas">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1"/>
      <w:szCs w:val="21"/>
      <w:lang w:val="en-US" w:eastAsia="zh-CN" w:bidi="hi-IN"/>
    </w:rPr>
  </w:style>
  <w:style w:type="paragraph" w:styleId="Heading1">
    <w:name w:val="Heading 1"/>
    <w:basedOn w:val="Heading"/>
    <w:next w:val="BodyText"/>
    <w:qFormat/>
    <w:pPr/>
    <w:rPr>
      <w:rFonts w:ascii="Noto Sans" w:hAnsi="Noto Sans"/>
      <w:b/>
      <w:bCs/>
      <w:color w:val="1F3A5F"/>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Lohit Devanagari"/>
      <w:b/>
      <w:bCs/>
      <w:sz w:val="36"/>
      <w:szCs w:val="3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 w:hAnsi="Consolas" w:eastAsia="Consolas" w:cs="Consolas"/>
    </w:rPr>
  </w:style>
  <w:style w:type="character" w:styleId="Strong">
    <w:name w:val="Strong"/>
    <w:qFormat/>
    <w:rPr>
      <w:b/>
      <w:bCs/>
    </w:rPr>
  </w:style>
  <w:style w:type="character" w:styleId="Emphasis">
    <w:name w:val="Emphasis"/>
    <w:qFormat/>
    <w:rPr>
      <w:i/>
      <w:i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A5F" w:val="clear"/>
      <w:jc w:val="center"/>
    </w:pPr>
    <w:rPr>
      <w:b/>
      <w:bCs/>
      <w:color w:val="FFFFFF"/>
      <w:sz w:val="18"/>
      <w:szCs w:val="18"/>
    </w:rPr>
  </w:style>
  <w:style w:type="paragraph" w:styleId="BlockQuotation">
    <w:name w:val="Block Quotation"/>
    <w:basedOn w:val="Normal"/>
    <w:qFormat/>
    <w:pPr>
      <w:spacing w:before="0"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LibreOffice/24.2.7.2$Linux_AARCH64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