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SOP-12 — Monitoring, Measurement and Analysis</w:t>
      </w:r>
    </w:p>
    <w:tbl>
      <w:tblPr>
        <w:tblW w:w="5552" w:type="dxa"/>
        <w:jc w:val="left"/>
        <w:tblInd w:w="0" w:type="dxa"/>
        <w:tblLayout w:type="fixed"/>
        <w:tblCellMar>
          <w:top w:w="28" w:type="dxa"/>
          <w:left w:w="28" w:type="dxa"/>
          <w:bottom w:w="28" w:type="dxa"/>
          <w:right w:w="28" w:type="dxa"/>
        </w:tblCellMar>
      </w:tblPr>
      <w:tblGrid>
        <w:gridCol w:w="1951"/>
        <w:gridCol w:w="3601"/>
      </w:tblGrid>
      <w:tr>
        <w:trPr>
          <w:tblHeader w:val="true"/>
        </w:trPr>
        <w:tc>
          <w:tcPr>
            <w:tcW w:w="1951" w:type="dxa"/>
            <w:tcBorders/>
            <w:vAlign w:val="center"/>
          </w:tcPr>
          <w:p>
            <w:pPr>
              <w:pStyle w:val="TableHeading"/>
              <w:suppressLineNumbers/>
              <w:shd w:fill="1F3A5F" w:val="clear"/>
              <w:bidi w:val="0"/>
              <w:spacing w:before="0" w:after="283"/>
              <w:jc w:val="center"/>
              <w:rPr/>
            </w:pPr>
            <w:r>
              <w:rPr/>
              <w:t>Field</w:t>
            </w:r>
          </w:p>
        </w:tc>
        <w:tc>
          <w:tcPr>
            <w:tcW w:w="3601" w:type="dxa"/>
            <w:tcBorders/>
            <w:vAlign w:val="center"/>
          </w:tcPr>
          <w:p>
            <w:pPr>
              <w:pStyle w:val="TableHeading"/>
              <w:suppressLineNumbers/>
              <w:shd w:fill="1F3A5F" w:val="clear"/>
              <w:bidi w:val="0"/>
              <w:spacing w:before="0" w:after="283"/>
              <w:jc w:val="center"/>
              <w:rPr/>
            </w:pPr>
            <w:r>
              <w:rPr/>
              <w:t>Value</w:t>
            </w:r>
          </w:p>
        </w:tc>
      </w:tr>
      <w:tr>
        <w:trPr/>
        <w:tc>
          <w:tcPr>
            <w:tcW w:w="1951" w:type="dxa"/>
            <w:tcBorders/>
            <w:vAlign w:val="center"/>
          </w:tcPr>
          <w:p>
            <w:pPr>
              <w:pStyle w:val="TableContents"/>
              <w:bidi w:val="0"/>
              <w:spacing w:before="0" w:after="283"/>
              <w:jc w:val="left"/>
              <w:rPr/>
            </w:pPr>
            <w:r>
              <w:rPr/>
              <w:t>Document ID</w:t>
            </w:r>
          </w:p>
        </w:tc>
        <w:tc>
          <w:tcPr>
            <w:tcW w:w="3601" w:type="dxa"/>
            <w:tcBorders/>
            <w:vAlign w:val="center"/>
          </w:tcPr>
          <w:p>
            <w:pPr>
              <w:pStyle w:val="TableContents"/>
              <w:bidi w:val="0"/>
              <w:spacing w:before="0" w:after="283"/>
              <w:jc w:val="left"/>
              <w:rPr/>
            </w:pPr>
            <w:r>
              <w:rPr/>
              <w:t>SOP-12</w:t>
            </w:r>
          </w:p>
        </w:tc>
      </w:tr>
      <w:tr>
        <w:trPr/>
        <w:tc>
          <w:tcPr>
            <w:tcW w:w="1951" w:type="dxa"/>
            <w:tcBorders/>
            <w:vAlign w:val="center"/>
          </w:tcPr>
          <w:p>
            <w:pPr>
              <w:pStyle w:val="TableContents"/>
              <w:bidi w:val="0"/>
              <w:spacing w:before="0" w:after="283"/>
              <w:jc w:val="left"/>
              <w:rPr/>
            </w:pPr>
            <w:r>
              <w:rPr/>
              <w:t>Revision</w:t>
            </w:r>
          </w:p>
        </w:tc>
        <w:tc>
          <w:tcPr>
            <w:tcW w:w="3601" w:type="dxa"/>
            <w:tcBorders/>
            <w:vAlign w:val="center"/>
          </w:tcPr>
          <w:p>
            <w:pPr>
              <w:pStyle w:val="TableContents"/>
              <w:bidi w:val="0"/>
              <w:spacing w:before="0" w:after="283"/>
              <w:jc w:val="left"/>
              <w:rPr/>
            </w:pPr>
            <w:r>
              <w:rPr/>
              <w:t>1.0</w:t>
            </w:r>
          </w:p>
        </w:tc>
      </w:tr>
      <w:tr>
        <w:trPr/>
        <w:tc>
          <w:tcPr>
            <w:tcW w:w="1951" w:type="dxa"/>
            <w:tcBorders/>
            <w:vAlign w:val="center"/>
          </w:tcPr>
          <w:p>
            <w:pPr>
              <w:pStyle w:val="TableContents"/>
              <w:bidi w:val="0"/>
              <w:spacing w:before="0" w:after="283"/>
              <w:jc w:val="left"/>
              <w:rPr/>
            </w:pPr>
            <w:r>
              <w:rPr/>
              <w:t>Status</w:t>
            </w:r>
          </w:p>
        </w:tc>
        <w:tc>
          <w:tcPr>
            <w:tcW w:w="3601" w:type="dxa"/>
            <w:tcBorders/>
            <w:vAlign w:val="center"/>
          </w:tcPr>
          <w:p>
            <w:pPr>
              <w:pStyle w:val="TableContents"/>
              <w:bidi w:val="0"/>
              <w:spacing w:before="0" w:after="283"/>
              <w:jc w:val="left"/>
              <w:rPr/>
            </w:pPr>
            <w:r>
              <w:rPr>
                <w:rStyle w:val="Strong"/>
              </w:rPr>
              <w:t>DRAFT — not yet approved</w:t>
            </w:r>
          </w:p>
        </w:tc>
      </w:tr>
      <w:tr>
        <w:trPr/>
        <w:tc>
          <w:tcPr>
            <w:tcW w:w="1951" w:type="dxa"/>
            <w:tcBorders/>
            <w:vAlign w:val="center"/>
          </w:tcPr>
          <w:p>
            <w:pPr>
              <w:pStyle w:val="TableContents"/>
              <w:bidi w:val="0"/>
              <w:spacing w:before="0" w:after="283"/>
              <w:jc w:val="left"/>
              <w:rPr/>
            </w:pPr>
            <w:r>
              <w:rPr/>
              <w:t>Owner</w:t>
            </w:r>
          </w:p>
        </w:tc>
        <w:tc>
          <w:tcPr>
            <w:tcW w:w="3601" w:type="dxa"/>
            <w:tcBorders/>
            <w:vAlign w:val="center"/>
          </w:tcPr>
          <w:p>
            <w:pPr>
              <w:pStyle w:val="TableContents"/>
              <w:bidi w:val="0"/>
              <w:spacing w:before="0" w:after="283"/>
              <w:jc w:val="left"/>
              <w:rPr/>
            </w:pPr>
            <w:r>
              <w:rPr/>
              <w:t>Lead Engineer</w:t>
            </w:r>
          </w:p>
        </w:tc>
      </w:tr>
      <w:tr>
        <w:trPr/>
        <w:tc>
          <w:tcPr>
            <w:tcW w:w="1951" w:type="dxa"/>
            <w:tcBorders/>
            <w:vAlign w:val="center"/>
          </w:tcPr>
          <w:p>
            <w:pPr>
              <w:pStyle w:val="TableContents"/>
              <w:bidi w:val="0"/>
              <w:spacing w:before="0" w:after="283"/>
              <w:jc w:val="left"/>
              <w:rPr/>
            </w:pPr>
            <w:r>
              <w:rPr/>
              <w:t>Approved by</w:t>
            </w:r>
          </w:p>
        </w:tc>
        <w:tc>
          <w:tcPr>
            <w:tcW w:w="3601" w:type="dxa"/>
            <w:tcBorders/>
            <w:vAlign w:val="center"/>
          </w:tcPr>
          <w:p>
            <w:pPr>
              <w:pStyle w:val="TableContents"/>
              <w:bidi w:val="0"/>
              <w:spacing w:before="0" w:after="283"/>
              <w:jc w:val="left"/>
              <w:rPr/>
            </w:pPr>
            <w:r>
              <w:rPr>
                <w:rStyle w:val="SourceText"/>
              </w:rPr>
              <w:t>________________________</w:t>
            </w:r>
          </w:p>
        </w:tc>
      </w:tr>
      <w:tr>
        <w:trPr/>
        <w:tc>
          <w:tcPr>
            <w:tcW w:w="1951" w:type="dxa"/>
            <w:tcBorders/>
            <w:vAlign w:val="center"/>
          </w:tcPr>
          <w:p>
            <w:pPr>
              <w:pStyle w:val="TableContents"/>
              <w:bidi w:val="0"/>
              <w:spacing w:before="0" w:after="283"/>
              <w:jc w:val="left"/>
              <w:rPr/>
            </w:pPr>
            <w:r>
              <w:rPr/>
              <w:t>Approval date</w:t>
            </w:r>
          </w:p>
        </w:tc>
        <w:tc>
          <w:tcPr>
            <w:tcW w:w="3601" w:type="dxa"/>
            <w:tcBorders/>
            <w:vAlign w:val="center"/>
          </w:tcPr>
          <w:p>
            <w:pPr>
              <w:pStyle w:val="TableContents"/>
              <w:bidi w:val="0"/>
              <w:spacing w:before="0" w:after="283"/>
              <w:jc w:val="left"/>
              <w:rPr/>
            </w:pPr>
            <w:r>
              <w:rPr>
                <w:rStyle w:val="SourceText"/>
              </w:rPr>
              <w:t>____ / ____ / ________</w:t>
            </w:r>
          </w:p>
        </w:tc>
      </w:tr>
      <w:tr>
        <w:trPr/>
        <w:tc>
          <w:tcPr>
            <w:tcW w:w="1951" w:type="dxa"/>
            <w:tcBorders/>
            <w:vAlign w:val="center"/>
          </w:tcPr>
          <w:p>
            <w:pPr>
              <w:pStyle w:val="TableContents"/>
              <w:bidi w:val="0"/>
              <w:spacing w:before="0" w:after="283"/>
              <w:jc w:val="left"/>
              <w:rPr/>
            </w:pPr>
            <w:r>
              <w:rPr/>
              <w:t>ISO 9001:2015 clauses</w:t>
            </w:r>
          </w:p>
        </w:tc>
        <w:tc>
          <w:tcPr>
            <w:tcW w:w="3601" w:type="dxa"/>
            <w:tcBorders/>
            <w:vAlign w:val="center"/>
          </w:tcPr>
          <w:p>
            <w:pPr>
              <w:pStyle w:val="TableContents"/>
              <w:bidi w:val="0"/>
              <w:spacing w:before="0" w:after="283"/>
              <w:jc w:val="left"/>
              <w:rPr/>
            </w:pPr>
            <w:r>
              <w:rPr/>
              <w:t>9.1.1, 9.1.3, 7.1.5 (measurement resources)</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what Ajace AI monitors and measures, by what method, when it is measured, when the results are analysed, and how the analysis is evaluated and fed into management review. This is the procedure that determines whether the quality management system and the product are actually performing, as opposed to being believed to perform.</w:t>
      </w:r>
    </w:p>
    <w:p>
      <w:pPr>
        <w:pStyle w:val="Heading2"/>
        <w:bidi w:val="0"/>
        <w:jc w:val="left"/>
        <w:rPr/>
      </w:pPr>
      <w:r>
        <w:rPr/>
        <w:t>2. Scope</w:t>
      </w:r>
    </w:p>
    <w:p>
      <w:pPr>
        <w:pStyle w:val="BodyText"/>
        <w:bidi w:val="0"/>
        <w:jc w:val="left"/>
        <w:rPr/>
      </w:pPr>
      <w:r>
        <w:rPr/>
        <w:t>Measurement of the EchoMind Enterprise platform's quality characteristics, of the delivery process, and of the effectiveness of the QMS itself. It covers measurements taken on Ajace AI's own development and demonstration deployment.</w:t>
      </w:r>
    </w:p>
    <w:p>
      <w:pPr>
        <w:pStyle w:val="BodyText"/>
        <w:bidi w:val="0"/>
        <w:jc w:val="left"/>
        <w:rPr/>
      </w:pPr>
      <w:r>
        <w:rPr/>
        <w:t xml:space="preserve">It does </w:t>
      </w:r>
      <w:r>
        <w:rPr>
          <w:rStyle w:val="Strong"/>
        </w:rPr>
        <w:t>not</w:t>
      </w:r>
      <w:r>
        <w:rPr/>
        <w:t xml:space="preserve"> cover measurement inside a customer deployment. No telemetry leaves a customer installation by design (</w:t>
      </w:r>
      <w:r>
        <w:rPr>
          <w:rStyle w:val="SourceText"/>
        </w:rPr>
        <w:t>SOP-11</w:t>
      </w:r>
      <w:r>
        <w:rPr/>
        <w:t xml:space="preserve"> §7), so Ajace AI has no visibility of a customer's running system and must not imply otherwise. Any measurement of a customer deployment is one the customer takes and chooses to share.</w:t>
      </w:r>
    </w:p>
    <w:p>
      <w:pPr>
        <w:pStyle w:val="BodyText"/>
        <w:bidi w:val="0"/>
        <w:jc w:val="left"/>
        <w:rPr/>
      </w:pPr>
      <w:r>
        <w:rPr/>
        <w:t xml:space="preserve">Customer satisfaction measurement (9.1.2) is not in this procedure; it belongs with customer communication under </w:t>
      </w:r>
      <w:r>
        <w:rPr>
          <w:rStyle w:val="SourceText"/>
        </w:rPr>
        <w:t>SOP-04</w:t>
      </w:r>
      <w:r>
        <w:rPr/>
        <w:t>.</w:t>
      </w:r>
    </w:p>
    <w:p>
      <w:pPr>
        <w:pStyle w:val="Heading2"/>
        <w:bidi w:val="0"/>
        <w:jc w:val="left"/>
        <w:rPr/>
      </w:pPr>
      <w:r>
        <w:rPr/>
        <w:t>3. Responsibilities</w:t>
      </w:r>
    </w:p>
    <w:tbl>
      <w:tblPr>
        <w:tblW w:w="7970" w:type="dxa"/>
        <w:jc w:val="left"/>
        <w:tblInd w:w="0" w:type="dxa"/>
        <w:tblLayout w:type="fixed"/>
        <w:tblCellMar>
          <w:top w:w="28" w:type="dxa"/>
          <w:left w:w="28" w:type="dxa"/>
          <w:bottom w:w="28" w:type="dxa"/>
          <w:right w:w="28" w:type="dxa"/>
        </w:tblCellMar>
      </w:tblPr>
      <w:tblGrid>
        <w:gridCol w:w="1374"/>
        <w:gridCol w:w="6596"/>
      </w:tblGrid>
      <w:tr>
        <w:trPr>
          <w:tblHeader w:val="true"/>
        </w:trPr>
        <w:tc>
          <w:tcPr>
            <w:tcW w:w="1374" w:type="dxa"/>
            <w:tcBorders/>
            <w:vAlign w:val="center"/>
          </w:tcPr>
          <w:p>
            <w:pPr>
              <w:pStyle w:val="TableHeading"/>
              <w:suppressLineNumbers/>
              <w:shd w:fill="1F3A5F" w:val="clear"/>
              <w:bidi w:val="0"/>
              <w:spacing w:before="0" w:after="283"/>
              <w:jc w:val="center"/>
              <w:rPr/>
            </w:pPr>
            <w:r>
              <w:rPr/>
              <w:t>Role</w:t>
            </w:r>
          </w:p>
        </w:tc>
        <w:tc>
          <w:tcPr>
            <w:tcW w:w="6596" w:type="dxa"/>
            <w:tcBorders/>
            <w:vAlign w:val="center"/>
          </w:tcPr>
          <w:p>
            <w:pPr>
              <w:pStyle w:val="TableHeading"/>
              <w:suppressLineNumbers/>
              <w:shd w:fill="1F3A5F" w:val="clear"/>
              <w:bidi w:val="0"/>
              <w:spacing w:before="0" w:after="283"/>
              <w:jc w:val="center"/>
              <w:rPr/>
            </w:pPr>
            <w:r>
              <w:rPr/>
              <w:t>Responsibility</w:t>
            </w:r>
          </w:p>
        </w:tc>
      </w:tr>
      <w:tr>
        <w:trPr/>
        <w:tc>
          <w:tcPr>
            <w:tcW w:w="1374" w:type="dxa"/>
            <w:tcBorders/>
            <w:vAlign w:val="center"/>
          </w:tcPr>
          <w:p>
            <w:pPr>
              <w:pStyle w:val="TableContents"/>
              <w:bidi w:val="0"/>
              <w:spacing w:before="0" w:after="283"/>
              <w:jc w:val="left"/>
              <w:rPr/>
            </w:pPr>
            <w:r>
              <w:rPr/>
              <w:t>Lead Engineer</w:t>
            </w:r>
          </w:p>
        </w:tc>
        <w:tc>
          <w:tcPr>
            <w:tcW w:w="6596" w:type="dxa"/>
            <w:tcBorders/>
            <w:vAlign w:val="center"/>
          </w:tcPr>
          <w:p>
            <w:pPr>
              <w:pStyle w:val="TableContents"/>
              <w:bidi w:val="0"/>
              <w:spacing w:before="0" w:after="283"/>
              <w:jc w:val="left"/>
              <w:rPr/>
            </w:pPr>
            <w:r>
              <w:rPr/>
              <w:t xml:space="preserve">Owns this procedure. Takes the measurements in §4 at the stated frequency, records the result, and raises a nonconformity under </w:t>
            </w:r>
            <w:r>
              <w:rPr>
                <w:rStyle w:val="SourceText"/>
              </w:rPr>
              <w:t>SOP-10</w:t>
            </w:r>
            <w:r>
              <w:rPr/>
              <w:t xml:space="preserve"> when a measurement crosses a threshold. Maintains the integrity of the measurement harness (§6).</w:t>
            </w:r>
          </w:p>
        </w:tc>
      </w:tr>
      <w:tr>
        <w:trPr/>
        <w:tc>
          <w:tcPr>
            <w:tcW w:w="1374" w:type="dxa"/>
            <w:tcBorders/>
            <w:vAlign w:val="center"/>
          </w:tcPr>
          <w:p>
            <w:pPr>
              <w:pStyle w:val="TableContents"/>
              <w:bidi w:val="0"/>
              <w:spacing w:before="0" w:after="283"/>
              <w:jc w:val="left"/>
              <w:rPr/>
            </w:pPr>
            <w:r>
              <w:rPr/>
              <w:t>Managing Director</w:t>
            </w:r>
          </w:p>
        </w:tc>
        <w:tc>
          <w:tcPr>
            <w:tcW w:w="6596" w:type="dxa"/>
            <w:tcBorders/>
            <w:vAlign w:val="center"/>
          </w:tcPr>
          <w:p>
            <w:pPr>
              <w:pStyle w:val="TableContents"/>
              <w:bidi w:val="0"/>
              <w:spacing w:before="0" w:after="283"/>
              <w:jc w:val="left"/>
              <w:rPr/>
            </w:pPr>
            <w:r>
              <w:rPr/>
              <w:t>Reviews the analysis at management review (</w:t>
            </w:r>
            <w:r>
              <w:rPr>
                <w:rStyle w:val="SourceText"/>
              </w:rPr>
              <w:t>SOP-15</w:t>
            </w:r>
            <w:r>
              <w:rPr/>
              <w:t xml:space="preserve">), decides whether the results show the QMS to be effective, and sets or revises thresholds and objectives in </w:t>
            </w:r>
            <w:r>
              <w:rPr>
                <w:rStyle w:val="SourceText"/>
              </w:rPr>
              <w:t>QO-01</w:t>
            </w:r>
            <w:r>
              <w:rPr/>
              <w:t>.</w:t>
            </w:r>
          </w:p>
        </w:tc>
      </w:tr>
      <w:tr>
        <w:trPr/>
        <w:tc>
          <w:tcPr>
            <w:tcW w:w="1374" w:type="dxa"/>
            <w:tcBorders/>
            <w:vAlign w:val="center"/>
          </w:tcPr>
          <w:p>
            <w:pPr>
              <w:pStyle w:val="TableContents"/>
              <w:bidi w:val="0"/>
              <w:spacing w:before="0" w:after="283"/>
              <w:jc w:val="left"/>
              <w:rPr/>
            </w:pPr>
            <w:r>
              <w:rPr/>
              <w:t>Anyone contributing code</w:t>
            </w:r>
          </w:p>
        </w:tc>
        <w:tc>
          <w:tcPr>
            <w:tcW w:w="6596" w:type="dxa"/>
            <w:tcBorders/>
            <w:vAlign w:val="center"/>
          </w:tcPr>
          <w:p>
            <w:pPr>
              <w:pStyle w:val="TableContents"/>
              <w:bidi w:val="0"/>
              <w:spacing w:before="0" w:after="283"/>
              <w:jc w:val="left"/>
              <w:rPr/>
            </w:pPr>
            <w:r>
              <w:rPr/>
              <w:t>Runs the applicable measurement before a change to the area it covers is merged, and records the result in the commit body.</w:t>
            </w:r>
          </w:p>
        </w:tc>
      </w:tr>
    </w:tbl>
    <w:p>
      <w:pPr>
        <w:pStyle w:val="Heading2"/>
        <w:bidi w:val="0"/>
        <w:jc w:val="left"/>
        <w:rPr/>
      </w:pPr>
      <w:r>
        <w:rPr/>
        <w:t>4. What is monitored and measured</w:t>
      </w:r>
    </w:p>
    <w:p>
      <w:pPr>
        <w:pStyle w:val="BodyText"/>
        <w:bidi w:val="0"/>
        <w:jc w:val="left"/>
        <w:rPr/>
      </w:pPr>
      <w:r>
        <w:rPr/>
        <w:t>Only real, existing sources appear below. Where a measurement is not currently taken on a schedule, the Frequency column says so rather than stating an intention as fact.</w:t>
      </w:r>
    </w:p>
    <w:tbl>
      <w:tblPr>
        <w:tblW w:w="7970" w:type="dxa"/>
        <w:jc w:val="left"/>
        <w:tblInd w:w="0" w:type="dxa"/>
        <w:tblLayout w:type="fixed"/>
        <w:tblCellMar>
          <w:top w:w="28" w:type="dxa"/>
          <w:left w:w="28" w:type="dxa"/>
          <w:bottom w:w="28" w:type="dxa"/>
          <w:right w:w="28" w:type="dxa"/>
        </w:tblCellMar>
      </w:tblPr>
      <w:tblGrid>
        <w:gridCol w:w="1816"/>
        <w:gridCol w:w="2161"/>
        <w:gridCol w:w="1621"/>
        <w:gridCol w:w="1171"/>
        <w:gridCol w:w="1201"/>
      </w:tblGrid>
      <w:tr>
        <w:trPr>
          <w:tblHeader w:val="true"/>
        </w:trPr>
        <w:tc>
          <w:tcPr>
            <w:tcW w:w="1816" w:type="dxa"/>
            <w:tcBorders/>
            <w:vAlign w:val="center"/>
          </w:tcPr>
          <w:p>
            <w:pPr>
              <w:pStyle w:val="TableHeading"/>
              <w:suppressLineNumbers/>
              <w:shd w:fill="1F3A5F" w:val="clear"/>
              <w:bidi w:val="0"/>
              <w:spacing w:before="0" w:after="283"/>
              <w:jc w:val="center"/>
              <w:rPr/>
            </w:pPr>
            <w:r>
              <w:rPr/>
              <w:t>Metric</w:t>
            </w:r>
          </w:p>
        </w:tc>
        <w:tc>
          <w:tcPr>
            <w:tcW w:w="2161" w:type="dxa"/>
            <w:tcBorders/>
            <w:vAlign w:val="center"/>
          </w:tcPr>
          <w:p>
            <w:pPr>
              <w:pStyle w:val="TableHeading"/>
              <w:suppressLineNumbers/>
              <w:shd w:fill="1F3A5F" w:val="clear"/>
              <w:bidi w:val="0"/>
              <w:spacing w:before="0" w:after="283"/>
              <w:jc w:val="center"/>
              <w:rPr/>
            </w:pPr>
            <w:r>
              <w:rPr/>
              <w:t>Source</w:t>
            </w:r>
          </w:p>
        </w:tc>
        <w:tc>
          <w:tcPr>
            <w:tcW w:w="1621" w:type="dxa"/>
            <w:tcBorders/>
            <w:vAlign w:val="center"/>
          </w:tcPr>
          <w:p>
            <w:pPr>
              <w:pStyle w:val="TableHeading"/>
              <w:suppressLineNumbers/>
              <w:shd w:fill="1F3A5F" w:val="clear"/>
              <w:bidi w:val="0"/>
              <w:spacing w:before="0" w:after="283"/>
              <w:jc w:val="center"/>
              <w:rPr/>
            </w:pPr>
            <w:r>
              <w:rPr/>
              <w:t>Method</w:t>
            </w:r>
          </w:p>
        </w:tc>
        <w:tc>
          <w:tcPr>
            <w:tcW w:w="1171" w:type="dxa"/>
            <w:tcBorders/>
            <w:vAlign w:val="center"/>
          </w:tcPr>
          <w:p>
            <w:pPr>
              <w:pStyle w:val="TableHeading"/>
              <w:suppressLineNumbers/>
              <w:shd w:fill="1F3A5F" w:val="clear"/>
              <w:bidi w:val="0"/>
              <w:spacing w:before="0" w:after="283"/>
              <w:jc w:val="center"/>
              <w:rPr/>
            </w:pPr>
            <w:r>
              <w:rPr/>
              <w:t>Frequency</w:t>
            </w:r>
          </w:p>
        </w:tc>
        <w:tc>
          <w:tcPr>
            <w:tcW w:w="1201" w:type="dxa"/>
            <w:tcBorders/>
            <w:vAlign w:val="center"/>
          </w:tcPr>
          <w:p>
            <w:pPr>
              <w:pStyle w:val="TableHeading"/>
              <w:suppressLineNumbers/>
              <w:shd w:fill="1F3A5F" w:val="clear"/>
              <w:bidi w:val="0"/>
              <w:spacing w:before="0" w:after="283"/>
              <w:jc w:val="center"/>
              <w:rPr/>
            </w:pPr>
            <w:r>
              <w:rPr/>
              <w:t>Reviewed by</w:t>
            </w:r>
          </w:p>
        </w:tc>
      </w:tr>
      <w:tr>
        <w:trPr/>
        <w:tc>
          <w:tcPr>
            <w:tcW w:w="1816" w:type="dxa"/>
            <w:tcBorders/>
            <w:vAlign w:val="center"/>
          </w:tcPr>
          <w:p>
            <w:pPr>
              <w:pStyle w:val="TableContents"/>
              <w:bidi w:val="0"/>
              <w:spacing w:before="0" w:after="283"/>
              <w:jc w:val="left"/>
              <w:rPr/>
            </w:pPr>
            <w:r>
              <w:rPr/>
              <w:t>Golden-question pass count</w:t>
            </w:r>
          </w:p>
        </w:tc>
        <w:tc>
          <w:tcPr>
            <w:tcW w:w="2161" w:type="dxa"/>
            <w:tcBorders/>
            <w:vAlign w:val="center"/>
          </w:tcPr>
          <w:p>
            <w:pPr>
              <w:pStyle w:val="TableContents"/>
              <w:bidi w:val="0"/>
              <w:spacing w:before="0" w:after="283"/>
              <w:jc w:val="left"/>
              <w:rPr/>
            </w:pPr>
            <w:r>
              <w:rPr/>
              <w:t xml:space="preserve">52 items across seven sets in </w:t>
            </w:r>
            <w:r>
              <w:rPr>
                <w:rStyle w:val="SourceText"/>
              </w:rPr>
              <w:t>eval/golden/*.jsonl</w:t>
            </w:r>
            <w:r>
              <w:rPr/>
              <w:t xml:space="preserve"> (43 retrieval, 6 smalltalk, 2 refusal, 1 off-corpus)</w:t>
            </w:r>
          </w:p>
        </w:tc>
        <w:tc>
          <w:tcPr>
            <w:tcW w:w="1621" w:type="dxa"/>
            <w:tcBorders/>
            <w:vAlign w:val="center"/>
          </w:tcPr>
          <w:p>
            <w:pPr>
              <w:pStyle w:val="TableContents"/>
              <w:bidi w:val="0"/>
              <w:spacing w:before="0" w:after="283"/>
              <w:jc w:val="left"/>
              <w:rPr/>
            </w:pPr>
            <w:r>
              <w:rPr>
                <w:rStyle w:val="SourceText"/>
              </w:rPr>
              <w:t>python3 eval/run_eval.py</w:t>
            </w:r>
            <w:r>
              <w:rPr/>
              <w:t xml:space="preserve"> against a running backend; binary gate at </w:t>
            </w:r>
            <w:r>
              <w:rPr>
                <w:rStyle w:val="SourceText"/>
              </w:rPr>
              <w:t>eval/run_eval.py:281</w:t>
            </w:r>
            <w:r>
              <w:rPr/>
              <w:t xml:space="preserve"> returns non-zero unless every item passes</w:t>
            </w:r>
          </w:p>
        </w:tc>
        <w:tc>
          <w:tcPr>
            <w:tcW w:w="1171" w:type="dxa"/>
            <w:tcBorders/>
            <w:vAlign w:val="center"/>
          </w:tcPr>
          <w:p>
            <w:pPr>
              <w:pStyle w:val="TableContents"/>
              <w:bidi w:val="0"/>
              <w:spacing w:before="0" w:after="283"/>
              <w:jc w:val="left"/>
              <w:rPr/>
            </w:pPr>
            <w:r>
              <w:rPr/>
              <w:t xml:space="preserve">On demand today. </w:t>
            </w:r>
            <w:r>
              <w:rPr>
                <w:rStyle w:val="Strong"/>
              </w:rPr>
              <w:t>Required by this procedure:</w:t>
            </w:r>
            <w:r>
              <w:rPr/>
              <w:t xml:space="preserve"> before any release, and after any change to retrieval, prompting, chunking, embedding or namespacing</w:t>
            </w:r>
          </w:p>
        </w:tc>
        <w:tc>
          <w:tcPr>
            <w:tcW w:w="1201" w:type="dxa"/>
            <w:tcBorders/>
            <w:vAlign w:val="center"/>
          </w:tcPr>
          <w:p>
            <w:pPr>
              <w:pStyle w:val="TableContents"/>
              <w:bidi w:val="0"/>
              <w:spacing w:before="0" w:after="283"/>
              <w:jc w:val="left"/>
              <w:rPr/>
            </w:pPr>
            <w:r>
              <w:rPr/>
              <w:t>Lead Engineer; summary to management review</w:t>
            </w:r>
          </w:p>
        </w:tc>
      </w:tr>
      <w:tr>
        <w:trPr/>
        <w:tc>
          <w:tcPr>
            <w:tcW w:w="1816" w:type="dxa"/>
            <w:tcBorders/>
            <w:vAlign w:val="center"/>
          </w:tcPr>
          <w:p>
            <w:pPr>
              <w:pStyle w:val="TableContents"/>
              <w:bidi w:val="0"/>
              <w:spacing w:before="0" w:after="283"/>
              <w:jc w:val="left"/>
              <w:rPr/>
            </w:pPr>
            <w:r>
              <w:rPr/>
              <w:t>Citation document-precision (average)</w:t>
            </w:r>
          </w:p>
        </w:tc>
        <w:tc>
          <w:tcPr>
            <w:tcW w:w="2161" w:type="dxa"/>
            <w:tcBorders/>
            <w:vAlign w:val="center"/>
          </w:tcPr>
          <w:p>
            <w:pPr>
              <w:pStyle w:val="TableContents"/>
              <w:bidi w:val="0"/>
              <w:spacing w:before="0" w:after="283"/>
              <w:jc w:val="left"/>
              <w:rPr/>
            </w:pPr>
            <w:r>
              <w:rPr/>
              <w:t>Same run</w:t>
            </w:r>
          </w:p>
        </w:tc>
        <w:tc>
          <w:tcPr>
            <w:tcW w:w="1621" w:type="dxa"/>
            <w:tcBorders/>
            <w:vAlign w:val="center"/>
          </w:tcPr>
          <w:p>
            <w:pPr>
              <w:pStyle w:val="TableContents"/>
              <w:bidi w:val="0"/>
              <w:spacing w:before="0" w:after="283"/>
              <w:jc w:val="left"/>
              <w:rPr/>
            </w:pPr>
            <w:r>
              <w:rPr/>
              <w:t xml:space="preserve">Computed per item at </w:t>
            </w:r>
            <w:r>
              <w:rPr>
                <w:rStyle w:val="SourceText"/>
              </w:rPr>
              <w:t>eval/run_eval.py:171</w:t>
            </w:r>
            <w:r>
              <w:rPr/>
              <w:t xml:space="preserve"> and averaged per set at </w:t>
            </w:r>
            <w:r>
              <w:rPr>
                <w:rStyle w:val="SourceText"/>
              </w:rPr>
              <w:t>:271-272</w:t>
            </w:r>
          </w:p>
        </w:tc>
        <w:tc>
          <w:tcPr>
            <w:tcW w:w="1171" w:type="dxa"/>
            <w:tcBorders/>
            <w:vAlign w:val="center"/>
          </w:tcPr>
          <w:p>
            <w:pPr>
              <w:pStyle w:val="TableContents"/>
              <w:bidi w:val="0"/>
              <w:spacing w:before="0" w:after="283"/>
              <w:jc w:val="left"/>
              <w:rPr/>
            </w:pPr>
            <w:r>
              <w:rPr/>
              <w:t>With every golden run</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Median latency per question type</w:t>
            </w:r>
          </w:p>
        </w:tc>
        <w:tc>
          <w:tcPr>
            <w:tcW w:w="2161" w:type="dxa"/>
            <w:tcBorders/>
            <w:vAlign w:val="center"/>
          </w:tcPr>
          <w:p>
            <w:pPr>
              <w:pStyle w:val="TableContents"/>
              <w:bidi w:val="0"/>
              <w:spacing w:before="0" w:after="283"/>
              <w:jc w:val="left"/>
              <w:rPr/>
            </w:pPr>
            <w:r>
              <w:rPr/>
              <w:t>Same run</w:t>
            </w:r>
          </w:p>
        </w:tc>
        <w:tc>
          <w:tcPr>
            <w:tcW w:w="1621" w:type="dxa"/>
            <w:tcBorders/>
            <w:vAlign w:val="center"/>
          </w:tcPr>
          <w:p>
            <w:pPr>
              <w:pStyle w:val="TableContents"/>
              <w:bidi w:val="0"/>
              <w:spacing w:before="0" w:after="283"/>
              <w:jc w:val="left"/>
              <w:rPr/>
            </w:pPr>
            <w:r>
              <w:rPr/>
              <w:t xml:space="preserve">Printed per set at </w:t>
            </w:r>
            <w:r>
              <w:rPr>
                <w:rStyle w:val="SourceText"/>
              </w:rPr>
              <w:t>eval/run_eval.py:273</w:t>
            </w:r>
          </w:p>
        </w:tc>
        <w:tc>
          <w:tcPr>
            <w:tcW w:w="1171" w:type="dxa"/>
            <w:tcBorders/>
            <w:vAlign w:val="center"/>
          </w:tcPr>
          <w:p>
            <w:pPr>
              <w:pStyle w:val="TableContents"/>
              <w:bidi w:val="0"/>
              <w:spacing w:before="0" w:after="283"/>
              <w:jc w:val="left"/>
              <w:rPr/>
            </w:pPr>
            <w:r>
              <w:rPr/>
              <w:t>With every golden run</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Unit-test pass rate</w:t>
            </w:r>
          </w:p>
        </w:tc>
        <w:tc>
          <w:tcPr>
            <w:tcW w:w="2161" w:type="dxa"/>
            <w:tcBorders/>
            <w:vAlign w:val="center"/>
          </w:tcPr>
          <w:p>
            <w:pPr>
              <w:pStyle w:val="TableContents"/>
              <w:bidi w:val="0"/>
              <w:spacing w:before="0" w:after="283"/>
              <w:jc w:val="left"/>
              <w:rPr/>
            </w:pPr>
            <w:r>
              <w:rPr>
                <w:rStyle w:val="SourceText"/>
              </w:rPr>
              <w:t>backend/tests/</w:t>
            </w:r>
            <w:r>
              <w:rPr/>
              <w:t xml:space="preserve"> — 40 test functions across 7 files, including the 5 prompt-guard tests in </w:t>
            </w:r>
            <w:r>
              <w:rPr>
                <w:rStyle w:val="SourceText"/>
              </w:rPr>
              <w:t>backend/tests/test_prompt_guards.py</w:t>
            </w:r>
          </w:p>
        </w:tc>
        <w:tc>
          <w:tcPr>
            <w:tcW w:w="1621" w:type="dxa"/>
            <w:tcBorders/>
            <w:vAlign w:val="center"/>
          </w:tcPr>
          <w:p>
            <w:pPr>
              <w:pStyle w:val="TableContents"/>
              <w:bidi w:val="0"/>
              <w:spacing w:before="0" w:after="283"/>
              <w:jc w:val="left"/>
              <w:rPr/>
            </w:pPr>
            <w:r>
              <w:rPr>
                <w:rStyle w:val="SourceText"/>
              </w:rPr>
              <w:t>pytest backend/tests</w:t>
            </w:r>
          </w:p>
        </w:tc>
        <w:tc>
          <w:tcPr>
            <w:tcW w:w="1171" w:type="dxa"/>
            <w:tcBorders/>
            <w:vAlign w:val="center"/>
          </w:tcPr>
          <w:p>
            <w:pPr>
              <w:pStyle w:val="TableContents"/>
              <w:bidi w:val="0"/>
              <w:spacing w:before="0" w:after="283"/>
              <w:jc w:val="left"/>
              <w:rPr/>
            </w:pPr>
            <w:r>
              <w:rPr/>
              <w:t xml:space="preserve">On demand today. </w:t>
            </w:r>
            <w:r>
              <w:rPr>
                <w:rStyle w:val="Strong"/>
              </w:rPr>
              <w:t>Required:</w:t>
            </w:r>
            <w:r>
              <w:rPr/>
              <w:t xml:space="preserve"> before any release and before any change to prompt construction</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Grounding, isolation and injection-containment measures</w:t>
            </w:r>
          </w:p>
        </w:tc>
        <w:tc>
          <w:tcPr>
            <w:tcW w:w="2161" w:type="dxa"/>
            <w:tcBorders/>
            <w:vAlign w:val="center"/>
          </w:tcPr>
          <w:p>
            <w:pPr>
              <w:pStyle w:val="TableContents"/>
              <w:bidi w:val="0"/>
              <w:spacing w:before="0" w:after="283"/>
              <w:jc w:val="left"/>
              <w:rPr/>
            </w:pPr>
            <w:r>
              <w:rPr>
                <w:rStyle w:val="SourceText"/>
              </w:rPr>
              <w:t>eval/paper/</w:t>
            </w:r>
            <w:r>
              <w:rPr/>
              <w:t xml:space="preserve"> harness, experiments E1–E10; results in </w:t>
            </w:r>
            <w:r>
              <w:rPr>
                <w:rStyle w:val="SourceText"/>
              </w:rPr>
              <w:t>eval/paper/results/*.json</w:t>
            </w:r>
            <w:r>
              <w:rPr/>
              <w:t xml:space="preserve">, consolidated in </w:t>
            </w:r>
            <w:r>
              <w:rPr>
                <w:rStyle w:val="SourceText"/>
              </w:rPr>
              <w:t>SUMMARY.json</w:t>
            </w:r>
          </w:p>
        </w:tc>
        <w:tc>
          <w:tcPr>
            <w:tcW w:w="1621" w:type="dxa"/>
            <w:tcBorders/>
            <w:vAlign w:val="center"/>
          </w:tcPr>
          <w:p>
            <w:pPr>
              <w:pStyle w:val="TableContents"/>
              <w:bidi w:val="0"/>
              <w:spacing w:before="0" w:after="283"/>
              <w:jc w:val="left"/>
              <w:rPr/>
            </w:pPr>
            <w:r>
              <w:rPr/>
              <w:t>Scripted experiments, each writing a JSON result</w:t>
            </w:r>
          </w:p>
        </w:tc>
        <w:tc>
          <w:tcPr>
            <w:tcW w:w="1171" w:type="dxa"/>
            <w:tcBorders/>
            <w:vAlign w:val="center"/>
          </w:tcPr>
          <w:p>
            <w:pPr>
              <w:pStyle w:val="TableContents"/>
              <w:bidi w:val="0"/>
              <w:spacing w:before="0" w:after="283"/>
              <w:jc w:val="left"/>
              <w:rPr/>
            </w:pPr>
            <w:r>
              <w:rPr/>
              <w:t>Per experiment campaign; not scheduled</w:t>
            </w:r>
          </w:p>
        </w:tc>
        <w:tc>
          <w:tcPr>
            <w:tcW w:w="1201" w:type="dxa"/>
            <w:tcBorders/>
            <w:vAlign w:val="center"/>
          </w:tcPr>
          <w:p>
            <w:pPr>
              <w:pStyle w:val="TableContents"/>
              <w:bidi w:val="0"/>
              <w:spacing w:before="0" w:after="283"/>
              <w:jc w:val="left"/>
              <w:rPr/>
            </w:pPr>
            <w:r>
              <w:rPr/>
              <w:t>Lead Engineer; management review</w:t>
            </w:r>
          </w:p>
        </w:tc>
      </w:tr>
      <w:tr>
        <w:trPr/>
        <w:tc>
          <w:tcPr>
            <w:tcW w:w="1816" w:type="dxa"/>
            <w:tcBorders/>
            <w:vAlign w:val="center"/>
          </w:tcPr>
          <w:p>
            <w:pPr>
              <w:pStyle w:val="TableContents"/>
              <w:bidi w:val="0"/>
              <w:spacing w:before="0" w:after="283"/>
              <w:jc w:val="left"/>
              <w:rPr/>
            </w:pPr>
            <w:r>
              <w:rPr/>
              <w:t>Per-path namespace leakage</w:t>
            </w:r>
          </w:p>
        </w:tc>
        <w:tc>
          <w:tcPr>
            <w:tcW w:w="2161" w:type="dxa"/>
            <w:tcBorders/>
            <w:vAlign w:val="center"/>
          </w:tcPr>
          <w:p>
            <w:pPr>
              <w:pStyle w:val="TableContents"/>
              <w:bidi w:val="0"/>
              <w:spacing w:before="0" w:after="283"/>
              <w:jc w:val="left"/>
              <w:rPr/>
            </w:pPr>
            <w:r>
              <w:rPr>
                <w:rStyle w:val="SourceText"/>
              </w:rPr>
              <w:t>eval/paper/e3b_path_isolation.py</w:t>
            </w:r>
            <w:r>
              <w:rPr/>
              <w:t xml:space="preserve">, result in </w:t>
            </w:r>
            <w:r>
              <w:rPr>
                <w:rStyle w:val="SourceText"/>
              </w:rPr>
              <w:t>eval/paper/results/e3b_path_isolation.json</w:t>
            </w:r>
          </w:p>
        </w:tc>
        <w:tc>
          <w:tcPr>
            <w:tcW w:w="1621" w:type="dxa"/>
            <w:tcBorders/>
            <w:vAlign w:val="center"/>
          </w:tcPr>
          <w:p>
            <w:pPr>
              <w:pStyle w:val="TableContents"/>
              <w:bidi w:val="0"/>
              <w:spacing w:before="0" w:after="283"/>
              <w:jc w:val="left"/>
              <w:rPr/>
            </w:pPr>
            <w:r>
              <w:rPr/>
              <w:t>Counts out-of-namespace hits per retrieval path; last recorded result 0 of 359 across all five paths</w:t>
            </w:r>
          </w:p>
        </w:tc>
        <w:tc>
          <w:tcPr>
            <w:tcW w:w="1171" w:type="dxa"/>
            <w:tcBorders/>
            <w:vAlign w:val="center"/>
          </w:tcPr>
          <w:p>
            <w:pPr>
              <w:pStyle w:val="TableContents"/>
              <w:bidi w:val="0"/>
              <w:spacing w:before="0" w:after="283"/>
              <w:jc w:val="left"/>
              <w:rPr/>
            </w:pPr>
            <w:r>
              <w:rPr/>
              <w:t xml:space="preserve">Not scheduled. </w:t>
            </w:r>
            <w:r>
              <w:rPr>
                <w:rStyle w:val="Strong"/>
              </w:rPr>
              <w:t>Required:</w:t>
            </w:r>
            <w:r>
              <w:rPr/>
              <w:t xml:space="preserve"> after any change to a retrieval path or to </w:t>
            </w:r>
            <w:r>
              <w:rPr>
                <w:rStyle w:val="SourceText"/>
              </w:rPr>
              <w:t>_ns_ok</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Container health state</w:t>
            </w:r>
          </w:p>
        </w:tc>
        <w:tc>
          <w:tcPr>
            <w:tcW w:w="2161" w:type="dxa"/>
            <w:tcBorders/>
            <w:vAlign w:val="center"/>
          </w:tcPr>
          <w:p>
            <w:pPr>
              <w:pStyle w:val="TableContents"/>
              <w:bidi w:val="0"/>
              <w:spacing w:before="0" w:after="283"/>
              <w:jc w:val="left"/>
              <w:rPr/>
            </w:pPr>
            <w:r>
              <w:rPr/>
              <w:t xml:space="preserve">Docker healthchecks: </w:t>
            </w:r>
            <w:r>
              <w:rPr>
                <w:rStyle w:val="SourceText"/>
              </w:rPr>
              <w:t>docker-compose.yml:31-36</w:t>
            </w:r>
            <w:r>
              <w:rPr/>
              <w:t xml:space="preserve"> (trtllm </w:t>
            </w:r>
            <w:r>
              <w:rPr>
                <w:rStyle w:val="SourceText"/>
              </w:rPr>
              <w:t>GET /v1/models</w:t>
            </w:r>
            <w:r>
              <w:rPr/>
              <w:t xml:space="preserve">), </w:t>
            </w:r>
            <w:r>
              <w:rPr>
                <w:rStyle w:val="SourceText"/>
              </w:rPr>
              <w:t>:60-66</w:t>
            </w:r>
            <w:r>
              <w:rPr/>
              <w:t xml:space="preserve"> (backend </w:t>
            </w:r>
            <w:r>
              <w:rPr>
                <w:rStyle w:val="SourceText"/>
              </w:rPr>
              <w:t>GET /health</w:t>
            </w:r>
            <w:r>
              <w:rPr/>
              <w:t xml:space="preserve">), </w:t>
            </w:r>
            <w:r>
              <w:rPr>
                <w:rStyle w:val="SourceText"/>
              </w:rPr>
              <w:t>:130-136</w:t>
            </w:r>
            <w:r>
              <w:rPr/>
              <w:t xml:space="preserve"> (voice </w:t>
            </w:r>
            <w:r>
              <w:rPr>
                <w:rStyle w:val="SourceText"/>
              </w:rPr>
              <w:t>GET /health</w:t>
            </w:r>
            <w:r>
              <w:rPr/>
              <w:t xml:space="preserve">), </w:t>
            </w:r>
            <w:r>
              <w:rPr>
                <w:rStyle w:val="SourceText"/>
              </w:rPr>
              <w:t>:248-252</w:t>
            </w:r>
            <w:r>
              <w:rPr/>
              <w:t xml:space="preserve"> (ollama </w:t>
            </w:r>
            <w:r>
              <w:rPr>
                <w:rStyle w:val="SourceText"/>
              </w:rPr>
              <w:t>ollama list \| grep -q nomic-embed-text</w:t>
            </w:r>
            <w:r>
              <w:rPr/>
              <w:t>)</w:t>
            </w:r>
          </w:p>
        </w:tc>
        <w:tc>
          <w:tcPr>
            <w:tcW w:w="1621" w:type="dxa"/>
            <w:tcBorders/>
            <w:vAlign w:val="center"/>
          </w:tcPr>
          <w:p>
            <w:pPr>
              <w:pStyle w:val="TableContents"/>
              <w:bidi w:val="0"/>
              <w:spacing w:before="0" w:after="283"/>
              <w:jc w:val="left"/>
              <w:rPr/>
            </w:pPr>
            <w:r>
              <w:rPr>
                <w:rStyle w:val="SourceText"/>
              </w:rPr>
              <w:t>docker compose ps</w:t>
            </w:r>
            <w:r>
              <w:rPr/>
              <w:t>; the healthcheck itself runs on a 15–30 s interval</w:t>
            </w:r>
          </w:p>
        </w:tc>
        <w:tc>
          <w:tcPr>
            <w:tcW w:w="1171" w:type="dxa"/>
            <w:tcBorders/>
            <w:vAlign w:val="center"/>
          </w:tcPr>
          <w:p>
            <w:pPr>
              <w:pStyle w:val="TableContents"/>
              <w:bidi w:val="0"/>
              <w:spacing w:before="0" w:after="283"/>
              <w:jc w:val="left"/>
              <w:rPr/>
            </w:pPr>
            <w:r>
              <w:rPr/>
              <w:t>Continuous while running; observed on demand</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Voice per-turn latency</w:t>
            </w:r>
          </w:p>
        </w:tc>
        <w:tc>
          <w:tcPr>
            <w:tcW w:w="2161" w:type="dxa"/>
            <w:tcBorders/>
            <w:vAlign w:val="center"/>
          </w:tcPr>
          <w:p>
            <w:pPr>
              <w:pStyle w:val="TableContents"/>
              <w:bidi w:val="0"/>
              <w:spacing w:before="0" w:after="283"/>
              <w:jc w:val="left"/>
              <w:rPr/>
            </w:pPr>
            <w:r>
              <w:rPr/>
              <w:t xml:space="preserve">The </w:t>
            </w:r>
            <w:r>
              <w:rPr>
                <w:rStyle w:val="SourceText"/>
              </w:rPr>
              <w:t>app.session.turn</w:t>
            </w:r>
            <w:r>
              <w:rPr/>
              <w:t xml:space="preserve"> logger (</w:t>
            </w:r>
            <w:r>
              <w:rPr>
                <w:rStyle w:val="SourceText"/>
              </w:rPr>
              <w:t>voice/app/session.py:46</w:t>
            </w:r>
            <w:r>
              <w:rPr/>
              <w:t xml:space="preserve">), raised to INFO at </w:t>
            </w:r>
            <w:r>
              <w:rPr>
                <w:rStyle w:val="SourceText"/>
              </w:rPr>
              <w:t>voice/app/server.py:15</w:t>
            </w:r>
            <w:r>
              <w:rPr/>
              <w:t xml:space="preserve">, emitting </w:t>
            </w:r>
            <w:r>
              <w:rPr>
                <w:rStyle w:val="SourceText"/>
              </w:rPr>
              <w:t>[SPEC]</w:t>
            </w:r>
            <w:r>
              <w:rPr/>
              <w:t xml:space="preserve">, </w:t>
            </w:r>
            <w:r>
              <w:rPr>
                <w:rStyle w:val="SourceText"/>
              </w:rPr>
              <w:t>[ROUTE]</w:t>
            </w:r>
            <w:r>
              <w:rPr/>
              <w:t xml:space="preserve"> and </w:t>
            </w:r>
            <w:r>
              <w:rPr>
                <w:rStyle w:val="SourceText"/>
              </w:rPr>
              <w:t>[TURN]</w:t>
            </w:r>
            <w:r>
              <w:rPr/>
              <w:t xml:space="preserve"> lines with </w:t>
            </w:r>
            <w:r>
              <w:rPr>
                <w:rStyle w:val="SourceText"/>
              </w:rPr>
              <w:t>first_token_ms</w:t>
            </w:r>
            <w:r>
              <w:rPr/>
              <w:t xml:space="preserve"> and </w:t>
            </w:r>
            <w:r>
              <w:rPr>
                <w:rStyle w:val="SourceText"/>
              </w:rPr>
              <w:t>endpoint_to_reply_ms</w:t>
            </w:r>
            <w:r>
              <w:rPr/>
              <w:t xml:space="preserve"> (</w:t>
            </w:r>
            <w:r>
              <w:rPr>
                <w:rStyle w:val="SourceText"/>
              </w:rPr>
              <w:t>voice/app/session.py:2408, 2415, 2453</w:t>
            </w:r>
            <w:r>
              <w:rPr/>
              <w:t>)</w:t>
            </w:r>
          </w:p>
        </w:tc>
        <w:tc>
          <w:tcPr>
            <w:tcW w:w="1621" w:type="dxa"/>
            <w:tcBorders/>
            <w:vAlign w:val="center"/>
          </w:tcPr>
          <w:p>
            <w:pPr>
              <w:pStyle w:val="TableContents"/>
              <w:bidi w:val="0"/>
              <w:spacing w:before="0" w:after="283"/>
              <w:jc w:val="left"/>
              <w:rPr/>
            </w:pPr>
            <w:r>
              <w:rPr/>
              <w:t xml:space="preserve">Read from </w:t>
            </w:r>
            <w:r>
              <w:rPr>
                <w:rStyle w:val="SourceText"/>
              </w:rPr>
              <w:t>docker logs echomind-voice</w:t>
            </w:r>
          </w:p>
        </w:tc>
        <w:tc>
          <w:tcPr>
            <w:tcW w:w="1171" w:type="dxa"/>
            <w:tcBorders/>
            <w:vAlign w:val="center"/>
          </w:tcPr>
          <w:p>
            <w:pPr>
              <w:pStyle w:val="TableContents"/>
              <w:bidi w:val="0"/>
              <w:spacing w:before="0" w:after="283"/>
              <w:jc w:val="left"/>
              <w:rPr/>
            </w:pPr>
            <w:r>
              <w:rPr/>
              <w:t>Emitted continuously; read on demand</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Application errors</w:t>
            </w:r>
          </w:p>
        </w:tc>
        <w:tc>
          <w:tcPr>
            <w:tcW w:w="2161" w:type="dxa"/>
            <w:tcBorders/>
            <w:vAlign w:val="center"/>
          </w:tcPr>
          <w:p>
            <w:pPr>
              <w:pStyle w:val="TableContents"/>
              <w:bidi w:val="0"/>
              <w:spacing w:before="0" w:after="283"/>
              <w:jc w:val="left"/>
              <w:rPr/>
            </w:pPr>
            <w:r>
              <w:rPr/>
              <w:t>Backend logs at INFO to stdout (</w:t>
            </w:r>
            <w:r>
              <w:rPr>
                <w:rStyle w:val="SourceText"/>
              </w:rPr>
              <w:t>backend/app/main.py:25-32</w:t>
            </w:r>
            <w:r>
              <w:rPr/>
              <w:t xml:space="preserve">); front-end crashes posted to </w:t>
            </w:r>
            <w:r>
              <w:rPr>
                <w:rStyle w:val="SourceText"/>
              </w:rPr>
              <w:t>/api/client-error</w:t>
            </w:r>
            <w:r>
              <w:rPr/>
              <w:t xml:space="preserve"> and logged at ERROR (</w:t>
            </w:r>
            <w:r>
              <w:rPr>
                <w:rStyle w:val="SourceText"/>
              </w:rPr>
              <w:t>backend/app/main.py:198-206</w:t>
            </w:r>
            <w:r>
              <w:rPr/>
              <w:t>)</w:t>
            </w:r>
          </w:p>
        </w:tc>
        <w:tc>
          <w:tcPr>
            <w:tcW w:w="1621" w:type="dxa"/>
            <w:tcBorders/>
            <w:vAlign w:val="center"/>
          </w:tcPr>
          <w:p>
            <w:pPr>
              <w:pStyle w:val="TableContents"/>
              <w:bidi w:val="0"/>
              <w:spacing w:before="0" w:after="283"/>
              <w:jc w:val="left"/>
              <w:rPr/>
            </w:pPr>
            <w:r>
              <w:rPr>
                <w:rStyle w:val="SourceText"/>
              </w:rPr>
              <w:t>docker logs</w:t>
            </w:r>
            <w:r>
              <w:rPr/>
              <w:t>; grep for ERROR</w:t>
            </w:r>
          </w:p>
        </w:tc>
        <w:tc>
          <w:tcPr>
            <w:tcW w:w="1171" w:type="dxa"/>
            <w:tcBorders/>
            <w:vAlign w:val="center"/>
          </w:tcPr>
          <w:p>
            <w:pPr>
              <w:pStyle w:val="TableContents"/>
              <w:bidi w:val="0"/>
              <w:spacing w:before="0" w:after="283"/>
              <w:jc w:val="left"/>
              <w:rPr/>
            </w:pPr>
            <w:r>
              <w:rPr/>
              <w:t>Continuous; read on demand</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Errors surfaced to the user during live transcription</w:t>
            </w:r>
          </w:p>
        </w:tc>
        <w:tc>
          <w:tcPr>
            <w:tcW w:w="2161" w:type="dxa"/>
            <w:tcBorders/>
            <w:vAlign w:val="center"/>
          </w:tcPr>
          <w:p>
            <w:pPr>
              <w:pStyle w:val="TableContents"/>
              <w:bidi w:val="0"/>
              <w:spacing w:before="0" w:after="283"/>
              <w:jc w:val="left"/>
              <w:rPr/>
            </w:pPr>
            <w:r>
              <w:rPr/>
              <w:t xml:space="preserve">14 </w:t>
            </w:r>
            <w:r>
              <w:rPr>
                <w:rStyle w:val="SourceText"/>
              </w:rPr>
              <w:t>{"type": "error"}</w:t>
            </w:r>
            <w:r>
              <w:rPr/>
              <w:t xml:space="preserve"> emission sites in </w:t>
            </w:r>
            <w:r>
              <w:rPr>
                <w:rStyle w:val="SourceText"/>
              </w:rPr>
              <w:t>backend/app/transcribe/ws.py</w:t>
            </w:r>
          </w:p>
        </w:tc>
        <w:tc>
          <w:tcPr>
            <w:tcW w:w="1621" w:type="dxa"/>
            <w:tcBorders/>
            <w:vAlign w:val="center"/>
          </w:tcPr>
          <w:p>
            <w:pPr>
              <w:pStyle w:val="TableContents"/>
              <w:bidi w:val="0"/>
              <w:spacing w:before="0" w:after="283"/>
              <w:jc w:val="left"/>
              <w:rPr/>
            </w:pPr>
            <w:r>
              <w:rPr/>
              <w:t>Observed in the client; not aggregated anywhere</w:t>
            </w:r>
          </w:p>
        </w:tc>
        <w:tc>
          <w:tcPr>
            <w:tcW w:w="1171" w:type="dxa"/>
            <w:tcBorders/>
            <w:vAlign w:val="center"/>
          </w:tcPr>
          <w:p>
            <w:pPr>
              <w:pStyle w:val="TableContents"/>
              <w:bidi w:val="0"/>
              <w:spacing w:before="0" w:after="283"/>
              <w:jc w:val="left"/>
              <w:rPr/>
            </w:pPr>
            <w:r>
              <w:rPr/>
              <w:t>Not measured</w:t>
            </w:r>
          </w:p>
        </w:tc>
        <w:tc>
          <w:tcPr>
            <w:tcW w:w="1201" w:type="dxa"/>
            <w:tcBorders/>
            <w:vAlign w:val="center"/>
          </w:tcPr>
          <w:p>
            <w:pPr>
              <w:pStyle w:val="TableContents"/>
              <w:bidi w:val="0"/>
              <w:spacing w:before="0" w:after="283"/>
              <w:jc w:val="left"/>
              <w:rPr/>
            </w:pPr>
            <w:r>
              <w:rPr/>
              <w:t>—</w:t>
            </w:r>
          </w:p>
        </w:tc>
      </w:tr>
      <w:tr>
        <w:trPr/>
        <w:tc>
          <w:tcPr>
            <w:tcW w:w="1816" w:type="dxa"/>
            <w:tcBorders/>
            <w:vAlign w:val="center"/>
          </w:tcPr>
          <w:p>
            <w:pPr>
              <w:pStyle w:val="TableContents"/>
              <w:bidi w:val="0"/>
              <w:spacing w:before="0" w:after="283"/>
              <w:jc w:val="left"/>
              <w:rPr/>
            </w:pPr>
            <w:r>
              <w:rPr/>
              <w:t>Activity volume and per-user usage</w:t>
            </w:r>
          </w:p>
        </w:tc>
        <w:tc>
          <w:tcPr>
            <w:tcW w:w="2161" w:type="dxa"/>
            <w:tcBorders/>
            <w:vAlign w:val="center"/>
          </w:tcPr>
          <w:p>
            <w:pPr>
              <w:pStyle w:val="TableContents"/>
              <w:bidi w:val="0"/>
              <w:spacing w:before="0" w:after="283"/>
              <w:jc w:val="left"/>
              <w:rPr/>
            </w:pPr>
            <w:r>
              <w:rPr>
                <w:rStyle w:val="SourceText"/>
              </w:rPr>
              <w:t>activity_log</w:t>
            </w:r>
            <w:r>
              <w:rPr/>
              <w:t xml:space="preserve"> table (</w:t>
            </w:r>
            <w:r>
              <w:rPr>
                <w:rStyle w:val="SourceText"/>
              </w:rPr>
              <w:t>backend/app/core/db.py:17</w:t>
            </w:r>
            <w:r>
              <w:rPr/>
              <w:t xml:space="preserve">), written by </w:t>
            </w:r>
            <w:r>
              <w:rPr>
                <w:rStyle w:val="SourceText"/>
              </w:rPr>
              <w:t>backend/app/main.py:154-163</w:t>
            </w:r>
          </w:p>
        </w:tc>
        <w:tc>
          <w:tcPr>
            <w:tcW w:w="1621" w:type="dxa"/>
            <w:tcBorders/>
            <w:vAlign w:val="center"/>
          </w:tcPr>
          <w:p>
            <w:pPr>
              <w:pStyle w:val="TableContents"/>
              <w:bidi w:val="0"/>
              <w:spacing w:before="0" w:after="283"/>
              <w:jc w:val="left"/>
              <w:rPr/>
            </w:pPr>
            <w:r>
              <w:rPr>
                <w:rStyle w:val="SourceText"/>
              </w:rPr>
              <w:t>recent_activity(limit)</w:t>
            </w:r>
            <w:r>
              <w:rPr/>
              <w:t xml:space="preserve"> and </w:t>
            </w:r>
            <w:r>
              <w:rPr>
                <w:rStyle w:val="SourceText"/>
              </w:rPr>
              <w:t>usage_summary()</w:t>
            </w:r>
            <w:r>
              <w:rPr/>
              <w:t xml:space="preserve"> at </w:t>
            </w:r>
            <w:r>
              <w:rPr>
                <w:rStyle w:val="SourceText"/>
              </w:rPr>
              <w:t>backend/app/core/audit.py:25,36</w:t>
            </w:r>
          </w:p>
        </w:tc>
        <w:tc>
          <w:tcPr>
            <w:tcW w:w="1171" w:type="dxa"/>
            <w:tcBorders/>
            <w:vAlign w:val="center"/>
          </w:tcPr>
          <w:p>
            <w:pPr>
              <w:pStyle w:val="TableContents"/>
              <w:bidi w:val="0"/>
              <w:spacing w:before="0" w:after="283"/>
              <w:jc w:val="left"/>
              <w:rPr/>
            </w:pPr>
            <w:r>
              <w:rPr/>
              <w:t>On demand</w:t>
            </w:r>
          </w:p>
        </w:tc>
        <w:tc>
          <w:tcPr>
            <w:tcW w:w="1201" w:type="dxa"/>
            <w:tcBorders/>
            <w:vAlign w:val="center"/>
          </w:tcPr>
          <w:p>
            <w:pPr>
              <w:pStyle w:val="TableContents"/>
              <w:bidi w:val="0"/>
              <w:spacing w:before="0" w:after="283"/>
              <w:jc w:val="left"/>
              <w:rPr/>
            </w:pPr>
            <w:r>
              <w:rPr/>
              <w:t>Lead Engineer</w:t>
            </w:r>
          </w:p>
        </w:tc>
      </w:tr>
      <w:tr>
        <w:trPr/>
        <w:tc>
          <w:tcPr>
            <w:tcW w:w="1816" w:type="dxa"/>
            <w:tcBorders/>
            <w:vAlign w:val="center"/>
          </w:tcPr>
          <w:p>
            <w:pPr>
              <w:pStyle w:val="TableContents"/>
              <w:bidi w:val="0"/>
              <w:spacing w:before="0" w:after="283"/>
              <w:jc w:val="left"/>
              <w:rPr/>
            </w:pPr>
            <w:r>
              <w:rPr/>
              <w:t>Defect count and defect rate</w:t>
            </w:r>
          </w:p>
        </w:tc>
        <w:tc>
          <w:tcPr>
            <w:tcW w:w="2161" w:type="dxa"/>
            <w:tcBorders/>
            <w:vAlign w:val="center"/>
          </w:tcPr>
          <w:p>
            <w:pPr>
              <w:pStyle w:val="TableContents"/>
              <w:bidi w:val="0"/>
              <w:spacing w:before="0" w:after="283"/>
              <w:jc w:val="left"/>
              <w:rPr/>
            </w:pPr>
            <w:r>
              <w:rPr/>
              <w:t>Git history</w:t>
            </w:r>
          </w:p>
        </w:tc>
        <w:tc>
          <w:tcPr>
            <w:tcW w:w="1621" w:type="dxa"/>
            <w:tcBorders/>
            <w:vAlign w:val="center"/>
          </w:tcPr>
          <w:p>
            <w:pPr>
              <w:pStyle w:val="TableContents"/>
              <w:bidi w:val="0"/>
              <w:spacing w:before="0" w:after="283"/>
              <w:jc w:val="left"/>
              <w:rPr/>
            </w:pPr>
            <w:r>
              <w:rPr>
                <w:rStyle w:val="SourceText"/>
              </w:rPr>
              <w:t>git log --oneline</w:t>
            </w:r>
            <w:r>
              <w:rPr/>
              <w:t xml:space="preserve"> count; commits prefixed </w:t>
            </w:r>
            <w:r>
              <w:rPr>
                <w:rStyle w:val="SourceText"/>
              </w:rPr>
              <w:t>fix:</w:t>
            </w:r>
            <w:r>
              <w:rPr/>
              <w:t xml:space="preserve"> as a share of all commits — currently 22 of 202</w:t>
            </w:r>
          </w:p>
        </w:tc>
        <w:tc>
          <w:tcPr>
            <w:tcW w:w="1171" w:type="dxa"/>
            <w:tcBorders/>
            <w:vAlign w:val="center"/>
          </w:tcPr>
          <w:p>
            <w:pPr>
              <w:pStyle w:val="TableContents"/>
              <w:bidi w:val="0"/>
              <w:spacing w:before="0" w:after="283"/>
              <w:jc w:val="left"/>
              <w:rPr/>
            </w:pPr>
            <w:r>
              <w:rPr/>
              <w:t>Per management review</w:t>
            </w:r>
          </w:p>
        </w:tc>
        <w:tc>
          <w:tcPr>
            <w:tcW w:w="1201" w:type="dxa"/>
            <w:tcBorders/>
            <w:vAlign w:val="center"/>
          </w:tcPr>
          <w:p>
            <w:pPr>
              <w:pStyle w:val="TableContents"/>
              <w:bidi w:val="0"/>
              <w:spacing w:before="0" w:after="283"/>
              <w:jc w:val="left"/>
              <w:rPr/>
            </w:pPr>
            <w:r>
              <w:rPr/>
              <w:t>Managing Director</w:t>
            </w:r>
          </w:p>
        </w:tc>
      </w:tr>
      <w:tr>
        <w:trPr/>
        <w:tc>
          <w:tcPr>
            <w:tcW w:w="1816" w:type="dxa"/>
            <w:tcBorders/>
            <w:vAlign w:val="center"/>
          </w:tcPr>
          <w:p>
            <w:pPr>
              <w:pStyle w:val="TableContents"/>
              <w:bidi w:val="0"/>
              <w:spacing w:before="0" w:after="283"/>
              <w:jc w:val="left"/>
              <w:rPr/>
            </w:pPr>
            <w:r>
              <w:rPr/>
              <w:t>Change volume</w:t>
            </w:r>
          </w:p>
        </w:tc>
        <w:tc>
          <w:tcPr>
            <w:tcW w:w="2161" w:type="dxa"/>
            <w:tcBorders/>
            <w:vAlign w:val="center"/>
          </w:tcPr>
          <w:p>
            <w:pPr>
              <w:pStyle w:val="TableContents"/>
              <w:bidi w:val="0"/>
              <w:spacing w:before="0" w:after="283"/>
              <w:jc w:val="left"/>
              <w:rPr/>
            </w:pPr>
            <w:r>
              <w:rPr/>
              <w:t>Git history</w:t>
            </w:r>
          </w:p>
        </w:tc>
        <w:tc>
          <w:tcPr>
            <w:tcW w:w="1621" w:type="dxa"/>
            <w:tcBorders/>
            <w:vAlign w:val="center"/>
          </w:tcPr>
          <w:p>
            <w:pPr>
              <w:pStyle w:val="TableContents"/>
              <w:bidi w:val="0"/>
              <w:spacing w:before="0" w:after="283"/>
              <w:jc w:val="left"/>
              <w:rPr/>
            </w:pPr>
            <w:r>
              <w:rPr/>
              <w:t>Commits and files changed per period</w:t>
            </w:r>
          </w:p>
        </w:tc>
        <w:tc>
          <w:tcPr>
            <w:tcW w:w="1171" w:type="dxa"/>
            <w:tcBorders/>
            <w:vAlign w:val="center"/>
          </w:tcPr>
          <w:p>
            <w:pPr>
              <w:pStyle w:val="TableContents"/>
              <w:bidi w:val="0"/>
              <w:spacing w:before="0" w:after="283"/>
              <w:jc w:val="left"/>
              <w:rPr/>
            </w:pPr>
            <w:r>
              <w:rPr/>
              <w:t>Per management review</w:t>
            </w:r>
          </w:p>
        </w:tc>
        <w:tc>
          <w:tcPr>
            <w:tcW w:w="1201" w:type="dxa"/>
            <w:tcBorders/>
            <w:vAlign w:val="center"/>
          </w:tcPr>
          <w:p>
            <w:pPr>
              <w:pStyle w:val="TableContents"/>
              <w:bidi w:val="0"/>
              <w:spacing w:before="0" w:after="283"/>
              <w:jc w:val="left"/>
              <w:rPr/>
            </w:pPr>
            <w:r>
              <w:rPr/>
              <w:t>Managing Director</w:t>
            </w:r>
          </w:p>
        </w:tc>
      </w:tr>
      <w:tr>
        <w:trPr/>
        <w:tc>
          <w:tcPr>
            <w:tcW w:w="1816" w:type="dxa"/>
            <w:tcBorders/>
            <w:vAlign w:val="center"/>
          </w:tcPr>
          <w:p>
            <w:pPr>
              <w:pStyle w:val="TableContents"/>
              <w:bidi w:val="0"/>
              <w:spacing w:before="0" w:after="283"/>
              <w:jc w:val="left"/>
              <w:rPr/>
            </w:pPr>
            <w:r>
              <w:rPr/>
              <w:t>Nonconformities raised, closed and open, by severity</w:t>
            </w:r>
          </w:p>
        </w:tc>
        <w:tc>
          <w:tcPr>
            <w:tcW w:w="2161" w:type="dxa"/>
            <w:tcBorders/>
            <w:vAlign w:val="center"/>
          </w:tcPr>
          <w:p>
            <w:pPr>
              <w:pStyle w:val="TableContents"/>
              <w:bidi w:val="0"/>
              <w:spacing w:before="0" w:after="283"/>
              <w:jc w:val="left"/>
              <w:rPr/>
            </w:pPr>
            <w:r>
              <w:rPr>
                <w:rStyle w:val="SourceText"/>
              </w:rPr>
              <w:t>registers/REG-04_Nonconformity_and_CAPA_Log.md</w:t>
            </w:r>
            <w:r>
              <w:rPr/>
              <w:t xml:space="preserve"> (created by this QMS; no history before adoption)</w:t>
            </w:r>
          </w:p>
        </w:tc>
        <w:tc>
          <w:tcPr>
            <w:tcW w:w="1621" w:type="dxa"/>
            <w:tcBorders/>
            <w:vAlign w:val="center"/>
          </w:tcPr>
          <w:p>
            <w:pPr>
              <w:pStyle w:val="TableContents"/>
              <w:bidi w:val="0"/>
              <w:spacing w:before="0" w:after="283"/>
              <w:jc w:val="left"/>
              <w:rPr/>
            </w:pPr>
            <w:r>
              <w:rPr/>
              <w:t>Count from the register</w:t>
            </w:r>
          </w:p>
        </w:tc>
        <w:tc>
          <w:tcPr>
            <w:tcW w:w="1171" w:type="dxa"/>
            <w:tcBorders/>
            <w:vAlign w:val="center"/>
          </w:tcPr>
          <w:p>
            <w:pPr>
              <w:pStyle w:val="TableContents"/>
              <w:bidi w:val="0"/>
              <w:spacing w:before="0" w:after="283"/>
              <w:jc w:val="left"/>
              <w:rPr/>
            </w:pPr>
            <w:r>
              <w:rPr/>
              <w:t>Per management review</w:t>
            </w:r>
          </w:p>
        </w:tc>
        <w:tc>
          <w:tcPr>
            <w:tcW w:w="1201" w:type="dxa"/>
            <w:tcBorders/>
            <w:vAlign w:val="center"/>
          </w:tcPr>
          <w:p>
            <w:pPr>
              <w:pStyle w:val="TableContents"/>
              <w:bidi w:val="0"/>
              <w:spacing w:before="0" w:after="283"/>
              <w:jc w:val="left"/>
              <w:rPr/>
            </w:pPr>
            <w:r>
              <w:rPr/>
              <w:t>Managing Director</w:t>
            </w:r>
          </w:p>
        </w:tc>
      </w:tr>
    </w:tbl>
    <w:p>
      <w:pPr>
        <w:pStyle w:val="Heading2"/>
        <w:bidi w:val="0"/>
        <w:jc w:val="left"/>
        <w:rPr/>
      </w:pPr>
      <w:r>
        <w:rPr/>
        <w:t>5. Product quality measures versus QMS effectiveness measures</w:t>
      </w:r>
    </w:p>
    <w:p>
      <w:pPr>
        <w:pStyle w:val="BodyText"/>
        <w:bidi w:val="0"/>
        <w:jc w:val="left"/>
        <w:rPr/>
      </w:pPr>
      <w:r>
        <w:rPr/>
        <w:t>ISO 9001:2015 9.1.1 requires both, and they answer different questions. Conflating them is the usual way an organisation ends up measuring only the easy one.</w:t>
      </w:r>
    </w:p>
    <w:p>
      <w:pPr>
        <w:pStyle w:val="BodyText"/>
        <w:bidi w:val="0"/>
        <w:jc w:val="left"/>
        <w:rPr/>
      </w:pPr>
      <w:r>
        <w:rPr>
          <w:rStyle w:val="Strong"/>
        </w:rPr>
        <w:t>Product quality — "is the output correct?"</w:t>
      </w:r>
    </w:p>
    <w:tbl>
      <w:tblPr>
        <w:tblW w:w="7970" w:type="dxa"/>
        <w:jc w:val="left"/>
        <w:tblInd w:w="0" w:type="dxa"/>
        <w:tblLayout w:type="fixed"/>
        <w:tblCellMar>
          <w:top w:w="28" w:type="dxa"/>
          <w:left w:w="28" w:type="dxa"/>
          <w:bottom w:w="28" w:type="dxa"/>
          <w:right w:w="28" w:type="dxa"/>
        </w:tblCellMar>
      </w:tblPr>
      <w:tblGrid>
        <w:gridCol w:w="2069"/>
        <w:gridCol w:w="5901"/>
      </w:tblGrid>
      <w:tr>
        <w:trPr>
          <w:tblHeader w:val="true"/>
        </w:trPr>
        <w:tc>
          <w:tcPr>
            <w:tcW w:w="2069" w:type="dxa"/>
            <w:tcBorders/>
            <w:vAlign w:val="center"/>
          </w:tcPr>
          <w:p>
            <w:pPr>
              <w:pStyle w:val="TableHeading"/>
              <w:suppressLineNumbers/>
              <w:shd w:fill="1F3A5F" w:val="clear"/>
              <w:bidi w:val="0"/>
              <w:spacing w:before="0" w:after="283"/>
              <w:jc w:val="center"/>
              <w:rPr/>
            </w:pPr>
            <w:r>
              <w:rPr/>
              <w:t>Measure</w:t>
            </w:r>
          </w:p>
        </w:tc>
        <w:tc>
          <w:tcPr>
            <w:tcW w:w="5901" w:type="dxa"/>
            <w:tcBorders/>
            <w:vAlign w:val="center"/>
          </w:tcPr>
          <w:p>
            <w:pPr>
              <w:pStyle w:val="TableHeading"/>
              <w:suppressLineNumbers/>
              <w:shd w:fill="1F3A5F" w:val="clear"/>
              <w:bidi w:val="0"/>
              <w:spacing w:before="0" w:after="283"/>
              <w:jc w:val="center"/>
              <w:rPr/>
            </w:pPr>
            <w:r>
              <w:rPr/>
              <w:t>Question it answers</w:t>
            </w:r>
          </w:p>
        </w:tc>
      </w:tr>
      <w:tr>
        <w:trPr/>
        <w:tc>
          <w:tcPr>
            <w:tcW w:w="2069" w:type="dxa"/>
            <w:tcBorders/>
            <w:vAlign w:val="center"/>
          </w:tcPr>
          <w:p>
            <w:pPr>
              <w:pStyle w:val="TableContents"/>
              <w:bidi w:val="0"/>
              <w:spacing w:before="0" w:after="283"/>
              <w:jc w:val="left"/>
              <w:rPr/>
            </w:pPr>
            <w:r>
              <w:rPr/>
              <w:t>Golden-question pass count</w:t>
            </w:r>
          </w:p>
        </w:tc>
        <w:tc>
          <w:tcPr>
            <w:tcW w:w="5901" w:type="dxa"/>
            <w:tcBorders/>
            <w:vAlign w:val="center"/>
          </w:tcPr>
          <w:p>
            <w:pPr>
              <w:pStyle w:val="TableContents"/>
              <w:bidi w:val="0"/>
              <w:spacing w:before="0" w:after="283"/>
              <w:jc w:val="left"/>
              <w:rPr/>
            </w:pPr>
            <w:r>
              <w:rPr/>
              <w:t>Does the system still answer the questions it is supposed to answer, and still refuse the ones it is supposed to refuse?</w:t>
            </w:r>
          </w:p>
        </w:tc>
      </w:tr>
      <w:tr>
        <w:trPr/>
        <w:tc>
          <w:tcPr>
            <w:tcW w:w="2069" w:type="dxa"/>
            <w:tcBorders/>
            <w:vAlign w:val="center"/>
          </w:tcPr>
          <w:p>
            <w:pPr>
              <w:pStyle w:val="TableContents"/>
              <w:bidi w:val="0"/>
              <w:spacing w:before="0" w:after="283"/>
              <w:jc w:val="left"/>
              <w:rPr/>
            </w:pPr>
            <w:r>
              <w:rPr/>
              <w:t>Citation document-precision</w:t>
            </w:r>
          </w:p>
        </w:tc>
        <w:tc>
          <w:tcPr>
            <w:tcW w:w="5901" w:type="dxa"/>
            <w:tcBorders/>
            <w:vAlign w:val="center"/>
          </w:tcPr>
          <w:p>
            <w:pPr>
              <w:pStyle w:val="TableContents"/>
              <w:bidi w:val="0"/>
              <w:spacing w:before="0" w:after="283"/>
              <w:jc w:val="left"/>
              <w:rPr/>
            </w:pPr>
            <w:r>
              <w:rPr/>
              <w:t>Are the citations it offers actually the right documents?</w:t>
            </w:r>
          </w:p>
        </w:tc>
      </w:tr>
      <w:tr>
        <w:trPr/>
        <w:tc>
          <w:tcPr>
            <w:tcW w:w="2069" w:type="dxa"/>
            <w:tcBorders/>
            <w:vAlign w:val="center"/>
          </w:tcPr>
          <w:p>
            <w:pPr>
              <w:pStyle w:val="TableContents"/>
              <w:bidi w:val="0"/>
              <w:spacing w:before="0" w:after="283"/>
              <w:jc w:val="left"/>
              <w:rPr/>
            </w:pPr>
            <w:r>
              <w:rPr/>
              <w:t>Namespace leakage count</w:t>
            </w:r>
          </w:p>
        </w:tc>
        <w:tc>
          <w:tcPr>
            <w:tcW w:w="5901" w:type="dxa"/>
            <w:tcBorders/>
            <w:vAlign w:val="center"/>
          </w:tcPr>
          <w:p>
            <w:pPr>
              <w:pStyle w:val="TableContents"/>
              <w:bidi w:val="0"/>
              <w:spacing w:before="0" w:after="283"/>
              <w:jc w:val="left"/>
              <w:rPr/>
            </w:pPr>
            <w:r>
              <w:rPr/>
              <w:t>Does content cross a tenant boundary?</w:t>
            </w:r>
          </w:p>
        </w:tc>
      </w:tr>
      <w:tr>
        <w:trPr/>
        <w:tc>
          <w:tcPr>
            <w:tcW w:w="2069" w:type="dxa"/>
            <w:tcBorders/>
            <w:vAlign w:val="center"/>
          </w:tcPr>
          <w:p>
            <w:pPr>
              <w:pStyle w:val="TableContents"/>
              <w:bidi w:val="0"/>
              <w:spacing w:before="0" w:after="283"/>
              <w:jc w:val="left"/>
              <w:rPr/>
            </w:pPr>
            <w:r>
              <w:rPr/>
              <w:t>Prompt-guard test results</w:t>
            </w:r>
          </w:p>
        </w:tc>
        <w:tc>
          <w:tcPr>
            <w:tcW w:w="5901" w:type="dxa"/>
            <w:tcBorders/>
            <w:vAlign w:val="center"/>
          </w:tcPr>
          <w:p>
            <w:pPr>
              <w:pStyle w:val="TableContents"/>
              <w:bidi w:val="0"/>
              <w:spacing w:before="0" w:after="283"/>
              <w:jc w:val="left"/>
              <w:rPr/>
            </w:pPr>
            <w:r>
              <w:rPr/>
              <w:t>Can retrieved content still steer the model?</w:t>
            </w:r>
          </w:p>
        </w:tc>
      </w:tr>
      <w:tr>
        <w:trPr/>
        <w:tc>
          <w:tcPr>
            <w:tcW w:w="2069" w:type="dxa"/>
            <w:tcBorders/>
            <w:vAlign w:val="center"/>
          </w:tcPr>
          <w:p>
            <w:pPr>
              <w:pStyle w:val="TableContents"/>
              <w:bidi w:val="0"/>
              <w:spacing w:before="0" w:after="283"/>
              <w:jc w:val="left"/>
              <w:rPr/>
            </w:pPr>
            <w:r>
              <w:rPr/>
              <w:t>Voice per-turn latency</w:t>
            </w:r>
          </w:p>
        </w:tc>
        <w:tc>
          <w:tcPr>
            <w:tcW w:w="5901" w:type="dxa"/>
            <w:tcBorders/>
            <w:vAlign w:val="center"/>
          </w:tcPr>
          <w:p>
            <w:pPr>
              <w:pStyle w:val="TableContents"/>
              <w:bidi w:val="0"/>
              <w:spacing w:before="0" w:after="283"/>
              <w:jc w:val="left"/>
              <w:rPr/>
            </w:pPr>
            <w:r>
              <w:rPr/>
              <w:t>Is the interaction usable?</w:t>
            </w:r>
          </w:p>
        </w:tc>
      </w:tr>
      <w:tr>
        <w:trPr/>
        <w:tc>
          <w:tcPr>
            <w:tcW w:w="2069" w:type="dxa"/>
            <w:tcBorders/>
            <w:vAlign w:val="center"/>
          </w:tcPr>
          <w:p>
            <w:pPr>
              <w:pStyle w:val="TableContents"/>
              <w:bidi w:val="0"/>
              <w:spacing w:before="0" w:after="283"/>
              <w:jc w:val="left"/>
              <w:rPr/>
            </w:pPr>
            <w:r>
              <w:rPr/>
              <w:t>Container health state</w:t>
            </w:r>
          </w:p>
        </w:tc>
        <w:tc>
          <w:tcPr>
            <w:tcW w:w="5901" w:type="dxa"/>
            <w:tcBorders/>
            <w:vAlign w:val="center"/>
          </w:tcPr>
          <w:p>
            <w:pPr>
              <w:pStyle w:val="TableContents"/>
              <w:bidi w:val="0"/>
              <w:spacing w:before="0" w:after="283"/>
              <w:jc w:val="left"/>
              <w:rPr/>
            </w:pPr>
            <w:r>
              <w:rPr/>
              <w:t>Is the service available?</w:t>
            </w:r>
          </w:p>
        </w:tc>
      </w:tr>
    </w:tbl>
    <w:p>
      <w:pPr>
        <w:pStyle w:val="BodyText"/>
        <w:bidi w:val="0"/>
        <w:jc w:val="left"/>
        <w:rPr/>
      </w:pPr>
      <w:r>
        <w:rPr>
          <w:rStyle w:val="Strong"/>
        </w:rPr>
        <w:t>QMS effectiveness — "is the way we work producing correct output reliably?"</w:t>
      </w:r>
    </w:p>
    <w:tbl>
      <w:tblPr>
        <w:tblW w:w="7970" w:type="dxa"/>
        <w:jc w:val="left"/>
        <w:tblInd w:w="0" w:type="dxa"/>
        <w:tblLayout w:type="fixed"/>
        <w:tblCellMar>
          <w:top w:w="28" w:type="dxa"/>
          <w:left w:w="28" w:type="dxa"/>
          <w:bottom w:w="28" w:type="dxa"/>
          <w:right w:w="28" w:type="dxa"/>
        </w:tblCellMar>
      </w:tblPr>
      <w:tblGrid>
        <w:gridCol w:w="4579"/>
        <w:gridCol w:w="3391"/>
      </w:tblGrid>
      <w:tr>
        <w:trPr>
          <w:tblHeader w:val="true"/>
        </w:trPr>
        <w:tc>
          <w:tcPr>
            <w:tcW w:w="4579" w:type="dxa"/>
            <w:tcBorders/>
            <w:vAlign w:val="center"/>
          </w:tcPr>
          <w:p>
            <w:pPr>
              <w:pStyle w:val="TableHeading"/>
              <w:suppressLineNumbers/>
              <w:shd w:fill="1F3A5F" w:val="clear"/>
              <w:bidi w:val="0"/>
              <w:spacing w:before="0" w:after="283"/>
              <w:jc w:val="center"/>
              <w:rPr/>
            </w:pPr>
            <w:r>
              <w:rPr/>
              <w:t>Measure</w:t>
            </w:r>
          </w:p>
        </w:tc>
        <w:tc>
          <w:tcPr>
            <w:tcW w:w="3391" w:type="dxa"/>
            <w:tcBorders/>
            <w:vAlign w:val="center"/>
          </w:tcPr>
          <w:p>
            <w:pPr>
              <w:pStyle w:val="TableHeading"/>
              <w:suppressLineNumbers/>
              <w:shd w:fill="1F3A5F" w:val="clear"/>
              <w:bidi w:val="0"/>
              <w:spacing w:before="0" w:after="283"/>
              <w:jc w:val="center"/>
              <w:rPr/>
            </w:pPr>
            <w:r>
              <w:rPr/>
              <w:t>Question it answers</w:t>
            </w:r>
          </w:p>
        </w:tc>
      </w:tr>
      <w:tr>
        <w:trPr/>
        <w:tc>
          <w:tcPr>
            <w:tcW w:w="4579" w:type="dxa"/>
            <w:tcBorders/>
            <w:vAlign w:val="center"/>
          </w:tcPr>
          <w:p>
            <w:pPr>
              <w:pStyle w:val="TableContents"/>
              <w:bidi w:val="0"/>
              <w:spacing w:before="0" w:after="283"/>
              <w:jc w:val="left"/>
              <w:rPr/>
            </w:pPr>
            <w:r>
              <w:rPr/>
              <w:t>Nonconformities by severity, raised versus closed</w:t>
            </w:r>
          </w:p>
        </w:tc>
        <w:tc>
          <w:tcPr>
            <w:tcW w:w="3391" w:type="dxa"/>
            <w:tcBorders/>
            <w:vAlign w:val="center"/>
          </w:tcPr>
          <w:p>
            <w:pPr>
              <w:pStyle w:val="TableContents"/>
              <w:bidi w:val="0"/>
              <w:spacing w:before="0" w:after="283"/>
              <w:jc w:val="left"/>
              <w:rPr/>
            </w:pPr>
            <w:r>
              <w:rPr/>
              <w:t>Are we finding problems, and are we finishing them?</w:t>
            </w:r>
          </w:p>
        </w:tc>
      </w:tr>
      <w:tr>
        <w:trPr/>
        <w:tc>
          <w:tcPr>
            <w:tcW w:w="4579" w:type="dxa"/>
            <w:tcBorders/>
            <w:vAlign w:val="center"/>
          </w:tcPr>
          <w:p>
            <w:pPr>
              <w:pStyle w:val="TableContents"/>
              <w:bidi w:val="0"/>
              <w:spacing w:before="0" w:after="283"/>
              <w:jc w:val="left"/>
              <w:rPr/>
            </w:pPr>
            <w:r>
              <w:rPr/>
              <w:t>Proportion of nonconformities detected by evaluation rather than by a user</w:t>
            </w:r>
          </w:p>
        </w:tc>
        <w:tc>
          <w:tcPr>
            <w:tcW w:w="3391" w:type="dxa"/>
            <w:tcBorders/>
            <w:vAlign w:val="center"/>
          </w:tcPr>
          <w:p>
            <w:pPr>
              <w:pStyle w:val="TableContents"/>
              <w:bidi w:val="0"/>
              <w:spacing w:before="0" w:after="283"/>
              <w:jc w:val="left"/>
              <w:rPr/>
            </w:pPr>
            <w:r>
              <w:rPr/>
              <w:t>Are our controls catching defects before customers do?</w:t>
            </w:r>
          </w:p>
        </w:tc>
      </w:tr>
      <w:tr>
        <w:trPr/>
        <w:tc>
          <w:tcPr>
            <w:tcW w:w="4579" w:type="dxa"/>
            <w:tcBorders/>
            <w:vAlign w:val="center"/>
          </w:tcPr>
          <w:p>
            <w:pPr>
              <w:pStyle w:val="TableContents"/>
              <w:bidi w:val="0"/>
              <w:spacing w:before="0" w:after="283"/>
              <w:jc w:val="left"/>
              <w:rPr/>
            </w:pPr>
            <w:r>
              <w:rPr/>
              <w:t>Recurrence — nonconformities of a class already corrected</w:t>
            </w:r>
          </w:p>
        </w:tc>
        <w:tc>
          <w:tcPr>
            <w:tcW w:w="3391" w:type="dxa"/>
            <w:tcBorders/>
            <w:vAlign w:val="center"/>
          </w:tcPr>
          <w:p>
            <w:pPr>
              <w:pStyle w:val="TableContents"/>
              <w:bidi w:val="0"/>
              <w:spacing w:before="0" w:after="283"/>
              <w:jc w:val="left"/>
              <w:rPr/>
            </w:pPr>
            <w:r>
              <w:rPr/>
              <w:t>Are corrective actions actually working?</w:t>
            </w:r>
          </w:p>
        </w:tc>
      </w:tr>
      <w:tr>
        <w:trPr/>
        <w:tc>
          <w:tcPr>
            <w:tcW w:w="4579" w:type="dxa"/>
            <w:tcBorders/>
            <w:vAlign w:val="center"/>
          </w:tcPr>
          <w:p>
            <w:pPr>
              <w:pStyle w:val="TableContents"/>
              <w:bidi w:val="0"/>
              <w:spacing w:before="0" w:after="283"/>
              <w:jc w:val="left"/>
              <w:rPr/>
            </w:pPr>
            <w:r>
              <w:rPr/>
              <w:t>Defect rate (</w:t>
            </w:r>
            <w:r>
              <w:rPr>
                <w:rStyle w:val="SourceText"/>
              </w:rPr>
              <w:t>fix:</w:t>
            </w:r>
            <w:r>
              <w:rPr/>
              <w:t xml:space="preserve"> commits as a share of all commits)</w:t>
            </w:r>
          </w:p>
        </w:tc>
        <w:tc>
          <w:tcPr>
            <w:tcW w:w="3391" w:type="dxa"/>
            <w:tcBorders/>
            <w:vAlign w:val="center"/>
          </w:tcPr>
          <w:p>
            <w:pPr>
              <w:pStyle w:val="TableContents"/>
              <w:bidi w:val="0"/>
              <w:spacing w:before="0" w:after="283"/>
              <w:jc w:val="left"/>
              <w:rPr/>
            </w:pPr>
            <w:r>
              <w:rPr/>
              <w:t>Is the rate of rework changing?</w:t>
            </w:r>
          </w:p>
        </w:tc>
      </w:tr>
      <w:tr>
        <w:trPr/>
        <w:tc>
          <w:tcPr>
            <w:tcW w:w="4579" w:type="dxa"/>
            <w:tcBorders/>
            <w:vAlign w:val="center"/>
          </w:tcPr>
          <w:p>
            <w:pPr>
              <w:pStyle w:val="TableContents"/>
              <w:bidi w:val="0"/>
              <w:spacing w:before="0" w:after="283"/>
              <w:jc w:val="left"/>
              <w:rPr/>
            </w:pPr>
            <w:r>
              <w:rPr/>
              <w:t>Age of open nonconformities</w:t>
            </w:r>
          </w:p>
        </w:tc>
        <w:tc>
          <w:tcPr>
            <w:tcW w:w="3391" w:type="dxa"/>
            <w:tcBorders/>
            <w:vAlign w:val="center"/>
          </w:tcPr>
          <w:p>
            <w:pPr>
              <w:pStyle w:val="TableContents"/>
              <w:bidi w:val="0"/>
              <w:spacing w:before="0" w:after="283"/>
              <w:jc w:val="left"/>
              <w:rPr/>
            </w:pPr>
            <w:r>
              <w:rPr/>
              <w:t>Are problems being carried indefinitely?</w:t>
            </w:r>
          </w:p>
        </w:tc>
      </w:tr>
      <w:tr>
        <w:trPr/>
        <w:tc>
          <w:tcPr>
            <w:tcW w:w="4579" w:type="dxa"/>
            <w:tcBorders/>
            <w:vAlign w:val="center"/>
          </w:tcPr>
          <w:p>
            <w:pPr>
              <w:pStyle w:val="TableContents"/>
              <w:bidi w:val="0"/>
              <w:spacing w:before="0" w:after="283"/>
              <w:jc w:val="left"/>
              <w:rPr/>
            </w:pPr>
            <w:r>
              <w:rPr/>
              <w:t>Proportion of releases with a recorded pre-release golden run</w:t>
            </w:r>
          </w:p>
        </w:tc>
        <w:tc>
          <w:tcPr>
            <w:tcW w:w="3391" w:type="dxa"/>
            <w:tcBorders/>
            <w:vAlign w:val="center"/>
          </w:tcPr>
          <w:p>
            <w:pPr>
              <w:pStyle w:val="TableContents"/>
              <w:bidi w:val="0"/>
              <w:spacing w:before="0" w:after="283"/>
              <w:jc w:val="left"/>
              <w:rPr/>
            </w:pPr>
            <w:r>
              <w:rPr/>
              <w:t>Is the release gate being applied, or bypassed?</w:t>
            </w:r>
          </w:p>
        </w:tc>
      </w:tr>
      <w:tr>
        <w:trPr/>
        <w:tc>
          <w:tcPr>
            <w:tcW w:w="4579" w:type="dxa"/>
            <w:tcBorders/>
            <w:vAlign w:val="center"/>
          </w:tcPr>
          <w:p>
            <w:pPr>
              <w:pStyle w:val="TableContents"/>
              <w:bidi w:val="0"/>
              <w:spacing w:before="0" w:after="283"/>
              <w:jc w:val="left"/>
              <w:rPr/>
            </w:pPr>
            <w:r>
              <w:rPr/>
              <w:t xml:space="preserve">Gaps closed from </w:t>
            </w:r>
            <w:r>
              <w:rPr>
                <w:rStyle w:val="SourceText"/>
              </w:rPr>
              <w:t>ISO9001_Gap_Analysis.md</w:t>
            </w:r>
          </w:p>
        </w:tc>
        <w:tc>
          <w:tcPr>
            <w:tcW w:w="3391" w:type="dxa"/>
            <w:tcBorders/>
            <w:vAlign w:val="center"/>
          </w:tcPr>
          <w:p>
            <w:pPr>
              <w:pStyle w:val="TableContents"/>
              <w:bidi w:val="0"/>
              <w:spacing w:before="0" w:after="283"/>
              <w:jc w:val="left"/>
              <w:rPr/>
            </w:pPr>
            <w:r>
              <w:rPr/>
              <w:t>Is the QMS maturing, or static?</w:t>
            </w:r>
          </w:p>
        </w:tc>
      </w:tr>
    </w:tbl>
    <w:p>
      <w:pPr>
        <w:pStyle w:val="BodyText"/>
        <w:bidi w:val="0"/>
        <w:jc w:val="left"/>
        <w:rPr/>
      </w:pPr>
      <w:r>
        <w:rPr/>
        <w:t xml:space="preserve">The second table cannot be populated from the existing record. Nothing in it has ever been counted, because the register it depends on is created by this QMS (§8, and </w:t>
      </w:r>
      <w:r>
        <w:rPr>
          <w:rStyle w:val="SourceText"/>
        </w:rPr>
        <w:t>SOP-10</w:t>
      </w:r>
      <w:r>
        <w:rPr/>
        <w:t xml:space="preserve"> §12). The first measurement of QMS effectiveness will be taken at the first management review, and the absence of a baseline is itself the first finding.</w:t>
      </w:r>
    </w:p>
    <w:p>
      <w:pPr>
        <w:pStyle w:val="Heading2"/>
        <w:bidi w:val="0"/>
        <w:jc w:val="left"/>
        <w:rPr/>
      </w:pPr>
      <w:r>
        <w:rPr/>
        <w:t>6. Integrity of the measuring instrument (7.1.5)</w:t>
      </w:r>
    </w:p>
    <w:p>
      <w:pPr>
        <w:pStyle w:val="BodyText"/>
        <w:bidi w:val="0"/>
        <w:jc w:val="left"/>
        <w:rPr/>
      </w:pPr>
      <w:r>
        <w:rPr/>
        <w:t>ISO 9001:2015 7.1.5 concerns the resources needed to ensure valid and reliable monitoring and measurement results, including — where measurement traceability is a requirement — calibrated equipment.</w:t>
      </w:r>
    </w:p>
    <w:p>
      <w:pPr>
        <w:pStyle w:val="BodyText"/>
        <w:bidi w:val="0"/>
        <w:jc w:val="left"/>
        <w:rPr/>
      </w:pPr>
      <w:r>
        <w:rPr>
          <w:rStyle w:val="Strong"/>
        </w:rPr>
        <w:t>There is no physical measuring equipment in the scope of this QMS.</w:t>
      </w:r>
      <w:r>
        <w:rPr/>
        <w:t xml:space="preserve"> Ajace AI does not manufacture and does not measure physical characteristics. Clause 7.1.5.2 (measurement traceability to international standards) therefore does not apply, and that is recorded here rather than left as an unexplained omission.</w:t>
      </w:r>
    </w:p>
    <w:p>
      <w:pPr>
        <w:pStyle w:val="BodyText"/>
        <w:bidi w:val="0"/>
        <w:jc w:val="left"/>
        <w:rPr/>
      </w:pPr>
      <w:r>
        <w:rPr>
          <w:rStyle w:val="Strong"/>
        </w:rPr>
        <w:t>The equivalent control for this organisation is the integrity of the measurement harness itself.</w:t>
      </w:r>
      <w:r>
        <w:rPr/>
        <w:t xml:space="preserve"> The golden question set, its expected answers, its thresholds and the scripts that execute it are this organisation's measuring instrument. If the question set silently changes, every trend measured against it is meaningless — exactly as an uncalibrated gauge makes every reading meaningless. The instrument must therefore be identified, version-controlled and change-controlled.</w:t>
      </w:r>
    </w:p>
    <w:tbl>
      <w:tblPr>
        <w:tblW w:w="7970" w:type="dxa"/>
        <w:jc w:val="left"/>
        <w:tblInd w:w="0" w:type="dxa"/>
        <w:tblLayout w:type="fixed"/>
        <w:tblCellMar>
          <w:top w:w="28" w:type="dxa"/>
          <w:left w:w="28" w:type="dxa"/>
          <w:bottom w:w="28" w:type="dxa"/>
          <w:right w:w="28" w:type="dxa"/>
        </w:tblCellMar>
      </w:tblPr>
      <w:tblGrid>
        <w:gridCol w:w="1574"/>
        <w:gridCol w:w="4051"/>
        <w:gridCol w:w="2345"/>
      </w:tblGrid>
      <w:tr>
        <w:trPr>
          <w:tblHeader w:val="true"/>
        </w:trPr>
        <w:tc>
          <w:tcPr>
            <w:tcW w:w="1574" w:type="dxa"/>
            <w:tcBorders/>
            <w:vAlign w:val="center"/>
          </w:tcPr>
          <w:p>
            <w:pPr>
              <w:pStyle w:val="TableHeading"/>
              <w:suppressLineNumbers/>
              <w:shd w:fill="1F3A5F" w:val="clear"/>
              <w:bidi w:val="0"/>
              <w:spacing w:before="0" w:after="283"/>
              <w:jc w:val="center"/>
              <w:rPr/>
            </w:pPr>
            <w:r>
              <w:rPr/>
              <w:t>Instrument component</w:t>
            </w:r>
          </w:p>
        </w:tc>
        <w:tc>
          <w:tcPr>
            <w:tcW w:w="4051" w:type="dxa"/>
            <w:tcBorders/>
            <w:vAlign w:val="center"/>
          </w:tcPr>
          <w:p>
            <w:pPr>
              <w:pStyle w:val="TableHeading"/>
              <w:suppressLineNumbers/>
              <w:shd w:fill="1F3A5F" w:val="clear"/>
              <w:bidi w:val="0"/>
              <w:spacing w:before="0" w:after="283"/>
              <w:jc w:val="center"/>
              <w:rPr/>
            </w:pPr>
            <w:r>
              <w:rPr/>
              <w:t>Location</w:t>
            </w:r>
          </w:p>
        </w:tc>
        <w:tc>
          <w:tcPr>
            <w:tcW w:w="2345" w:type="dxa"/>
            <w:tcBorders/>
            <w:vAlign w:val="center"/>
          </w:tcPr>
          <w:p>
            <w:pPr>
              <w:pStyle w:val="TableHeading"/>
              <w:suppressLineNumbers/>
              <w:shd w:fill="1F3A5F" w:val="clear"/>
              <w:bidi w:val="0"/>
              <w:spacing w:before="0" w:after="283"/>
              <w:jc w:val="center"/>
              <w:rPr/>
            </w:pPr>
            <w:r>
              <w:rPr/>
              <w:t>Controlled?</w:t>
            </w:r>
          </w:p>
        </w:tc>
      </w:tr>
      <w:tr>
        <w:trPr/>
        <w:tc>
          <w:tcPr>
            <w:tcW w:w="1574" w:type="dxa"/>
            <w:tcBorders/>
            <w:vAlign w:val="center"/>
          </w:tcPr>
          <w:p>
            <w:pPr>
              <w:pStyle w:val="TableContents"/>
              <w:bidi w:val="0"/>
              <w:spacing w:before="0" w:after="283"/>
              <w:jc w:val="left"/>
              <w:rPr/>
            </w:pPr>
            <w:r>
              <w:rPr/>
              <w:t>Golden question sets and expected answers</w:t>
            </w:r>
          </w:p>
        </w:tc>
        <w:tc>
          <w:tcPr>
            <w:tcW w:w="4051" w:type="dxa"/>
            <w:tcBorders/>
            <w:vAlign w:val="center"/>
          </w:tcPr>
          <w:p>
            <w:pPr>
              <w:pStyle w:val="TableContents"/>
              <w:bidi w:val="0"/>
              <w:spacing w:before="0" w:after="283"/>
              <w:jc w:val="left"/>
              <w:rPr/>
            </w:pPr>
            <w:r>
              <w:rPr>
                <w:rStyle w:val="SourceText"/>
              </w:rPr>
              <w:t>eval/golden/bank.jsonl</w:t>
            </w:r>
            <w:r>
              <w:rPr/>
              <w:t xml:space="preserve">, </w:t>
            </w:r>
            <w:r>
              <w:rPr>
                <w:rStyle w:val="SourceText"/>
              </w:rPr>
              <w:t>conversational.jsonl</w:t>
            </w:r>
            <w:r>
              <w:rPr/>
              <w:t xml:space="preserve">, </w:t>
            </w:r>
            <w:r>
              <w:rPr>
                <w:rStyle w:val="SourceText"/>
              </w:rPr>
              <w:t>fmr.jsonl</w:t>
            </w:r>
            <w:r>
              <w:rPr/>
              <w:t xml:space="preserve">, </w:t>
            </w:r>
            <w:r>
              <w:rPr>
                <w:rStyle w:val="SourceText"/>
              </w:rPr>
              <w:t>health.jsonl</w:t>
            </w:r>
            <w:r>
              <w:rPr/>
              <w:t xml:space="preserve">, </w:t>
            </w:r>
            <w:r>
              <w:rPr>
                <w:rStyle w:val="SourceText"/>
              </w:rPr>
              <w:t>law.jsonl</w:t>
            </w:r>
            <w:r>
              <w:rPr/>
              <w:t xml:space="preserve">, </w:t>
            </w:r>
            <w:r>
              <w:rPr>
                <w:rStyle w:val="SourceText"/>
              </w:rPr>
              <w:t>meetings.jsonl</w:t>
            </w:r>
            <w:r>
              <w:rPr/>
              <w:t xml:space="preserve">, </w:t>
            </w:r>
            <w:r>
              <w:rPr>
                <w:rStyle w:val="SourceText"/>
              </w:rPr>
              <w:t>retail.jsonl</w:t>
            </w:r>
          </w:p>
        </w:tc>
        <w:tc>
          <w:tcPr>
            <w:tcW w:w="2345" w:type="dxa"/>
            <w:tcBorders/>
            <w:vAlign w:val="center"/>
          </w:tcPr>
          <w:p>
            <w:pPr>
              <w:pStyle w:val="TableContents"/>
              <w:bidi w:val="0"/>
              <w:spacing w:before="0" w:after="283"/>
              <w:jc w:val="left"/>
              <w:rPr/>
            </w:pPr>
            <w:r>
              <w:rPr>
                <w:rStyle w:val="Strong"/>
              </w:rPr>
              <w:t>Yes</w:t>
            </w:r>
            <w:r>
              <w:rPr/>
              <w:t xml:space="preserve"> — tracked in Git; every change is a commit with an author, a date and a diff (</w:t>
            </w:r>
            <w:r>
              <w:rPr>
                <w:rStyle w:val="SourceText"/>
              </w:rPr>
              <w:t>SOP-01</w:t>
            </w:r>
            <w:r>
              <w:rPr/>
              <w:t xml:space="preserve"> §3)</w:t>
            </w:r>
          </w:p>
        </w:tc>
      </w:tr>
      <w:tr>
        <w:trPr/>
        <w:tc>
          <w:tcPr>
            <w:tcW w:w="1574" w:type="dxa"/>
            <w:tcBorders/>
            <w:vAlign w:val="center"/>
          </w:tcPr>
          <w:p>
            <w:pPr>
              <w:pStyle w:val="TableContents"/>
              <w:bidi w:val="0"/>
              <w:spacing w:before="0" w:after="283"/>
              <w:jc w:val="left"/>
              <w:rPr/>
            </w:pPr>
            <w:r>
              <w:rPr/>
              <w:t>Scoring logic and pass criteria</w:t>
            </w:r>
          </w:p>
        </w:tc>
        <w:tc>
          <w:tcPr>
            <w:tcW w:w="4051" w:type="dxa"/>
            <w:tcBorders/>
            <w:vAlign w:val="center"/>
          </w:tcPr>
          <w:p>
            <w:pPr>
              <w:pStyle w:val="TableContents"/>
              <w:bidi w:val="0"/>
              <w:spacing w:before="0" w:after="283"/>
              <w:jc w:val="left"/>
              <w:rPr/>
            </w:pPr>
            <w:r>
              <w:rPr>
                <w:rStyle w:val="SourceText"/>
              </w:rPr>
              <w:t>eval/run_eval.py</w:t>
            </w:r>
          </w:p>
        </w:tc>
        <w:tc>
          <w:tcPr>
            <w:tcW w:w="2345" w:type="dxa"/>
            <w:tcBorders/>
            <w:vAlign w:val="center"/>
          </w:tcPr>
          <w:p>
            <w:pPr>
              <w:pStyle w:val="TableContents"/>
              <w:bidi w:val="0"/>
              <w:spacing w:before="0" w:after="283"/>
              <w:jc w:val="left"/>
              <w:rPr/>
            </w:pPr>
            <w:r>
              <w:rPr>
                <w:rStyle w:val="Strong"/>
              </w:rPr>
              <w:t>Yes</w:t>
            </w:r>
            <w:r>
              <w:rPr/>
              <w:t xml:space="preserve"> — tracked in Git</w:t>
            </w:r>
          </w:p>
        </w:tc>
      </w:tr>
      <w:tr>
        <w:trPr/>
        <w:tc>
          <w:tcPr>
            <w:tcW w:w="1574" w:type="dxa"/>
            <w:tcBorders/>
            <w:vAlign w:val="center"/>
          </w:tcPr>
          <w:p>
            <w:pPr>
              <w:pStyle w:val="TableContents"/>
              <w:bidi w:val="0"/>
              <w:spacing w:before="0" w:after="283"/>
              <w:jc w:val="left"/>
              <w:rPr/>
            </w:pPr>
            <w:r>
              <w:rPr/>
              <w:t>Paper experiment scripts</w:t>
            </w:r>
          </w:p>
        </w:tc>
        <w:tc>
          <w:tcPr>
            <w:tcW w:w="4051" w:type="dxa"/>
            <w:tcBorders/>
            <w:vAlign w:val="center"/>
          </w:tcPr>
          <w:p>
            <w:pPr>
              <w:pStyle w:val="TableContents"/>
              <w:bidi w:val="0"/>
              <w:spacing w:before="0" w:after="283"/>
              <w:jc w:val="left"/>
              <w:rPr/>
            </w:pPr>
            <w:r>
              <w:rPr>
                <w:rStyle w:val="SourceText"/>
              </w:rPr>
              <w:t>eval/paper/*.py</w:t>
            </w:r>
            <w:r>
              <w:rPr/>
              <w:t xml:space="preserve"> (E1, E3, E3b, E4, E5, E7–E10 plus the corpus builders)</w:t>
            </w:r>
          </w:p>
        </w:tc>
        <w:tc>
          <w:tcPr>
            <w:tcW w:w="2345" w:type="dxa"/>
            <w:tcBorders/>
            <w:vAlign w:val="center"/>
          </w:tcPr>
          <w:p>
            <w:pPr>
              <w:pStyle w:val="TableContents"/>
              <w:bidi w:val="0"/>
              <w:spacing w:before="0" w:after="283"/>
              <w:jc w:val="left"/>
              <w:rPr/>
            </w:pPr>
            <w:r>
              <w:rPr>
                <w:rStyle w:val="Strong"/>
              </w:rPr>
              <w:t>Yes</w:t>
            </w:r>
            <w:r>
              <w:rPr/>
              <w:t xml:space="preserve"> — tracked in Git</w:t>
            </w:r>
          </w:p>
        </w:tc>
      </w:tr>
      <w:tr>
        <w:trPr/>
        <w:tc>
          <w:tcPr>
            <w:tcW w:w="1574" w:type="dxa"/>
            <w:tcBorders/>
            <w:vAlign w:val="center"/>
          </w:tcPr>
          <w:p>
            <w:pPr>
              <w:pStyle w:val="TableContents"/>
              <w:bidi w:val="0"/>
              <w:spacing w:before="0" w:after="283"/>
              <w:jc w:val="left"/>
              <w:rPr/>
            </w:pPr>
            <w:r>
              <w:rPr/>
              <w:t>Recorded experiment results</w:t>
            </w:r>
          </w:p>
        </w:tc>
        <w:tc>
          <w:tcPr>
            <w:tcW w:w="4051" w:type="dxa"/>
            <w:tcBorders/>
            <w:vAlign w:val="center"/>
          </w:tcPr>
          <w:p>
            <w:pPr>
              <w:pStyle w:val="TableContents"/>
              <w:bidi w:val="0"/>
              <w:spacing w:before="0" w:after="283"/>
              <w:jc w:val="left"/>
              <w:rPr/>
            </w:pPr>
            <w:r>
              <w:rPr>
                <w:rStyle w:val="SourceText"/>
              </w:rPr>
              <w:t>eval/paper/results/*.json</w:t>
            </w:r>
            <w:r>
              <w:rPr/>
              <w:t xml:space="preserve">, including </w:t>
            </w:r>
            <w:r>
              <w:rPr>
                <w:rStyle w:val="SourceText"/>
              </w:rPr>
              <w:t>SUMMARY.json</w:t>
            </w:r>
            <w:r>
              <w:rPr/>
              <w:t xml:space="preserve">, </w:t>
            </w:r>
            <w:r>
              <w:rPr>
                <w:rStyle w:val="SourceText"/>
              </w:rPr>
              <w:t>REGRESSION_AND_FIXES.json</w:t>
            </w:r>
            <w:r>
              <w:rPr/>
              <w:t xml:space="preserve"> and </w:t>
            </w:r>
            <w:r>
              <w:rPr>
                <w:rStyle w:val="SourceText"/>
              </w:rPr>
              <w:t>config_manifest.json</w:t>
            </w:r>
          </w:p>
        </w:tc>
        <w:tc>
          <w:tcPr>
            <w:tcW w:w="2345" w:type="dxa"/>
            <w:tcBorders/>
            <w:vAlign w:val="center"/>
          </w:tcPr>
          <w:p>
            <w:pPr>
              <w:pStyle w:val="TableContents"/>
              <w:bidi w:val="0"/>
              <w:spacing w:before="0" w:after="283"/>
              <w:jc w:val="left"/>
              <w:rPr/>
            </w:pPr>
            <w:r>
              <w:rPr>
                <w:rStyle w:val="Strong"/>
              </w:rPr>
              <w:t>Yes</w:t>
            </w:r>
            <w:r>
              <w:rPr/>
              <w:t xml:space="preserve"> — tracked in Git</w:t>
            </w:r>
          </w:p>
        </w:tc>
      </w:tr>
      <w:tr>
        <w:trPr/>
        <w:tc>
          <w:tcPr>
            <w:tcW w:w="1574" w:type="dxa"/>
            <w:tcBorders/>
            <w:vAlign w:val="center"/>
          </w:tcPr>
          <w:p>
            <w:pPr>
              <w:pStyle w:val="TableContents"/>
              <w:bidi w:val="0"/>
              <w:spacing w:before="0" w:after="283"/>
              <w:jc w:val="left"/>
              <w:rPr/>
            </w:pPr>
            <w:r>
              <w:rPr/>
              <w:t>Per-run golden evaluation reports</w:t>
            </w:r>
          </w:p>
        </w:tc>
        <w:tc>
          <w:tcPr>
            <w:tcW w:w="4051" w:type="dxa"/>
            <w:tcBorders/>
            <w:vAlign w:val="center"/>
          </w:tcPr>
          <w:p>
            <w:pPr>
              <w:pStyle w:val="TableContents"/>
              <w:bidi w:val="0"/>
              <w:spacing w:before="0" w:after="283"/>
              <w:jc w:val="left"/>
              <w:rPr/>
            </w:pPr>
            <w:r>
              <w:rPr>
                <w:rStyle w:val="SourceText"/>
              </w:rPr>
              <w:t>eval/reports/eval_&lt;run_id&gt;.json</w:t>
            </w:r>
            <w:r>
              <w:rPr/>
              <w:t xml:space="preserve">, written at </w:t>
            </w:r>
            <w:r>
              <w:rPr>
                <w:rStyle w:val="SourceText"/>
              </w:rPr>
              <w:t>eval/run_eval.py:275-276</w:t>
            </w:r>
          </w:p>
        </w:tc>
        <w:tc>
          <w:tcPr>
            <w:tcW w:w="2345" w:type="dxa"/>
            <w:tcBorders/>
            <w:vAlign w:val="center"/>
          </w:tcPr>
          <w:p>
            <w:pPr>
              <w:pStyle w:val="TableContents"/>
              <w:bidi w:val="0"/>
              <w:spacing w:before="0" w:after="283"/>
              <w:jc w:val="left"/>
              <w:rPr/>
            </w:pPr>
            <w:r>
              <w:rPr>
                <w:rStyle w:val="Strong"/>
              </w:rPr>
              <w:t>No</w:t>
            </w:r>
            <w:r>
              <w:rPr/>
              <w:t xml:space="preserve"> — </w:t>
            </w:r>
            <w:r>
              <w:rPr>
                <w:rStyle w:val="SourceText"/>
              </w:rPr>
              <w:t>eval/.gitignore</w:t>
            </w:r>
            <w:r>
              <w:rPr/>
              <w:t xml:space="preserve"> excludes </w:t>
            </w:r>
            <w:r>
              <w:rPr>
                <w:rStyle w:val="SourceText"/>
              </w:rPr>
              <w:t>reports/</w:t>
            </w:r>
            <w:r>
              <w:rPr/>
              <w:t>. See §10</w:t>
            </w:r>
          </w:p>
        </w:tc>
      </w:tr>
    </w:tbl>
    <w:p>
      <w:pPr>
        <w:pStyle w:val="BodyText"/>
        <w:bidi w:val="0"/>
        <w:jc w:val="left"/>
        <w:rPr/>
      </w:pPr>
      <w:r>
        <w:rPr>
          <w:rStyle w:val="Strong"/>
        </w:rPr>
        <w:t>Rules for changing the instrument.</w:t>
      </w:r>
    </w:p>
    <w:p>
      <w:pPr>
        <w:pStyle w:val="BodyText"/>
        <w:numPr>
          <w:ilvl w:val="0"/>
          <w:numId w:val="1"/>
        </w:numPr>
        <w:tabs>
          <w:tab w:val="clear" w:pos="1134"/>
          <w:tab w:val="left" w:pos="709" w:leader="none"/>
        </w:tabs>
        <w:bidi w:val="0"/>
        <w:spacing w:before="0" w:after="0"/>
        <w:ind w:hanging="283" w:left="709"/>
        <w:jc w:val="left"/>
        <w:rPr/>
      </w:pPr>
      <w:r>
        <w:rPr/>
        <w:t xml:space="preserve">A change to a golden question, to an expected answer or to a pass criterion is a change to the instrument, not a change to the test data. It is made in its own commit, with the reason in the commit body, and never in the same commit as a change to the code being measured. </w:t>
      </w:r>
    </w:p>
    <w:p>
      <w:pPr>
        <w:pStyle w:val="BodyText"/>
        <w:numPr>
          <w:ilvl w:val="0"/>
          <w:numId w:val="1"/>
        </w:numPr>
        <w:tabs>
          <w:tab w:val="clear" w:pos="1134"/>
          <w:tab w:val="left" w:pos="709" w:leader="none"/>
        </w:tabs>
        <w:bidi w:val="0"/>
        <w:spacing w:before="0" w:after="0"/>
        <w:ind w:hanging="283" w:left="709"/>
        <w:jc w:val="left"/>
        <w:rPr/>
      </w:pPr>
      <w:r>
        <w:rPr/>
        <w:t xml:space="preserve">Adding items to the question set is expected as the product grows, and changes the denominator. A pass count is therefore never compared across a change to the set without stating the set size at both points. The figures recorded in commit </w:t>
      </w:r>
      <w:r>
        <w:rPr>
          <w:rStyle w:val="SourceText"/>
        </w:rPr>
        <w:t>4e27109</w:t>
      </w:r>
      <w:r>
        <w:rPr/>
        <w:t xml:space="preserve"> — 50/52 falling to 42/52, and 49/52 after the fix — are valid because the denominator was constant; the set today holds 52 items and any future comparison must state its own denominator. </w:t>
      </w:r>
    </w:p>
    <w:p>
      <w:pPr>
        <w:pStyle w:val="BodyText"/>
        <w:numPr>
          <w:ilvl w:val="0"/>
          <w:numId w:val="1"/>
        </w:numPr>
        <w:tabs>
          <w:tab w:val="clear" w:pos="1134"/>
          <w:tab w:val="left" w:pos="709" w:leader="none"/>
        </w:tabs>
        <w:bidi w:val="0"/>
        <w:spacing w:before="0" w:after="0"/>
        <w:ind w:hanging="283" w:left="709"/>
        <w:jc w:val="left"/>
        <w:rPr/>
      </w:pPr>
      <w:r>
        <w:rPr/>
        <w:t xml:space="preserve">An item may not be removed or weakened because it fails. A failing item is either a real defect (raise a nonconformity under </w:t>
      </w:r>
      <w:r>
        <w:rPr>
          <w:rStyle w:val="SourceText"/>
        </w:rPr>
        <w:t>SOP-10</w:t>
      </w:r>
      <w:r>
        <w:rPr/>
        <w:t xml:space="preserve">) or a wrong expectation (correct the expectation, in its own commit, with the reasoning). </w:t>
      </w:r>
    </w:p>
    <w:p>
      <w:pPr>
        <w:pStyle w:val="BodyText"/>
        <w:numPr>
          <w:ilvl w:val="0"/>
          <w:numId w:val="1"/>
        </w:numPr>
        <w:tabs>
          <w:tab w:val="clear" w:pos="1134"/>
          <w:tab w:val="left" w:pos="709" w:leader="none"/>
        </w:tabs>
        <w:bidi w:val="0"/>
        <w:ind w:hanging="283" w:left="709"/>
        <w:jc w:val="left"/>
        <w:rPr/>
      </w:pPr>
      <w:r>
        <w:rPr/>
        <w:t xml:space="preserve">The environment a measurement was taken in is part of the measurement. </w:t>
      </w:r>
      <w:r>
        <w:rPr>
          <w:rStyle w:val="SourceText"/>
        </w:rPr>
        <w:t>eval/paper/results/config_manifest.json</w:t>
      </w:r>
      <w:r>
        <w:rPr/>
        <w:t xml:space="preserve"> is the pattern: it records the configuration the experiments were run under. </w:t>
      </w:r>
    </w:p>
    <w:p>
      <w:pPr>
        <w:pStyle w:val="BodyText"/>
        <w:bidi w:val="0"/>
        <w:jc w:val="left"/>
        <w:rPr/>
      </w:pPr>
      <w:r>
        <w:rPr/>
        <w:t xml:space="preserve">The organisation already applies rule 3 in substance. </w:t>
      </w:r>
      <w:r>
        <w:rPr>
          <w:rStyle w:val="SourceText"/>
        </w:rPr>
        <w:t>eval/paper/results/SUMMARY.json</w:t>
      </w:r>
      <w:r>
        <w:rPr/>
        <w:t xml:space="preserve"> records results that contradict Ajace AI's own published paper — E1 </w:t>
      </w:r>
      <w:r>
        <w:rPr>
          <w:rStyle w:val="SourceText"/>
        </w:rPr>
        <w:t>"contradicts_paper": "YES"</w:t>
      </w:r>
      <w:r>
        <w:rPr/>
        <w:t xml:space="preserve">, E4 containment real but silent with </w:t>
      </w:r>
      <w:r>
        <w:rPr>
          <w:rStyle w:val="SourceText"/>
        </w:rPr>
        <w:t>report_rate</w:t>
      </w:r>
      <w:r>
        <w:rPr/>
        <w:t xml:space="preserve"> 0.000 in every arm, E3 the timing channel not closed, and E2 recorded as </w:t>
      </w:r>
      <w:r>
        <w:rPr>
          <w:rStyle w:val="SourceText"/>
        </w:rPr>
        <w:t>"not_run"</w:t>
      </w:r>
      <w:r>
        <w:rPr/>
        <w:t xml:space="preserve"> with a stated reason rather than omitted. Measurements that make the organisation look worse are retained in the organisation's own artefacts. That is the behaviour this section exists to preserve.</w:t>
      </w:r>
    </w:p>
    <w:p>
      <w:pPr>
        <w:pStyle w:val="Heading2"/>
        <w:bidi w:val="0"/>
        <w:jc w:val="left"/>
        <w:rPr/>
      </w:pPr>
      <w:r>
        <w:rPr/>
        <w:t>7. Methods</w:t>
      </w:r>
    </w:p>
    <w:tbl>
      <w:tblPr>
        <w:tblW w:w="7970" w:type="dxa"/>
        <w:jc w:val="left"/>
        <w:tblInd w:w="0" w:type="dxa"/>
        <w:tblLayout w:type="fixed"/>
        <w:tblCellMar>
          <w:top w:w="28" w:type="dxa"/>
          <w:left w:w="28" w:type="dxa"/>
          <w:bottom w:w="28" w:type="dxa"/>
          <w:right w:w="28" w:type="dxa"/>
        </w:tblCellMar>
      </w:tblPr>
      <w:tblGrid>
        <w:gridCol w:w="1472"/>
        <w:gridCol w:w="6498"/>
      </w:tblGrid>
      <w:tr>
        <w:trPr>
          <w:tblHeader w:val="true"/>
        </w:trPr>
        <w:tc>
          <w:tcPr>
            <w:tcW w:w="1472" w:type="dxa"/>
            <w:tcBorders/>
            <w:vAlign w:val="center"/>
          </w:tcPr>
          <w:p>
            <w:pPr>
              <w:pStyle w:val="TableHeading"/>
              <w:suppressLineNumbers/>
              <w:shd w:fill="1F3A5F" w:val="clear"/>
              <w:bidi w:val="0"/>
              <w:spacing w:before="0" w:after="283"/>
              <w:jc w:val="center"/>
              <w:rPr/>
            </w:pPr>
            <w:r>
              <w:rPr/>
              <w:t>Measurement</w:t>
            </w:r>
          </w:p>
        </w:tc>
        <w:tc>
          <w:tcPr>
            <w:tcW w:w="6498" w:type="dxa"/>
            <w:tcBorders/>
            <w:vAlign w:val="center"/>
          </w:tcPr>
          <w:p>
            <w:pPr>
              <w:pStyle w:val="TableHeading"/>
              <w:suppressLineNumbers/>
              <w:shd w:fill="1F3A5F" w:val="clear"/>
              <w:bidi w:val="0"/>
              <w:spacing w:before="0" w:after="283"/>
              <w:jc w:val="center"/>
              <w:rPr/>
            </w:pPr>
            <w:r>
              <w:rPr/>
              <w:t>How it is taken, precisely</w:t>
            </w:r>
          </w:p>
        </w:tc>
      </w:tr>
      <w:tr>
        <w:trPr/>
        <w:tc>
          <w:tcPr>
            <w:tcW w:w="1472" w:type="dxa"/>
            <w:tcBorders/>
            <w:vAlign w:val="center"/>
          </w:tcPr>
          <w:p>
            <w:pPr>
              <w:pStyle w:val="TableContents"/>
              <w:bidi w:val="0"/>
              <w:spacing w:before="0" w:after="283"/>
              <w:jc w:val="left"/>
              <w:rPr/>
            </w:pPr>
            <w:r>
              <w:rPr/>
              <w:t>Golden evaluation</w:t>
            </w:r>
          </w:p>
        </w:tc>
        <w:tc>
          <w:tcPr>
            <w:tcW w:w="6498" w:type="dxa"/>
            <w:tcBorders/>
            <w:vAlign w:val="center"/>
          </w:tcPr>
          <w:p>
            <w:pPr>
              <w:pStyle w:val="TableContents"/>
              <w:bidi w:val="0"/>
              <w:spacing w:before="0" w:after="283"/>
              <w:jc w:val="left"/>
              <w:rPr/>
            </w:pPr>
            <w:r>
              <w:rPr/>
              <w:t xml:space="preserve">Bring the stack up; confirm the backend healthcheck is passing; run </w:t>
            </w:r>
            <w:r>
              <w:rPr>
                <w:rStyle w:val="SourceText"/>
              </w:rPr>
              <w:t>python3 eval/run_eval.py</w:t>
            </w:r>
            <w:r>
              <w:rPr/>
              <w:t xml:space="preserve"> (optionally </w:t>
            </w:r>
            <w:r>
              <w:rPr>
                <w:rStyle w:val="SourceText"/>
              </w:rPr>
              <w:t>--set &lt;stem&gt;</w:t>
            </w:r>
            <w:r>
              <w:rPr/>
              <w:t xml:space="preserve"> for one set). The exit code is the gate. Record the pass count, the per-type breakdown, the average doc-precision and the median latency in the commit or the release record</w:t>
            </w:r>
          </w:p>
        </w:tc>
      </w:tr>
      <w:tr>
        <w:trPr/>
        <w:tc>
          <w:tcPr>
            <w:tcW w:w="1472" w:type="dxa"/>
            <w:tcBorders/>
            <w:vAlign w:val="center"/>
          </w:tcPr>
          <w:p>
            <w:pPr>
              <w:pStyle w:val="TableContents"/>
              <w:bidi w:val="0"/>
              <w:spacing w:before="0" w:after="283"/>
              <w:jc w:val="left"/>
              <w:rPr/>
            </w:pPr>
            <w:r>
              <w:rPr/>
              <w:t>Unit tests</w:t>
            </w:r>
          </w:p>
        </w:tc>
        <w:tc>
          <w:tcPr>
            <w:tcW w:w="6498" w:type="dxa"/>
            <w:tcBorders/>
            <w:vAlign w:val="center"/>
          </w:tcPr>
          <w:p>
            <w:pPr>
              <w:pStyle w:val="TableContents"/>
              <w:bidi w:val="0"/>
              <w:spacing w:before="0" w:after="283"/>
              <w:jc w:val="left"/>
              <w:rPr/>
            </w:pPr>
            <w:r>
              <w:rPr>
                <w:rStyle w:val="SourceText"/>
              </w:rPr>
              <w:t>pytest backend/tests</w:t>
            </w:r>
            <w:r>
              <w:rPr/>
              <w:t>. Record pass/fail counts</w:t>
            </w:r>
          </w:p>
        </w:tc>
      </w:tr>
      <w:tr>
        <w:trPr/>
        <w:tc>
          <w:tcPr>
            <w:tcW w:w="1472" w:type="dxa"/>
            <w:tcBorders/>
            <w:vAlign w:val="center"/>
          </w:tcPr>
          <w:p>
            <w:pPr>
              <w:pStyle w:val="TableContents"/>
              <w:bidi w:val="0"/>
              <w:spacing w:before="0" w:after="283"/>
              <w:jc w:val="left"/>
              <w:rPr/>
            </w:pPr>
            <w:r>
              <w:rPr/>
              <w:t>Namespace isolation</w:t>
            </w:r>
          </w:p>
        </w:tc>
        <w:tc>
          <w:tcPr>
            <w:tcW w:w="6498" w:type="dxa"/>
            <w:tcBorders/>
            <w:vAlign w:val="center"/>
          </w:tcPr>
          <w:p>
            <w:pPr>
              <w:pStyle w:val="TableContents"/>
              <w:bidi w:val="0"/>
              <w:spacing w:before="0" w:after="283"/>
              <w:jc w:val="left"/>
              <w:rPr/>
            </w:pPr>
            <w:r>
              <w:rPr>
                <w:rStyle w:val="SourceText"/>
              </w:rPr>
              <w:t>python3 eval/paper/e3b_path_isolation.py</w:t>
            </w:r>
            <w:r>
              <w:rPr/>
              <w:t xml:space="preserve">; record out-of-namespace hits and the number of checks, as </w:t>
            </w:r>
            <w:r>
              <w:rPr>
                <w:rStyle w:val="SourceText"/>
              </w:rPr>
              <w:t>0/359</w:t>
            </w:r>
            <w:r>
              <w:rPr/>
              <w:t xml:space="preserve"> was recorded</w:t>
            </w:r>
          </w:p>
        </w:tc>
      </w:tr>
      <w:tr>
        <w:trPr/>
        <w:tc>
          <w:tcPr>
            <w:tcW w:w="1472" w:type="dxa"/>
            <w:tcBorders/>
            <w:vAlign w:val="center"/>
          </w:tcPr>
          <w:p>
            <w:pPr>
              <w:pStyle w:val="TableContents"/>
              <w:bidi w:val="0"/>
              <w:spacing w:before="0" w:after="283"/>
              <w:jc w:val="left"/>
              <w:rPr/>
            </w:pPr>
            <w:r>
              <w:rPr/>
              <w:t>Container health</w:t>
            </w:r>
          </w:p>
        </w:tc>
        <w:tc>
          <w:tcPr>
            <w:tcW w:w="6498" w:type="dxa"/>
            <w:tcBorders/>
            <w:vAlign w:val="center"/>
          </w:tcPr>
          <w:p>
            <w:pPr>
              <w:pStyle w:val="TableContents"/>
              <w:bidi w:val="0"/>
              <w:spacing w:before="0" w:after="283"/>
              <w:jc w:val="left"/>
              <w:rPr/>
            </w:pPr>
            <w:r>
              <w:rPr>
                <w:rStyle w:val="SourceText"/>
              </w:rPr>
              <w:t>docker compose ps</w:t>
            </w:r>
            <w:r>
              <w:rPr/>
              <w:t xml:space="preserve">; every service that defines a healthcheck must read </w:t>
            </w:r>
            <w:r>
              <w:rPr>
                <w:rStyle w:val="SourceText"/>
              </w:rPr>
              <w:t>healthy</w:t>
            </w:r>
            <w:r>
              <w:rPr/>
              <w:t xml:space="preserve">. Note that </w:t>
            </w:r>
            <w:r>
              <w:rPr>
                <w:rStyle w:val="SourceText"/>
              </w:rPr>
              <w:t>frontend</w:t>
            </w:r>
            <w:r>
              <w:rPr/>
              <w:t xml:space="preserve"> and </w:t>
            </w:r>
            <w:r>
              <w:rPr>
                <w:rStyle w:val="SourceText"/>
              </w:rPr>
              <w:t>cloudflared</w:t>
            </w:r>
            <w:r>
              <w:rPr/>
              <w:t xml:space="preserve"> define none, so their state is </w:t>
            </w:r>
            <w:r>
              <w:rPr>
                <w:rStyle w:val="SourceText"/>
              </w:rPr>
              <w:t>running</w:t>
            </w:r>
            <w:r>
              <w:rPr/>
              <w:t xml:space="preserve">, not </w:t>
            </w:r>
            <w:r>
              <w:rPr>
                <w:rStyle w:val="SourceText"/>
              </w:rPr>
              <w:t>healthy</w:t>
            </w:r>
            <w:r>
              <w:rPr/>
              <w:t xml:space="preserve"> — this is not evidence of health</w:t>
            </w:r>
          </w:p>
        </w:tc>
      </w:tr>
      <w:tr>
        <w:trPr/>
        <w:tc>
          <w:tcPr>
            <w:tcW w:w="1472" w:type="dxa"/>
            <w:tcBorders/>
            <w:vAlign w:val="center"/>
          </w:tcPr>
          <w:p>
            <w:pPr>
              <w:pStyle w:val="TableContents"/>
              <w:bidi w:val="0"/>
              <w:spacing w:before="0" w:after="283"/>
              <w:jc w:val="left"/>
              <w:rPr/>
            </w:pPr>
            <w:r>
              <w:rPr/>
              <w:t>Voice latency</w:t>
            </w:r>
          </w:p>
        </w:tc>
        <w:tc>
          <w:tcPr>
            <w:tcW w:w="6498" w:type="dxa"/>
            <w:tcBorders/>
            <w:vAlign w:val="center"/>
          </w:tcPr>
          <w:p>
            <w:pPr>
              <w:pStyle w:val="TableContents"/>
              <w:bidi w:val="0"/>
              <w:spacing w:before="0" w:after="283"/>
              <w:jc w:val="left"/>
              <w:rPr/>
            </w:pPr>
            <w:r>
              <w:rPr/>
              <w:t xml:space="preserve">Run a set of turns; read </w:t>
            </w:r>
            <w:r>
              <w:rPr>
                <w:rStyle w:val="SourceText"/>
              </w:rPr>
              <w:t>[TURN]</w:t>
            </w:r>
            <w:r>
              <w:rPr/>
              <w:t xml:space="preserve"> lines from </w:t>
            </w:r>
            <w:r>
              <w:rPr>
                <w:rStyle w:val="SourceText"/>
              </w:rPr>
              <w:t>docker logs echomind-voice</w:t>
            </w:r>
            <w:r>
              <w:rPr/>
              <w:t xml:space="preserve">; record </w:t>
            </w:r>
            <w:r>
              <w:rPr>
                <w:rStyle w:val="SourceText"/>
              </w:rPr>
              <w:t>first_token_ms</w:t>
            </w:r>
            <w:r>
              <w:rPr/>
              <w:t xml:space="preserve"> and </w:t>
            </w:r>
            <w:r>
              <w:rPr>
                <w:rStyle w:val="SourceText"/>
              </w:rPr>
              <w:t>endpoint_to_reply_ms</w:t>
            </w:r>
          </w:p>
        </w:tc>
      </w:tr>
      <w:tr>
        <w:trPr/>
        <w:tc>
          <w:tcPr>
            <w:tcW w:w="1472" w:type="dxa"/>
            <w:tcBorders/>
            <w:vAlign w:val="center"/>
          </w:tcPr>
          <w:p>
            <w:pPr>
              <w:pStyle w:val="TableContents"/>
              <w:bidi w:val="0"/>
              <w:spacing w:before="0" w:after="283"/>
              <w:jc w:val="left"/>
              <w:rPr/>
            </w:pPr>
            <w:r>
              <w:rPr/>
              <w:t>Activity volume</w:t>
            </w:r>
          </w:p>
        </w:tc>
        <w:tc>
          <w:tcPr>
            <w:tcW w:w="6498" w:type="dxa"/>
            <w:tcBorders/>
            <w:vAlign w:val="center"/>
          </w:tcPr>
          <w:p>
            <w:pPr>
              <w:pStyle w:val="TableContents"/>
              <w:bidi w:val="0"/>
              <w:spacing w:before="0" w:after="283"/>
              <w:jc w:val="left"/>
              <w:rPr/>
            </w:pPr>
            <w:r>
              <w:rPr/>
              <w:t xml:space="preserve">Call the endpoint backed by </w:t>
            </w:r>
            <w:r>
              <w:rPr>
                <w:rStyle w:val="SourceText"/>
              </w:rPr>
              <w:t>usage_summary()</w:t>
            </w:r>
            <w:r>
              <w:rPr/>
              <w:t xml:space="preserve"> (</w:t>
            </w:r>
            <w:r>
              <w:rPr>
                <w:rStyle w:val="SourceText"/>
              </w:rPr>
              <w:t>backend/app/core/audit.py:36</w:t>
            </w:r>
            <w:r>
              <w:rPr/>
              <w:t>); record total events and events per user. Treat the figure as a lower bound: the logging middleware is best-effort and swallows its own failures (</w:t>
            </w:r>
            <w:r>
              <w:rPr>
                <w:rStyle w:val="SourceText"/>
              </w:rPr>
              <w:t>backend/app/main.py:161-162</w:t>
            </w:r>
            <w:r>
              <w:rPr/>
              <w:t>)</w:t>
            </w:r>
          </w:p>
        </w:tc>
      </w:tr>
      <w:tr>
        <w:trPr/>
        <w:tc>
          <w:tcPr>
            <w:tcW w:w="1472" w:type="dxa"/>
            <w:tcBorders/>
            <w:vAlign w:val="center"/>
          </w:tcPr>
          <w:p>
            <w:pPr>
              <w:pStyle w:val="TableContents"/>
              <w:bidi w:val="0"/>
              <w:spacing w:before="0" w:after="283"/>
              <w:jc w:val="left"/>
              <w:rPr/>
            </w:pPr>
            <w:r>
              <w:rPr/>
              <w:t>Defect and change counts</w:t>
            </w:r>
          </w:p>
        </w:tc>
        <w:tc>
          <w:tcPr>
            <w:tcW w:w="6498" w:type="dxa"/>
            <w:tcBorders/>
            <w:vAlign w:val="center"/>
          </w:tcPr>
          <w:p>
            <w:pPr>
              <w:pStyle w:val="TableContents"/>
              <w:bidi w:val="0"/>
              <w:spacing w:before="0" w:after="283"/>
              <w:jc w:val="left"/>
              <w:rPr/>
            </w:pPr>
            <w:r>
              <w:rPr>
                <w:rStyle w:val="SourceText"/>
              </w:rPr>
              <w:t>git log --oneline \| wc -l</w:t>
            </w:r>
            <w:r>
              <w:rPr/>
              <w:t xml:space="preserve">, and the count of commits whose subject begins </w:t>
            </w:r>
            <w:r>
              <w:rPr>
                <w:rStyle w:val="SourceText"/>
              </w:rPr>
              <w:t>fix:</w:t>
            </w:r>
          </w:p>
        </w:tc>
      </w:tr>
    </w:tbl>
    <w:p>
      <w:pPr>
        <w:pStyle w:val="BodyText"/>
        <w:bidi w:val="0"/>
        <w:jc w:val="left"/>
        <w:rPr/>
      </w:pPr>
      <w:r>
        <w:rPr/>
        <w:t>A measurement is only a record if the result is written down where it can be found again. A measurement taken and observed on screen, with the number never recorded, has not been taken for the purposes of this procedure.</w:t>
      </w:r>
    </w:p>
    <w:p>
      <w:pPr>
        <w:pStyle w:val="Heading2"/>
        <w:bidi w:val="0"/>
        <w:jc w:val="left"/>
        <w:rPr/>
      </w:pPr>
      <w:r>
        <w:rPr/>
        <w:t>8. Analysis and evaluation (9.1.3)</w:t>
      </w:r>
    </w:p>
    <w:p>
      <w:pPr>
        <w:pStyle w:val="BodyText"/>
        <w:bidi w:val="0"/>
        <w:jc w:val="left"/>
        <w:rPr/>
      </w:pPr>
      <w:r>
        <w:rPr/>
        <w:t>At each management review the Lead Engineer prepares, and the Managing Director evaluates, the following analysis. Each line states what the organisation is trying to learn, not merely what it counted.</w:t>
      </w:r>
    </w:p>
    <w:tbl>
      <w:tblPr>
        <w:tblW w:w="7970" w:type="dxa"/>
        <w:jc w:val="left"/>
        <w:tblInd w:w="0" w:type="dxa"/>
        <w:tblLayout w:type="fixed"/>
        <w:tblCellMar>
          <w:top w:w="28" w:type="dxa"/>
          <w:left w:w="28" w:type="dxa"/>
          <w:bottom w:w="28" w:type="dxa"/>
          <w:right w:w="28" w:type="dxa"/>
        </w:tblCellMar>
      </w:tblPr>
      <w:tblGrid>
        <w:gridCol w:w="2262"/>
        <w:gridCol w:w="5708"/>
      </w:tblGrid>
      <w:tr>
        <w:trPr>
          <w:tblHeader w:val="true"/>
        </w:trPr>
        <w:tc>
          <w:tcPr>
            <w:tcW w:w="2262" w:type="dxa"/>
            <w:tcBorders/>
            <w:vAlign w:val="center"/>
          </w:tcPr>
          <w:p>
            <w:pPr>
              <w:pStyle w:val="TableHeading"/>
              <w:suppressLineNumbers/>
              <w:shd w:fill="1F3A5F" w:val="clear"/>
              <w:bidi w:val="0"/>
              <w:spacing w:before="0" w:after="283"/>
              <w:jc w:val="center"/>
              <w:rPr/>
            </w:pPr>
            <w:r>
              <w:rPr/>
              <w:t>Analysis</w:t>
            </w:r>
          </w:p>
        </w:tc>
        <w:tc>
          <w:tcPr>
            <w:tcW w:w="5708" w:type="dxa"/>
            <w:tcBorders/>
            <w:vAlign w:val="center"/>
          </w:tcPr>
          <w:p>
            <w:pPr>
              <w:pStyle w:val="TableHeading"/>
              <w:suppressLineNumbers/>
              <w:shd w:fill="1F3A5F" w:val="clear"/>
              <w:bidi w:val="0"/>
              <w:spacing w:before="0" w:after="283"/>
              <w:jc w:val="center"/>
              <w:rPr/>
            </w:pPr>
            <w:r>
              <w:rPr/>
              <w:t>Evaluated against</w:t>
            </w:r>
          </w:p>
        </w:tc>
      </w:tr>
      <w:tr>
        <w:trPr/>
        <w:tc>
          <w:tcPr>
            <w:tcW w:w="2262" w:type="dxa"/>
            <w:tcBorders/>
            <w:vAlign w:val="center"/>
          </w:tcPr>
          <w:p>
            <w:pPr>
              <w:pStyle w:val="TableContents"/>
              <w:bidi w:val="0"/>
              <w:spacing w:before="0" w:after="283"/>
              <w:jc w:val="left"/>
              <w:rPr/>
            </w:pPr>
            <w:r>
              <w:rPr/>
              <w:t>Golden-question pass count over time</w:t>
            </w:r>
          </w:p>
        </w:tc>
        <w:tc>
          <w:tcPr>
            <w:tcW w:w="5708" w:type="dxa"/>
            <w:tcBorders/>
            <w:vAlign w:val="center"/>
          </w:tcPr>
          <w:p>
            <w:pPr>
              <w:pStyle w:val="TableContents"/>
              <w:bidi w:val="0"/>
              <w:spacing w:before="0" w:after="283"/>
              <w:jc w:val="left"/>
              <w:rPr/>
            </w:pPr>
            <w:r>
              <w:rPr/>
              <w:t xml:space="preserve">Any decline is a product-quality regression, whatever its cause. A decline explained by corpus growth is still a decline, and </w:t>
            </w:r>
            <w:r>
              <w:rPr>
                <w:rStyle w:val="SourceText"/>
              </w:rPr>
              <w:t>eval/paper/results/REGRESSION_AND_FIXES.json</w:t>
            </w:r>
            <w:r>
              <w:rPr/>
              <w:t xml:space="preserve"> records exactly that case: a defect "PRE-EXISTING and latent; it became observable only when the corpus grew from 10.3k to 17.6k chunks"</w:t>
            </w:r>
          </w:p>
        </w:tc>
      </w:tr>
      <w:tr>
        <w:trPr/>
        <w:tc>
          <w:tcPr>
            <w:tcW w:w="2262" w:type="dxa"/>
            <w:tcBorders/>
            <w:vAlign w:val="center"/>
          </w:tcPr>
          <w:p>
            <w:pPr>
              <w:pStyle w:val="TableContents"/>
              <w:bidi w:val="0"/>
              <w:spacing w:before="0" w:after="283"/>
              <w:jc w:val="left"/>
              <w:rPr/>
            </w:pPr>
            <w:r>
              <w:rPr/>
              <w:t>Citation document-precision trend</w:t>
            </w:r>
          </w:p>
        </w:tc>
        <w:tc>
          <w:tcPr>
            <w:tcW w:w="5708" w:type="dxa"/>
            <w:tcBorders/>
            <w:vAlign w:val="center"/>
          </w:tcPr>
          <w:p>
            <w:pPr>
              <w:pStyle w:val="TableContents"/>
              <w:bidi w:val="0"/>
              <w:spacing w:before="0" w:after="283"/>
              <w:jc w:val="left"/>
              <w:rPr/>
            </w:pPr>
            <w:r>
              <w:rPr/>
              <w:t>Whether answers are attributed to the right material. Computed today but not compared against a threshold (§10)</w:t>
            </w:r>
          </w:p>
        </w:tc>
      </w:tr>
      <w:tr>
        <w:trPr/>
        <w:tc>
          <w:tcPr>
            <w:tcW w:w="2262" w:type="dxa"/>
            <w:tcBorders/>
            <w:vAlign w:val="center"/>
          </w:tcPr>
          <w:p>
            <w:pPr>
              <w:pStyle w:val="TableContents"/>
              <w:bidi w:val="0"/>
              <w:spacing w:before="0" w:after="283"/>
              <w:jc w:val="left"/>
              <w:rPr/>
            </w:pPr>
            <w:r>
              <w:rPr/>
              <w:t>Namespace leakage results</w:t>
            </w:r>
          </w:p>
        </w:tc>
        <w:tc>
          <w:tcPr>
            <w:tcW w:w="5708" w:type="dxa"/>
            <w:tcBorders/>
            <w:vAlign w:val="center"/>
          </w:tcPr>
          <w:p>
            <w:pPr>
              <w:pStyle w:val="TableContents"/>
              <w:bidi w:val="0"/>
              <w:spacing w:before="0" w:after="283"/>
              <w:jc w:val="left"/>
              <w:rPr/>
            </w:pPr>
            <w:r>
              <w:rPr/>
              <w:t xml:space="preserve">Must be zero. Any non-zero result is an S1 nonconformity under </w:t>
            </w:r>
            <w:r>
              <w:rPr>
                <w:rStyle w:val="SourceText"/>
              </w:rPr>
              <w:t>SOP-10</w:t>
            </w:r>
            <w:r>
              <w:rPr/>
              <w:t xml:space="preserve"> §5</w:t>
            </w:r>
          </w:p>
        </w:tc>
      </w:tr>
      <w:tr>
        <w:trPr/>
        <w:tc>
          <w:tcPr>
            <w:tcW w:w="2262" w:type="dxa"/>
            <w:tcBorders/>
            <w:vAlign w:val="center"/>
          </w:tcPr>
          <w:p>
            <w:pPr>
              <w:pStyle w:val="TableContents"/>
              <w:bidi w:val="0"/>
              <w:spacing w:before="0" w:after="283"/>
              <w:jc w:val="left"/>
              <w:rPr/>
            </w:pPr>
            <w:r>
              <w:rPr/>
              <w:t>Nonconformities by severity, raised versus closed, and ageing</w:t>
            </w:r>
          </w:p>
        </w:tc>
        <w:tc>
          <w:tcPr>
            <w:tcW w:w="5708" w:type="dxa"/>
            <w:tcBorders/>
            <w:vAlign w:val="center"/>
          </w:tcPr>
          <w:p>
            <w:pPr>
              <w:pStyle w:val="TableContents"/>
              <w:bidi w:val="0"/>
              <w:spacing w:before="0" w:after="283"/>
              <w:jc w:val="left"/>
              <w:rPr/>
            </w:pPr>
            <w:r>
              <w:rPr/>
              <w:t>Whether the organisation finishes what it starts, and whether the severity mix is worsening</w:t>
            </w:r>
          </w:p>
        </w:tc>
      </w:tr>
      <w:tr>
        <w:trPr/>
        <w:tc>
          <w:tcPr>
            <w:tcW w:w="2262" w:type="dxa"/>
            <w:tcBorders/>
            <w:vAlign w:val="center"/>
          </w:tcPr>
          <w:p>
            <w:pPr>
              <w:pStyle w:val="TableContents"/>
              <w:bidi w:val="0"/>
              <w:spacing w:before="0" w:after="283"/>
              <w:jc w:val="left"/>
              <w:rPr/>
            </w:pPr>
            <w:r>
              <w:rPr/>
              <w:t>Detection channel mix</w:t>
            </w:r>
          </w:p>
        </w:tc>
        <w:tc>
          <w:tcPr>
            <w:tcW w:w="5708" w:type="dxa"/>
            <w:tcBorders/>
            <w:vAlign w:val="center"/>
          </w:tcPr>
          <w:p>
            <w:pPr>
              <w:pStyle w:val="TableContents"/>
              <w:bidi w:val="0"/>
              <w:spacing w:before="0" w:after="283"/>
              <w:jc w:val="left"/>
              <w:rPr/>
            </w:pPr>
            <w:r>
              <w:rPr/>
              <w:t>What share of nonconformities was found by evaluation, by test, by healthcheck, and by a person noticing. A rising share found by people is a warning about the automated controls</w:t>
            </w:r>
          </w:p>
        </w:tc>
      </w:tr>
      <w:tr>
        <w:trPr/>
        <w:tc>
          <w:tcPr>
            <w:tcW w:w="2262" w:type="dxa"/>
            <w:tcBorders/>
            <w:vAlign w:val="center"/>
          </w:tcPr>
          <w:p>
            <w:pPr>
              <w:pStyle w:val="TableContents"/>
              <w:bidi w:val="0"/>
              <w:spacing w:before="0" w:after="283"/>
              <w:jc w:val="left"/>
              <w:rPr/>
            </w:pPr>
            <w:r>
              <w:rPr/>
              <w:t>Recurrence</w:t>
            </w:r>
          </w:p>
        </w:tc>
        <w:tc>
          <w:tcPr>
            <w:tcW w:w="5708" w:type="dxa"/>
            <w:tcBorders/>
            <w:vAlign w:val="center"/>
          </w:tcPr>
          <w:p>
            <w:pPr>
              <w:pStyle w:val="TableContents"/>
              <w:bidi w:val="0"/>
              <w:spacing w:before="0" w:after="283"/>
              <w:jc w:val="left"/>
              <w:rPr/>
            </w:pPr>
            <w:r>
              <w:rPr/>
              <w:t>Any nonconformity of a class already corrected indicates a corrective action that did not work (</w:t>
            </w:r>
            <w:r>
              <w:rPr>
                <w:rStyle w:val="SourceText"/>
              </w:rPr>
              <w:t>SOP-14</w:t>
            </w:r>
            <w:r>
              <w:rPr/>
              <w:t>)</w:t>
            </w:r>
          </w:p>
        </w:tc>
      </w:tr>
      <w:tr>
        <w:trPr/>
        <w:tc>
          <w:tcPr>
            <w:tcW w:w="2262" w:type="dxa"/>
            <w:tcBorders/>
            <w:vAlign w:val="center"/>
          </w:tcPr>
          <w:p>
            <w:pPr>
              <w:pStyle w:val="TableContents"/>
              <w:bidi w:val="0"/>
              <w:spacing w:before="0" w:after="283"/>
              <w:jc w:val="left"/>
              <w:rPr/>
            </w:pPr>
            <w:r>
              <w:rPr/>
              <w:t>Effectiveness of risk treatments</w:t>
            </w:r>
          </w:p>
        </w:tc>
        <w:tc>
          <w:tcPr>
            <w:tcW w:w="5708" w:type="dxa"/>
            <w:tcBorders/>
            <w:vAlign w:val="center"/>
          </w:tcPr>
          <w:p>
            <w:pPr>
              <w:pStyle w:val="TableContents"/>
              <w:bidi w:val="0"/>
              <w:spacing w:before="0" w:after="283"/>
              <w:jc w:val="left"/>
              <w:rPr/>
            </w:pPr>
            <w:r>
              <w:rPr/>
              <w:t xml:space="preserve">Whether the evidence cited in </w:t>
            </w:r>
            <w:r>
              <w:rPr>
                <w:rStyle w:val="SourceText"/>
              </w:rPr>
              <w:t>registers/REG-03_Risk_Register.md</w:t>
            </w:r>
            <w:r>
              <w:rPr/>
              <w:t xml:space="preserve"> is still true of the code today (</w:t>
            </w:r>
            <w:r>
              <w:rPr>
                <w:rStyle w:val="SourceText"/>
              </w:rPr>
              <w:t>SOP-02</w:t>
            </w:r>
            <w:r>
              <w:rPr/>
              <w:t xml:space="preserve"> §8)</w:t>
            </w:r>
          </w:p>
        </w:tc>
      </w:tr>
      <w:tr>
        <w:trPr/>
        <w:tc>
          <w:tcPr>
            <w:tcW w:w="2262" w:type="dxa"/>
            <w:tcBorders/>
            <w:vAlign w:val="center"/>
          </w:tcPr>
          <w:p>
            <w:pPr>
              <w:pStyle w:val="TableContents"/>
              <w:bidi w:val="0"/>
              <w:spacing w:before="0" w:after="283"/>
              <w:jc w:val="left"/>
              <w:rPr/>
            </w:pPr>
            <w:r>
              <w:rPr/>
              <w:t>Adequacy of the measurement harness</w:t>
            </w:r>
          </w:p>
        </w:tc>
        <w:tc>
          <w:tcPr>
            <w:tcW w:w="5708" w:type="dxa"/>
            <w:tcBorders/>
            <w:vAlign w:val="center"/>
          </w:tcPr>
          <w:p>
            <w:pPr>
              <w:pStyle w:val="TableContents"/>
              <w:bidi w:val="0"/>
              <w:spacing w:before="0" w:after="283"/>
              <w:jc w:val="left"/>
              <w:rPr/>
            </w:pPr>
            <w:r>
              <w:rPr/>
              <w:t>Whether the golden set still covers what the product now does. A product that has grown features the question set does not exercise is measured by an instrument that no longer fits it</w:t>
            </w:r>
          </w:p>
        </w:tc>
      </w:tr>
    </w:tbl>
    <w:p>
      <w:pPr>
        <w:pStyle w:val="BodyText"/>
        <w:bidi w:val="0"/>
        <w:jc w:val="left"/>
        <w:rPr/>
      </w:pPr>
      <w:r>
        <w:rPr/>
        <w:t xml:space="preserve">The output of this analysis is an input to management review under </w:t>
      </w:r>
      <w:r>
        <w:rPr>
          <w:rStyle w:val="SourceText"/>
        </w:rPr>
        <w:t>SOP-15</w:t>
      </w:r>
      <w:r>
        <w:rPr/>
        <w:t xml:space="preserve"> and, where it shows a need, to change planning under </w:t>
      </w:r>
      <w:r>
        <w:rPr>
          <w:rStyle w:val="SourceText"/>
        </w:rPr>
        <w:t>SOP-02</w:t>
      </w:r>
      <w:r>
        <w:rPr/>
        <w:t xml:space="preserve"> §9 and to the quality objectives in </w:t>
      </w:r>
      <w:r>
        <w:rPr>
          <w:rStyle w:val="SourceText"/>
        </w:rPr>
        <w:t>QO-01</w:t>
      </w:r>
      <w:r>
        <w:rPr/>
        <w:t>.</w:t>
      </w:r>
    </w:p>
    <w:p>
      <w:pPr>
        <w:pStyle w:val="Heading2"/>
        <w:bidi w:val="0"/>
        <w:jc w:val="left"/>
        <w:rPr/>
      </w:pPr>
      <w:r>
        <w:rPr/>
        <w:t>9. Records</w:t>
      </w:r>
    </w:p>
    <w:tbl>
      <w:tblPr>
        <w:tblW w:w="7970" w:type="dxa"/>
        <w:jc w:val="left"/>
        <w:tblInd w:w="0" w:type="dxa"/>
        <w:tblLayout w:type="fixed"/>
        <w:tblCellMar>
          <w:top w:w="28" w:type="dxa"/>
          <w:left w:w="28" w:type="dxa"/>
          <w:bottom w:w="28" w:type="dxa"/>
          <w:right w:w="28" w:type="dxa"/>
        </w:tblCellMar>
      </w:tblPr>
      <w:tblGrid>
        <w:gridCol w:w="2102"/>
        <w:gridCol w:w="4110"/>
        <w:gridCol w:w="1758"/>
      </w:tblGrid>
      <w:tr>
        <w:trPr>
          <w:tblHeader w:val="true"/>
        </w:trPr>
        <w:tc>
          <w:tcPr>
            <w:tcW w:w="2102" w:type="dxa"/>
            <w:tcBorders/>
            <w:vAlign w:val="center"/>
          </w:tcPr>
          <w:p>
            <w:pPr>
              <w:pStyle w:val="TableHeading"/>
              <w:suppressLineNumbers/>
              <w:shd w:fill="1F3A5F" w:val="clear"/>
              <w:bidi w:val="0"/>
              <w:spacing w:before="0" w:after="283"/>
              <w:jc w:val="center"/>
              <w:rPr/>
            </w:pPr>
            <w:r>
              <w:rPr/>
              <w:t>Record</w:t>
            </w:r>
          </w:p>
        </w:tc>
        <w:tc>
          <w:tcPr>
            <w:tcW w:w="4110" w:type="dxa"/>
            <w:tcBorders/>
            <w:vAlign w:val="center"/>
          </w:tcPr>
          <w:p>
            <w:pPr>
              <w:pStyle w:val="TableHeading"/>
              <w:suppressLineNumbers/>
              <w:shd w:fill="1F3A5F" w:val="clear"/>
              <w:bidi w:val="0"/>
              <w:spacing w:before="0" w:after="283"/>
              <w:jc w:val="center"/>
              <w:rPr/>
            </w:pPr>
            <w:r>
              <w:rPr/>
              <w:t>Location</w:t>
            </w:r>
          </w:p>
        </w:tc>
        <w:tc>
          <w:tcPr>
            <w:tcW w:w="1758" w:type="dxa"/>
            <w:tcBorders/>
            <w:vAlign w:val="center"/>
          </w:tcPr>
          <w:p>
            <w:pPr>
              <w:pStyle w:val="TableHeading"/>
              <w:suppressLineNumbers/>
              <w:shd w:fill="1F3A5F" w:val="clear"/>
              <w:bidi w:val="0"/>
              <w:spacing w:before="0" w:after="283"/>
              <w:jc w:val="center"/>
              <w:rPr/>
            </w:pPr>
            <w:r>
              <w:rPr/>
              <w:t>Retention</w:t>
            </w:r>
          </w:p>
        </w:tc>
      </w:tr>
      <w:tr>
        <w:trPr/>
        <w:tc>
          <w:tcPr>
            <w:tcW w:w="2102" w:type="dxa"/>
            <w:tcBorders/>
            <w:vAlign w:val="center"/>
          </w:tcPr>
          <w:p>
            <w:pPr>
              <w:pStyle w:val="TableContents"/>
              <w:bidi w:val="0"/>
              <w:spacing w:before="0" w:after="283"/>
              <w:jc w:val="left"/>
              <w:rPr/>
            </w:pPr>
            <w:r>
              <w:rPr/>
              <w:t>Golden evaluation result for a release</w:t>
            </w:r>
          </w:p>
        </w:tc>
        <w:tc>
          <w:tcPr>
            <w:tcW w:w="4110" w:type="dxa"/>
            <w:tcBorders/>
            <w:vAlign w:val="center"/>
          </w:tcPr>
          <w:p>
            <w:pPr>
              <w:pStyle w:val="TableContents"/>
              <w:bidi w:val="0"/>
              <w:spacing w:before="0" w:after="283"/>
              <w:jc w:val="left"/>
              <w:rPr/>
            </w:pPr>
            <w:r>
              <w:rPr/>
              <w:t xml:space="preserve">Release record under </w:t>
            </w:r>
            <w:r>
              <w:rPr>
                <w:rStyle w:val="SourceText"/>
              </w:rPr>
              <w:t>SOP-08</w:t>
            </w:r>
            <w:r>
              <w:rPr/>
              <w:t>, and the commit body</w:t>
            </w:r>
          </w:p>
        </w:tc>
        <w:tc>
          <w:tcPr>
            <w:tcW w:w="1758" w:type="dxa"/>
            <w:tcBorders/>
            <w:vAlign w:val="center"/>
          </w:tcPr>
          <w:p>
            <w:pPr>
              <w:pStyle w:val="TableContents"/>
              <w:bidi w:val="0"/>
              <w:spacing w:before="0" w:after="283"/>
              <w:jc w:val="left"/>
              <w:rPr/>
            </w:pPr>
            <w:r>
              <w:rPr/>
              <w:t>Life of the release + 3 years (</w:t>
            </w:r>
            <w:r>
              <w:rPr>
                <w:rStyle w:val="SourceText"/>
              </w:rPr>
              <w:t>SOP-01</w:t>
            </w:r>
            <w:r>
              <w:rPr/>
              <w:t xml:space="preserve"> §8)</w:t>
            </w:r>
          </w:p>
        </w:tc>
      </w:tr>
      <w:tr>
        <w:trPr/>
        <w:tc>
          <w:tcPr>
            <w:tcW w:w="2102" w:type="dxa"/>
            <w:tcBorders/>
            <w:vAlign w:val="center"/>
          </w:tcPr>
          <w:p>
            <w:pPr>
              <w:pStyle w:val="TableContents"/>
              <w:bidi w:val="0"/>
              <w:spacing w:before="0" w:after="283"/>
              <w:jc w:val="left"/>
              <w:rPr/>
            </w:pPr>
            <w:r>
              <w:rPr/>
              <w:t>Per-run golden evaluation report</w:t>
            </w:r>
          </w:p>
        </w:tc>
        <w:tc>
          <w:tcPr>
            <w:tcW w:w="4110" w:type="dxa"/>
            <w:tcBorders/>
            <w:vAlign w:val="center"/>
          </w:tcPr>
          <w:p>
            <w:pPr>
              <w:pStyle w:val="TableContents"/>
              <w:bidi w:val="0"/>
              <w:spacing w:before="0" w:after="283"/>
              <w:jc w:val="left"/>
              <w:rPr/>
            </w:pPr>
            <w:r>
              <w:rPr>
                <w:rStyle w:val="SourceText"/>
              </w:rPr>
              <w:t>eval/reports/eval_&lt;run_id&gt;.json</w:t>
            </w:r>
          </w:p>
        </w:tc>
        <w:tc>
          <w:tcPr>
            <w:tcW w:w="1758" w:type="dxa"/>
            <w:tcBorders/>
            <w:vAlign w:val="center"/>
          </w:tcPr>
          <w:p>
            <w:pPr>
              <w:pStyle w:val="TableContents"/>
              <w:bidi w:val="0"/>
              <w:spacing w:before="0" w:after="283"/>
              <w:jc w:val="left"/>
              <w:rPr/>
            </w:pPr>
            <w:r>
              <w:rPr>
                <w:rStyle w:val="Strong"/>
              </w:rPr>
              <w:t>Not currently retained</w:t>
            </w:r>
            <w:r>
              <w:rPr/>
              <w:t xml:space="preserve"> — see §10</w:t>
            </w:r>
          </w:p>
        </w:tc>
      </w:tr>
      <w:tr>
        <w:trPr/>
        <w:tc>
          <w:tcPr>
            <w:tcW w:w="2102" w:type="dxa"/>
            <w:tcBorders/>
            <w:vAlign w:val="center"/>
          </w:tcPr>
          <w:p>
            <w:pPr>
              <w:pStyle w:val="TableContents"/>
              <w:bidi w:val="0"/>
              <w:spacing w:before="0" w:after="283"/>
              <w:jc w:val="left"/>
              <w:rPr/>
            </w:pPr>
            <w:r>
              <w:rPr/>
              <w:t>Paper harness results</w:t>
            </w:r>
          </w:p>
        </w:tc>
        <w:tc>
          <w:tcPr>
            <w:tcW w:w="4110" w:type="dxa"/>
            <w:tcBorders/>
            <w:vAlign w:val="center"/>
          </w:tcPr>
          <w:p>
            <w:pPr>
              <w:pStyle w:val="TableContents"/>
              <w:bidi w:val="0"/>
              <w:spacing w:before="0" w:after="283"/>
              <w:jc w:val="left"/>
              <w:rPr/>
            </w:pPr>
            <w:r>
              <w:rPr>
                <w:rStyle w:val="SourceText"/>
              </w:rPr>
              <w:t>eval/paper/results/*.json</w:t>
            </w:r>
            <w:r>
              <w:rPr/>
              <w:t>, in Git</w:t>
            </w:r>
          </w:p>
        </w:tc>
        <w:tc>
          <w:tcPr>
            <w:tcW w:w="1758" w:type="dxa"/>
            <w:tcBorders/>
            <w:vAlign w:val="center"/>
          </w:tcPr>
          <w:p>
            <w:pPr>
              <w:pStyle w:val="TableContents"/>
              <w:bidi w:val="0"/>
              <w:spacing w:before="0" w:after="283"/>
              <w:jc w:val="left"/>
              <w:rPr/>
            </w:pPr>
            <w:r>
              <w:rPr/>
              <w:t>Life of the QMS + 3 years</w:t>
            </w:r>
          </w:p>
        </w:tc>
      </w:tr>
      <w:tr>
        <w:trPr/>
        <w:tc>
          <w:tcPr>
            <w:tcW w:w="2102" w:type="dxa"/>
            <w:tcBorders/>
            <w:vAlign w:val="center"/>
          </w:tcPr>
          <w:p>
            <w:pPr>
              <w:pStyle w:val="TableContents"/>
              <w:bidi w:val="0"/>
              <w:spacing w:before="0" w:after="283"/>
              <w:jc w:val="left"/>
              <w:rPr/>
            </w:pPr>
            <w:r>
              <w:rPr/>
              <w:t>Measurement taken to verify a correction</w:t>
            </w:r>
          </w:p>
        </w:tc>
        <w:tc>
          <w:tcPr>
            <w:tcW w:w="4110" w:type="dxa"/>
            <w:tcBorders/>
            <w:vAlign w:val="center"/>
          </w:tcPr>
          <w:p>
            <w:pPr>
              <w:pStyle w:val="TableContents"/>
              <w:bidi w:val="0"/>
              <w:spacing w:before="0" w:after="283"/>
              <w:jc w:val="left"/>
              <w:rPr/>
            </w:pPr>
            <w:r>
              <w:rPr/>
              <w:t>On the nonconformity record (</w:t>
            </w:r>
            <w:r>
              <w:rPr>
                <w:rStyle w:val="SourceText"/>
              </w:rPr>
              <w:t>forms/FRM-05_Nonconformity_and_CAPA_Record.md</w:t>
            </w:r>
            <w:r>
              <w:rPr/>
              <w:t>) and in the commit body</w:t>
            </w:r>
          </w:p>
        </w:tc>
        <w:tc>
          <w:tcPr>
            <w:tcW w:w="1758" w:type="dxa"/>
            <w:tcBorders/>
            <w:vAlign w:val="center"/>
          </w:tcPr>
          <w:p>
            <w:pPr>
              <w:pStyle w:val="TableContents"/>
              <w:bidi w:val="0"/>
              <w:spacing w:before="0" w:after="283"/>
              <w:jc w:val="left"/>
              <w:rPr/>
            </w:pPr>
            <w:r>
              <w:rPr/>
              <w:t>3 years after closure</w:t>
            </w:r>
          </w:p>
        </w:tc>
      </w:tr>
      <w:tr>
        <w:trPr/>
        <w:tc>
          <w:tcPr>
            <w:tcW w:w="2102" w:type="dxa"/>
            <w:tcBorders/>
            <w:vAlign w:val="center"/>
          </w:tcPr>
          <w:p>
            <w:pPr>
              <w:pStyle w:val="TableContents"/>
              <w:bidi w:val="0"/>
              <w:spacing w:before="0" w:after="283"/>
              <w:jc w:val="left"/>
              <w:rPr/>
            </w:pPr>
            <w:r>
              <w:rPr/>
              <w:t>Analysis and evaluation of measurement results</w:t>
            </w:r>
          </w:p>
        </w:tc>
        <w:tc>
          <w:tcPr>
            <w:tcW w:w="4110" w:type="dxa"/>
            <w:tcBorders/>
            <w:vAlign w:val="center"/>
          </w:tcPr>
          <w:p>
            <w:pPr>
              <w:pStyle w:val="TableContents"/>
              <w:bidi w:val="0"/>
              <w:spacing w:before="0" w:after="283"/>
              <w:jc w:val="left"/>
              <w:rPr/>
            </w:pPr>
            <w:r>
              <w:rPr/>
              <w:t xml:space="preserve">Management review minutes under </w:t>
            </w:r>
            <w:r>
              <w:rPr>
                <w:rStyle w:val="SourceText"/>
              </w:rPr>
              <w:t>SOP-15</w:t>
            </w:r>
          </w:p>
        </w:tc>
        <w:tc>
          <w:tcPr>
            <w:tcW w:w="1758" w:type="dxa"/>
            <w:tcBorders/>
            <w:vAlign w:val="center"/>
          </w:tcPr>
          <w:p>
            <w:pPr>
              <w:pStyle w:val="TableContents"/>
              <w:bidi w:val="0"/>
              <w:spacing w:before="0" w:after="283"/>
              <w:jc w:val="left"/>
              <w:rPr/>
            </w:pPr>
            <w:r>
              <w:rPr/>
              <w:t>3 years</w:t>
            </w:r>
          </w:p>
        </w:tc>
      </w:tr>
      <w:tr>
        <w:trPr/>
        <w:tc>
          <w:tcPr>
            <w:tcW w:w="2102" w:type="dxa"/>
            <w:tcBorders/>
            <w:vAlign w:val="center"/>
          </w:tcPr>
          <w:p>
            <w:pPr>
              <w:pStyle w:val="TableContents"/>
              <w:bidi w:val="0"/>
              <w:spacing w:before="0" w:after="283"/>
              <w:jc w:val="left"/>
              <w:rPr/>
            </w:pPr>
            <w:r>
              <w:rPr/>
              <w:t>Changes to the measurement harness</w:t>
            </w:r>
          </w:p>
        </w:tc>
        <w:tc>
          <w:tcPr>
            <w:tcW w:w="4110" w:type="dxa"/>
            <w:tcBorders/>
            <w:vAlign w:val="center"/>
          </w:tcPr>
          <w:p>
            <w:pPr>
              <w:pStyle w:val="TableContents"/>
              <w:bidi w:val="0"/>
              <w:spacing w:before="0" w:after="283"/>
              <w:jc w:val="left"/>
              <w:rPr/>
            </w:pPr>
            <w:r>
              <w:rPr/>
              <w:t xml:space="preserve">Git history of </w:t>
            </w:r>
            <w:r>
              <w:rPr>
                <w:rStyle w:val="SourceText"/>
              </w:rPr>
              <w:t>eval/golden/*.jsonl</w:t>
            </w:r>
            <w:r>
              <w:rPr/>
              <w:t xml:space="preserve">, </w:t>
            </w:r>
            <w:r>
              <w:rPr>
                <w:rStyle w:val="SourceText"/>
              </w:rPr>
              <w:t>eval/run_eval.py</w:t>
            </w:r>
            <w:r>
              <w:rPr/>
              <w:t xml:space="preserve"> and </w:t>
            </w:r>
            <w:r>
              <w:rPr>
                <w:rStyle w:val="SourceText"/>
              </w:rPr>
              <w:t>eval/paper/*.py</w:t>
            </w:r>
          </w:p>
        </w:tc>
        <w:tc>
          <w:tcPr>
            <w:tcW w:w="1758" w:type="dxa"/>
            <w:tcBorders/>
            <w:vAlign w:val="center"/>
          </w:tcPr>
          <w:p>
            <w:pPr>
              <w:pStyle w:val="TableContents"/>
              <w:bidi w:val="0"/>
              <w:spacing w:before="0" w:after="283"/>
              <w:jc w:val="left"/>
              <w:rPr/>
            </w:pPr>
            <w:r>
              <w:rPr/>
              <w:t>Life of the QMS + 3 years</w:t>
            </w:r>
          </w:p>
        </w:tc>
      </w:tr>
      <w:tr>
        <w:trPr/>
        <w:tc>
          <w:tcPr>
            <w:tcW w:w="2102" w:type="dxa"/>
            <w:tcBorders/>
            <w:vAlign w:val="center"/>
          </w:tcPr>
          <w:p>
            <w:pPr>
              <w:pStyle w:val="TableContents"/>
              <w:bidi w:val="0"/>
              <w:spacing w:before="0" w:after="283"/>
              <w:jc w:val="left"/>
              <w:rPr/>
            </w:pPr>
            <w:r>
              <w:rPr/>
              <w:t>Container health observations</w:t>
            </w:r>
          </w:p>
        </w:tc>
        <w:tc>
          <w:tcPr>
            <w:tcW w:w="4110" w:type="dxa"/>
            <w:tcBorders/>
            <w:vAlign w:val="center"/>
          </w:tcPr>
          <w:p>
            <w:pPr>
              <w:pStyle w:val="TableContents"/>
              <w:bidi w:val="0"/>
              <w:spacing w:before="0" w:after="283"/>
              <w:jc w:val="left"/>
              <w:rPr/>
            </w:pPr>
            <w:r>
              <w:rPr/>
              <w:t>Not recorded — see §10</w:t>
            </w:r>
          </w:p>
        </w:tc>
        <w:tc>
          <w:tcPr>
            <w:tcW w:w="1758" w:type="dxa"/>
            <w:tcBorders/>
            <w:vAlign w:val="center"/>
          </w:tcPr>
          <w:p>
            <w:pPr>
              <w:pStyle w:val="TableContents"/>
              <w:bidi w:val="0"/>
              <w:spacing w:before="0" w:after="283"/>
              <w:jc w:val="left"/>
              <w:rPr/>
            </w:pPr>
            <w:r>
              <w:rPr/>
              <w:t>—</w:t>
            </w:r>
          </w:p>
        </w:tc>
      </w:tr>
    </w:tbl>
    <w:p>
      <w:pPr>
        <w:pStyle w:val="Heading2"/>
        <w:bidi w:val="0"/>
        <w:jc w:val="left"/>
        <w:rPr/>
      </w:pPr>
      <w:r>
        <w:rPr/>
        <w:t>10. Current state and gaps</w:t>
      </w:r>
    </w:p>
    <w:p>
      <w:pPr>
        <w:pStyle w:val="BodyText"/>
        <w:bidi w:val="0"/>
        <w:jc w:val="left"/>
        <w:rPr/>
      </w:pPr>
      <w:r>
        <w:rPr>
          <w:rStyle w:val="Strong"/>
        </w:rPr>
        <w:t>Stated plainly: Ajace AI has unusually good measurement instruments and almost no measurement process.</w:t>
      </w:r>
      <w:r>
        <w:rPr/>
        <w:t xml:space="preserve"> The golden evaluation, the paper harness and the per-turn timing logs are real, specific and honest — the recorded results include findings that contradict the organisation's own published claims. What is missing is that nothing runs on a schedule, nothing is retained as a series, and nothing is compared against a threshold except the single binary golden gate.</w:t>
      </w:r>
    </w:p>
    <w:tbl>
      <w:tblPr>
        <w:tblW w:w="7970" w:type="dxa"/>
        <w:jc w:val="left"/>
        <w:tblInd w:w="0" w:type="dxa"/>
        <w:tblLayout w:type="fixed"/>
        <w:tblCellMar>
          <w:top w:w="28" w:type="dxa"/>
          <w:left w:w="28" w:type="dxa"/>
          <w:bottom w:w="28" w:type="dxa"/>
          <w:right w:w="28" w:type="dxa"/>
        </w:tblCellMar>
      </w:tblPr>
      <w:tblGrid>
        <w:gridCol w:w="1475"/>
        <w:gridCol w:w="3630"/>
        <w:gridCol w:w="2865"/>
      </w:tblGrid>
      <w:tr>
        <w:trPr>
          <w:tblHeader w:val="true"/>
        </w:trPr>
        <w:tc>
          <w:tcPr>
            <w:tcW w:w="1475" w:type="dxa"/>
            <w:tcBorders/>
            <w:vAlign w:val="center"/>
          </w:tcPr>
          <w:p>
            <w:pPr>
              <w:pStyle w:val="TableHeading"/>
              <w:suppressLineNumbers/>
              <w:shd w:fill="1F3A5F" w:val="clear"/>
              <w:bidi w:val="0"/>
              <w:spacing w:before="0" w:after="283"/>
              <w:jc w:val="center"/>
              <w:rPr/>
            </w:pPr>
            <w:r>
              <w:rPr/>
              <w:t>Gap</w:t>
            </w:r>
          </w:p>
        </w:tc>
        <w:tc>
          <w:tcPr>
            <w:tcW w:w="3630" w:type="dxa"/>
            <w:tcBorders/>
            <w:vAlign w:val="center"/>
          </w:tcPr>
          <w:p>
            <w:pPr>
              <w:pStyle w:val="TableHeading"/>
              <w:suppressLineNumbers/>
              <w:shd w:fill="1F3A5F" w:val="clear"/>
              <w:bidi w:val="0"/>
              <w:spacing w:before="0" w:after="283"/>
              <w:jc w:val="center"/>
              <w:rPr/>
            </w:pPr>
            <w:r>
              <w:rPr/>
              <w:t>Current state</w:t>
            </w:r>
          </w:p>
        </w:tc>
        <w:tc>
          <w:tcPr>
            <w:tcW w:w="2865" w:type="dxa"/>
            <w:tcBorders/>
            <w:vAlign w:val="center"/>
          </w:tcPr>
          <w:p>
            <w:pPr>
              <w:pStyle w:val="TableHeading"/>
              <w:suppressLineNumbers/>
              <w:shd w:fill="1F3A5F" w:val="clear"/>
              <w:bidi w:val="0"/>
              <w:spacing w:before="0" w:after="283"/>
              <w:jc w:val="center"/>
              <w:rPr/>
            </w:pPr>
            <w:r>
              <w:rPr/>
              <w:t>Consequence</w:t>
            </w:r>
          </w:p>
        </w:tc>
      </w:tr>
      <w:tr>
        <w:trPr/>
        <w:tc>
          <w:tcPr>
            <w:tcW w:w="1475" w:type="dxa"/>
            <w:tcBorders/>
            <w:vAlign w:val="center"/>
          </w:tcPr>
          <w:p>
            <w:pPr>
              <w:pStyle w:val="TableContents"/>
              <w:bidi w:val="0"/>
              <w:spacing w:before="0" w:after="283"/>
              <w:jc w:val="left"/>
              <w:rPr/>
            </w:pPr>
            <w:r>
              <w:rPr/>
              <w:t>No metrics infrastructure</w:t>
            </w:r>
          </w:p>
        </w:tc>
        <w:tc>
          <w:tcPr>
            <w:tcW w:w="3630" w:type="dxa"/>
            <w:tcBorders/>
            <w:vAlign w:val="center"/>
          </w:tcPr>
          <w:p>
            <w:pPr>
              <w:pStyle w:val="TableContents"/>
              <w:bidi w:val="0"/>
              <w:spacing w:before="0" w:after="283"/>
              <w:jc w:val="left"/>
              <w:rPr/>
            </w:pPr>
            <w:r>
              <w:rPr/>
              <w:t xml:space="preserve">No Prometheus, no OpenTelemetry, no metrics endpoint, and no structured or JSON logging anywhere in </w:t>
            </w:r>
            <w:r>
              <w:rPr>
                <w:rStyle w:val="SourceText"/>
              </w:rPr>
              <w:t>backend/</w:t>
            </w:r>
            <w:r>
              <w:rPr/>
              <w:t xml:space="preserve"> or </w:t>
            </w:r>
            <w:r>
              <w:rPr>
                <w:rStyle w:val="SourceText"/>
              </w:rPr>
              <w:t>voice/</w:t>
            </w:r>
          </w:p>
        </w:tc>
        <w:tc>
          <w:tcPr>
            <w:tcW w:w="2865" w:type="dxa"/>
            <w:tcBorders/>
            <w:vAlign w:val="center"/>
          </w:tcPr>
          <w:p>
            <w:pPr>
              <w:pStyle w:val="TableContents"/>
              <w:bidi w:val="0"/>
              <w:spacing w:before="0" w:after="283"/>
              <w:jc w:val="left"/>
              <w:rPr/>
            </w:pPr>
            <w:r>
              <w:rPr/>
              <w:t>Nothing is measured continuously. Every number in §4 is obtained by a person running something by hand</w:t>
            </w:r>
          </w:p>
        </w:tc>
      </w:tr>
      <w:tr>
        <w:trPr/>
        <w:tc>
          <w:tcPr>
            <w:tcW w:w="1475" w:type="dxa"/>
            <w:tcBorders/>
            <w:vAlign w:val="center"/>
          </w:tcPr>
          <w:p>
            <w:pPr>
              <w:pStyle w:val="TableContents"/>
              <w:bidi w:val="0"/>
              <w:spacing w:before="0" w:after="283"/>
              <w:jc w:val="left"/>
              <w:rPr/>
            </w:pPr>
            <w:r>
              <w:rPr/>
              <w:t>No scheduled measurement</w:t>
            </w:r>
          </w:p>
        </w:tc>
        <w:tc>
          <w:tcPr>
            <w:tcW w:w="3630" w:type="dxa"/>
            <w:tcBorders/>
            <w:vAlign w:val="center"/>
          </w:tcPr>
          <w:p>
            <w:pPr>
              <w:pStyle w:val="TableContents"/>
              <w:bidi w:val="0"/>
              <w:spacing w:before="0" w:after="283"/>
              <w:jc w:val="left"/>
              <w:rPr/>
            </w:pPr>
            <w:r>
              <w:rPr/>
              <w:t xml:space="preserve">Nothing in the repository runs the golden evaluation, the tests or the isolation check on a timer or on merge; there is no </w:t>
            </w:r>
            <w:r>
              <w:rPr>
                <w:rStyle w:val="SourceText"/>
              </w:rPr>
              <w:t>.github/</w:t>
            </w:r>
            <w:r>
              <w:rPr/>
              <w:t xml:space="preserve"> directory and no CI configuration (</w:t>
            </w:r>
            <w:r>
              <w:rPr>
                <w:rStyle w:val="SourceText"/>
              </w:rPr>
              <w:t>SOP-02</w:t>
            </w:r>
            <w:r>
              <w:rPr/>
              <w:t xml:space="preserve"> §4)</w:t>
            </w:r>
          </w:p>
        </w:tc>
        <w:tc>
          <w:tcPr>
            <w:tcW w:w="2865" w:type="dxa"/>
            <w:tcBorders/>
            <w:vAlign w:val="center"/>
          </w:tcPr>
          <w:p>
            <w:pPr>
              <w:pStyle w:val="TableContents"/>
              <w:bidi w:val="0"/>
              <w:spacing w:before="0" w:after="283"/>
              <w:jc w:val="left"/>
              <w:rPr/>
            </w:pPr>
            <w:r>
              <w:rPr/>
              <w:t xml:space="preserve">Measurement depends entirely on someone remembering. A regression can sit undetected between runs, which is how the defect in commit </w:t>
            </w:r>
            <w:r>
              <w:rPr>
                <w:rStyle w:val="SourceText"/>
              </w:rPr>
              <w:t>4e27109</w:t>
            </w:r>
            <w:r>
              <w:rPr/>
              <w:t xml:space="preserve"> grew from latent to observable</w:t>
            </w:r>
          </w:p>
        </w:tc>
      </w:tr>
      <w:tr>
        <w:trPr/>
        <w:tc>
          <w:tcPr>
            <w:tcW w:w="1475" w:type="dxa"/>
            <w:tcBorders/>
            <w:vAlign w:val="center"/>
          </w:tcPr>
          <w:p>
            <w:pPr>
              <w:pStyle w:val="TableContents"/>
              <w:bidi w:val="0"/>
              <w:spacing w:before="0" w:after="283"/>
              <w:jc w:val="left"/>
              <w:rPr/>
            </w:pPr>
            <w:r>
              <w:rPr/>
              <w:t>No trend data</w:t>
            </w:r>
          </w:p>
        </w:tc>
        <w:tc>
          <w:tcPr>
            <w:tcW w:w="3630" w:type="dxa"/>
            <w:tcBorders/>
            <w:vAlign w:val="center"/>
          </w:tcPr>
          <w:p>
            <w:pPr>
              <w:pStyle w:val="TableContents"/>
              <w:bidi w:val="0"/>
              <w:spacing w:before="0" w:after="283"/>
              <w:jc w:val="left"/>
              <w:rPr/>
            </w:pPr>
            <w:r>
              <w:rPr/>
              <w:t>No measurement series is retained for any metric</w:t>
            </w:r>
          </w:p>
        </w:tc>
        <w:tc>
          <w:tcPr>
            <w:tcW w:w="2865" w:type="dxa"/>
            <w:tcBorders/>
            <w:vAlign w:val="center"/>
          </w:tcPr>
          <w:p>
            <w:pPr>
              <w:pStyle w:val="TableContents"/>
              <w:bidi w:val="0"/>
              <w:spacing w:before="0" w:after="283"/>
              <w:jc w:val="left"/>
              <w:rPr/>
            </w:pPr>
            <w:r>
              <w:rPr/>
              <w:t>Analysis under §8 can currently compare only against whatever figures happen to be quoted in commit bodies. There is no baseline for the first management review</w:t>
            </w:r>
          </w:p>
        </w:tc>
      </w:tr>
      <w:tr>
        <w:trPr/>
        <w:tc>
          <w:tcPr>
            <w:tcW w:w="1475" w:type="dxa"/>
            <w:tcBorders/>
            <w:vAlign w:val="center"/>
          </w:tcPr>
          <w:p>
            <w:pPr>
              <w:pStyle w:val="TableContents"/>
              <w:bidi w:val="0"/>
              <w:spacing w:before="0" w:after="283"/>
              <w:jc w:val="left"/>
              <w:rPr/>
            </w:pPr>
            <w:r>
              <w:rPr/>
              <w:t>Evaluation reports are not retained</w:t>
            </w:r>
          </w:p>
        </w:tc>
        <w:tc>
          <w:tcPr>
            <w:tcW w:w="3630" w:type="dxa"/>
            <w:tcBorders/>
            <w:vAlign w:val="center"/>
          </w:tcPr>
          <w:p>
            <w:pPr>
              <w:pStyle w:val="TableContents"/>
              <w:bidi w:val="0"/>
              <w:spacing w:before="0" w:after="283"/>
              <w:jc w:val="left"/>
              <w:rPr/>
            </w:pPr>
            <w:r>
              <w:rPr>
                <w:rStyle w:val="SourceText"/>
              </w:rPr>
              <w:t>eval/.gitignore</w:t>
            </w:r>
            <w:r>
              <w:rPr/>
              <w:t xml:space="preserve"> excludes </w:t>
            </w:r>
            <w:r>
              <w:rPr>
                <w:rStyle w:val="SourceText"/>
              </w:rPr>
              <w:t>reports/</w:t>
            </w:r>
            <w:r>
              <w:rPr/>
              <w:t xml:space="preserve">, the directory </w:t>
            </w:r>
            <w:r>
              <w:rPr>
                <w:rStyle w:val="SourceText"/>
              </w:rPr>
              <w:t>eval/run_eval.py:275-276</w:t>
            </w:r>
            <w:r>
              <w:rPr/>
              <w:t xml:space="preserve"> writes to</w:t>
            </w:r>
          </w:p>
        </w:tc>
        <w:tc>
          <w:tcPr>
            <w:tcW w:w="2865" w:type="dxa"/>
            <w:tcBorders/>
            <w:vAlign w:val="center"/>
          </w:tcPr>
          <w:p>
            <w:pPr>
              <w:pStyle w:val="TableContents"/>
              <w:bidi w:val="0"/>
              <w:spacing w:before="0" w:after="283"/>
              <w:jc w:val="left"/>
              <w:rPr/>
            </w:pPr>
            <w:r>
              <w:rPr/>
              <w:t>The instrument is version-controlled but its readings are discarded. Verification evidence cited in a nonconformity record cannot be produced later (</w:t>
            </w:r>
            <w:r>
              <w:rPr>
                <w:rStyle w:val="SourceText"/>
              </w:rPr>
              <w:t>SOP-10</w:t>
            </w:r>
            <w:r>
              <w:rPr/>
              <w:t xml:space="preserve"> §12)</w:t>
            </w:r>
          </w:p>
        </w:tc>
      </w:tr>
      <w:tr>
        <w:trPr/>
        <w:tc>
          <w:tcPr>
            <w:tcW w:w="1475" w:type="dxa"/>
            <w:tcBorders/>
            <w:vAlign w:val="center"/>
          </w:tcPr>
          <w:p>
            <w:pPr>
              <w:pStyle w:val="TableContents"/>
              <w:bidi w:val="0"/>
              <w:spacing w:before="0" w:after="283"/>
              <w:jc w:val="left"/>
              <w:rPr/>
            </w:pPr>
            <w:r>
              <w:rPr/>
              <w:t>Doc-precision is computed but not thresholded</w:t>
            </w:r>
          </w:p>
        </w:tc>
        <w:tc>
          <w:tcPr>
            <w:tcW w:w="3630" w:type="dxa"/>
            <w:tcBorders/>
            <w:vAlign w:val="center"/>
          </w:tcPr>
          <w:p>
            <w:pPr>
              <w:pStyle w:val="TableContents"/>
              <w:bidi w:val="0"/>
              <w:spacing w:before="0" w:after="283"/>
              <w:jc w:val="left"/>
              <w:rPr/>
            </w:pPr>
            <w:r>
              <w:rPr/>
              <w:t xml:space="preserve">Calculated at </w:t>
            </w:r>
            <w:r>
              <w:rPr>
                <w:rStyle w:val="SourceText"/>
              </w:rPr>
              <w:t>eval/run_eval.py:171</w:t>
            </w:r>
            <w:r>
              <w:rPr/>
              <w:t xml:space="preserve"> and averaged at </w:t>
            </w:r>
            <w:r>
              <w:rPr>
                <w:rStyle w:val="SourceText"/>
              </w:rPr>
              <w:t>:271-272</w:t>
            </w:r>
            <w:r>
              <w:rPr/>
              <w:t xml:space="preserve">, but the pass gate at </w:t>
            </w:r>
            <w:r>
              <w:rPr>
                <w:rStyle w:val="SourceText"/>
              </w:rPr>
              <w:t>:281</w:t>
            </w:r>
            <w:r>
              <w:rPr/>
              <w:t xml:space="preserve"> uses only the binary per-item result</w:t>
            </w:r>
          </w:p>
        </w:tc>
        <w:tc>
          <w:tcPr>
            <w:tcW w:w="2865" w:type="dxa"/>
            <w:tcBorders/>
            <w:vAlign w:val="center"/>
          </w:tcPr>
          <w:p>
            <w:pPr>
              <w:pStyle w:val="TableContents"/>
              <w:bidi w:val="0"/>
              <w:spacing w:before="0" w:after="283"/>
              <w:jc w:val="left"/>
              <w:rPr/>
            </w:pPr>
            <w:r>
              <w:rPr/>
              <w:t>Citation quality can degrade materially without failing the gate</w:t>
            </w:r>
          </w:p>
        </w:tc>
      </w:tr>
      <w:tr>
        <w:trPr/>
        <w:tc>
          <w:tcPr>
            <w:tcW w:w="1475" w:type="dxa"/>
            <w:tcBorders/>
            <w:vAlign w:val="center"/>
          </w:tcPr>
          <w:p>
            <w:pPr>
              <w:pStyle w:val="TableContents"/>
              <w:bidi w:val="0"/>
              <w:spacing w:before="0" w:after="283"/>
              <w:jc w:val="left"/>
              <w:rPr/>
            </w:pPr>
            <w:r>
              <w:rPr/>
              <w:t>No log rotation or retention of any kind</w:t>
            </w:r>
          </w:p>
        </w:tc>
        <w:tc>
          <w:tcPr>
            <w:tcW w:w="3630" w:type="dxa"/>
            <w:tcBorders/>
            <w:vAlign w:val="center"/>
          </w:tcPr>
          <w:p>
            <w:pPr>
              <w:pStyle w:val="TableContents"/>
              <w:bidi w:val="0"/>
              <w:spacing w:before="0" w:after="283"/>
              <w:jc w:val="left"/>
              <w:rPr/>
            </w:pPr>
            <w:r>
              <w:rPr>
                <w:rStyle w:val="SourceText"/>
              </w:rPr>
              <w:t>docker-compose.yml</w:t>
            </w:r>
            <w:r>
              <w:rPr/>
              <w:t xml:space="preserve"> sets no </w:t>
            </w:r>
            <w:r>
              <w:rPr>
                <w:rStyle w:val="SourceText"/>
              </w:rPr>
              <w:t>logging:</w:t>
            </w:r>
            <w:r>
              <w:rPr/>
              <w:t xml:space="preserve"> driver or options on any service, so the default </w:t>
            </w:r>
            <w:r>
              <w:rPr>
                <w:rStyle w:val="SourceText"/>
              </w:rPr>
              <w:t>json-file</w:t>
            </w:r>
            <w:r>
              <w:rPr/>
              <w:t xml:space="preserve"> driver applies with no </w:t>
            </w:r>
            <w:r>
              <w:rPr>
                <w:rStyle w:val="SourceText"/>
              </w:rPr>
              <w:t>max-size</w:t>
            </w:r>
            <w:r>
              <w:rPr/>
              <w:t xml:space="preserve"> and no </w:t>
            </w:r>
            <w:r>
              <w:rPr>
                <w:rStyle w:val="SourceText"/>
              </w:rPr>
              <w:t>max-file</w:t>
            </w:r>
          </w:p>
        </w:tc>
        <w:tc>
          <w:tcPr>
            <w:tcW w:w="2865" w:type="dxa"/>
            <w:tcBorders/>
            <w:vAlign w:val="center"/>
          </w:tcPr>
          <w:p>
            <w:pPr>
              <w:pStyle w:val="TableContents"/>
              <w:bidi w:val="0"/>
              <w:spacing w:before="0" w:after="283"/>
              <w:jc w:val="left"/>
              <w:rPr/>
            </w:pPr>
            <w:r>
              <w:rPr/>
              <w:t>Container logs grow unbounded until the disk fills, taking the deployment down. The voice per-turn timing data and the backend error log are also the only record of several measurements, and they are neither shipped nor retained</w:t>
            </w:r>
          </w:p>
        </w:tc>
      </w:tr>
      <w:tr>
        <w:trPr/>
        <w:tc>
          <w:tcPr>
            <w:tcW w:w="1475" w:type="dxa"/>
            <w:tcBorders/>
            <w:vAlign w:val="center"/>
          </w:tcPr>
          <w:p>
            <w:pPr>
              <w:pStyle w:val="TableContents"/>
              <w:bidi w:val="0"/>
              <w:spacing w:before="0" w:after="283"/>
              <w:jc w:val="left"/>
              <w:rPr/>
            </w:pPr>
            <w:r>
              <w:rPr/>
              <w:t>Health endpoints check almost nothing</w:t>
            </w:r>
          </w:p>
        </w:tc>
        <w:tc>
          <w:tcPr>
            <w:tcW w:w="3630" w:type="dxa"/>
            <w:tcBorders/>
            <w:vAlign w:val="center"/>
          </w:tcPr>
          <w:p>
            <w:pPr>
              <w:pStyle w:val="TableContents"/>
              <w:bidi w:val="0"/>
              <w:spacing w:before="0" w:after="283"/>
              <w:jc w:val="left"/>
              <w:rPr/>
            </w:pPr>
            <w:r>
              <w:rPr>
                <w:rStyle w:val="SourceText"/>
              </w:rPr>
              <w:t>backend/app/main.py:185-195</w:t>
            </w:r>
            <w:r>
              <w:rPr/>
              <w:t xml:space="preserve"> returns 503 only on a fatal CUDA/STT fault and otherwise </w:t>
            </w:r>
            <w:r>
              <w:rPr>
                <w:rStyle w:val="SourceText"/>
              </w:rPr>
              <w:t>{"ok": true}</w:t>
            </w:r>
            <w:r>
              <w:rPr/>
              <w:t xml:space="preserve"> — it does not check the database, the FAISS indexes, the LLM or the embedding service. </w:t>
            </w:r>
            <w:r>
              <w:rPr>
                <w:rStyle w:val="SourceText"/>
              </w:rPr>
              <w:t>voice/app/server.py:74-82</w:t>
            </w:r>
            <w:r>
              <w:rPr/>
              <w:t xml:space="preserve"> has the same narrow scope</w:t>
            </w:r>
          </w:p>
        </w:tc>
        <w:tc>
          <w:tcPr>
            <w:tcW w:w="2865" w:type="dxa"/>
            <w:tcBorders/>
            <w:vAlign w:val="center"/>
          </w:tcPr>
          <w:p>
            <w:pPr>
              <w:pStyle w:val="TableContents"/>
              <w:bidi w:val="0"/>
              <w:spacing w:before="0" w:after="283"/>
              <w:jc w:val="left"/>
              <w:rPr/>
            </w:pPr>
            <w:r>
              <w:rPr/>
              <w:t>A backend can report healthy with an unreachable LLM, a missing index or a locked database. Health state is not evidence that the product works</w:t>
            </w:r>
          </w:p>
        </w:tc>
      </w:tr>
      <w:tr>
        <w:trPr/>
        <w:tc>
          <w:tcPr>
            <w:tcW w:w="1475" w:type="dxa"/>
            <w:tcBorders/>
            <w:vAlign w:val="center"/>
          </w:tcPr>
          <w:p>
            <w:pPr>
              <w:pStyle w:val="TableContents"/>
              <w:bidi w:val="0"/>
              <w:spacing w:before="0" w:after="283"/>
              <w:jc w:val="left"/>
              <w:rPr/>
            </w:pPr>
            <w:r>
              <w:rPr/>
              <w:t>No readiness endpoint and no dependency aggregation</w:t>
            </w:r>
          </w:p>
        </w:tc>
        <w:tc>
          <w:tcPr>
            <w:tcW w:w="3630" w:type="dxa"/>
            <w:tcBorders/>
            <w:vAlign w:val="center"/>
          </w:tcPr>
          <w:p>
            <w:pPr>
              <w:pStyle w:val="TableContents"/>
              <w:bidi w:val="0"/>
              <w:spacing w:before="0" w:after="283"/>
              <w:jc w:val="left"/>
              <w:rPr/>
            </w:pPr>
            <w:r>
              <w:rPr/>
              <w:t xml:space="preserve">Only the single </w:t>
            </w:r>
            <w:r>
              <w:rPr>
                <w:rStyle w:val="SourceText"/>
              </w:rPr>
              <w:t>/health</w:t>
            </w:r>
            <w:r>
              <w:rPr/>
              <w:t xml:space="preserve"> liveness endpoint per service</w:t>
            </w:r>
          </w:p>
        </w:tc>
        <w:tc>
          <w:tcPr>
            <w:tcW w:w="2865" w:type="dxa"/>
            <w:tcBorders/>
            <w:vAlign w:val="center"/>
          </w:tcPr>
          <w:p>
            <w:pPr>
              <w:pStyle w:val="TableContents"/>
              <w:bidi w:val="0"/>
              <w:spacing w:before="0" w:after="283"/>
              <w:jc w:val="left"/>
              <w:rPr/>
            </w:pPr>
            <w:r>
              <w:rPr/>
              <w:t>Nothing distinguishes "the process is up" from "the service can serve a request"</w:t>
            </w:r>
          </w:p>
        </w:tc>
      </w:tr>
      <w:tr>
        <w:trPr/>
        <w:tc>
          <w:tcPr>
            <w:tcW w:w="1475" w:type="dxa"/>
            <w:tcBorders/>
            <w:vAlign w:val="center"/>
          </w:tcPr>
          <w:p>
            <w:pPr>
              <w:pStyle w:val="TableContents"/>
              <w:bidi w:val="0"/>
              <w:spacing w:before="0" w:after="283"/>
              <w:jc w:val="left"/>
              <w:rPr/>
            </w:pPr>
            <w:r>
              <w:rPr/>
              <w:t>Two services have no healthcheck at all</w:t>
            </w:r>
          </w:p>
        </w:tc>
        <w:tc>
          <w:tcPr>
            <w:tcW w:w="3630" w:type="dxa"/>
            <w:tcBorders/>
            <w:vAlign w:val="center"/>
          </w:tcPr>
          <w:p>
            <w:pPr>
              <w:pStyle w:val="TableContents"/>
              <w:bidi w:val="0"/>
              <w:spacing w:before="0" w:after="283"/>
              <w:jc w:val="left"/>
              <w:rPr/>
            </w:pPr>
            <w:r>
              <w:rPr>
                <w:rStyle w:val="SourceText"/>
              </w:rPr>
              <w:t>frontend</w:t>
            </w:r>
            <w:r>
              <w:rPr/>
              <w:t xml:space="preserve"> (</w:t>
            </w:r>
            <w:r>
              <w:rPr>
                <w:rStyle w:val="SourceText"/>
              </w:rPr>
              <w:t>docker-compose.yml:207</w:t>
            </w:r>
            <w:r>
              <w:rPr/>
              <w:t xml:space="preserve">) and </w:t>
            </w:r>
            <w:r>
              <w:rPr>
                <w:rStyle w:val="SourceText"/>
              </w:rPr>
              <w:t>cloudflared</w:t>
            </w:r>
            <w:r>
              <w:rPr/>
              <w:t xml:space="preserve"> (</w:t>
            </w:r>
            <w:r>
              <w:rPr>
                <w:rStyle w:val="SourceText"/>
              </w:rPr>
              <w:t>:223</w:t>
            </w:r>
            <w:r>
              <w:rPr/>
              <w:t>) define none</w:t>
            </w:r>
          </w:p>
        </w:tc>
        <w:tc>
          <w:tcPr>
            <w:tcW w:w="2865" w:type="dxa"/>
            <w:tcBorders/>
            <w:vAlign w:val="center"/>
          </w:tcPr>
          <w:p>
            <w:pPr>
              <w:pStyle w:val="TableContents"/>
              <w:bidi w:val="0"/>
              <w:spacing w:before="0" w:after="283"/>
              <w:jc w:val="left"/>
              <w:rPr/>
            </w:pPr>
            <w:r>
              <w:rPr/>
              <w:t xml:space="preserve">Their failure is invisible to </w:t>
            </w:r>
            <w:r>
              <w:rPr>
                <w:rStyle w:val="SourceText"/>
              </w:rPr>
              <w:t>docker compose ps</w:t>
            </w:r>
          </w:p>
        </w:tc>
      </w:tr>
      <w:tr>
        <w:trPr/>
        <w:tc>
          <w:tcPr>
            <w:tcW w:w="1475" w:type="dxa"/>
            <w:tcBorders/>
            <w:vAlign w:val="center"/>
          </w:tcPr>
          <w:p>
            <w:pPr>
              <w:pStyle w:val="TableContents"/>
              <w:bidi w:val="0"/>
              <w:spacing w:before="0" w:after="283"/>
              <w:jc w:val="left"/>
              <w:rPr/>
            </w:pPr>
            <w:r>
              <w:rPr/>
              <w:t>The activity log is not a reliable measurement source</w:t>
            </w:r>
          </w:p>
        </w:tc>
        <w:tc>
          <w:tcPr>
            <w:tcW w:w="3630" w:type="dxa"/>
            <w:tcBorders/>
            <w:vAlign w:val="center"/>
          </w:tcPr>
          <w:p>
            <w:pPr>
              <w:pStyle w:val="TableContents"/>
              <w:bidi w:val="0"/>
              <w:spacing w:before="0" w:after="283"/>
              <w:jc w:val="left"/>
              <w:rPr/>
            </w:pPr>
            <w:r>
              <w:rPr/>
              <w:t xml:space="preserve">The middleware is wrapped in a bare </w:t>
            </w:r>
            <w:r>
              <w:rPr>
                <w:rStyle w:val="SourceText"/>
              </w:rPr>
              <w:t>except Exception: pass</w:t>
            </w:r>
            <w:r>
              <w:rPr/>
              <w:t xml:space="preserve"> (</w:t>
            </w:r>
            <w:r>
              <w:rPr>
                <w:rStyle w:val="SourceText"/>
              </w:rPr>
              <w:t>backend/app/main.py:161-162</w:t>
            </w:r>
            <w:r>
              <w:rPr/>
              <w:t>) and the insert swallows failures at debug level (</w:t>
            </w:r>
            <w:r>
              <w:rPr>
                <w:rStyle w:val="SourceText"/>
              </w:rPr>
              <w:t>backend/app/core/audit.py:21-22</w:t>
            </w:r>
            <w:r>
              <w:rPr/>
              <w:t>)</w:t>
            </w:r>
          </w:p>
        </w:tc>
        <w:tc>
          <w:tcPr>
            <w:tcW w:w="2865" w:type="dxa"/>
            <w:tcBorders/>
            <w:vAlign w:val="center"/>
          </w:tcPr>
          <w:p>
            <w:pPr>
              <w:pStyle w:val="TableContents"/>
              <w:bidi w:val="0"/>
              <w:spacing w:before="0" w:after="283"/>
              <w:jc w:val="left"/>
              <w:rPr/>
            </w:pPr>
            <w:r>
              <w:rPr/>
              <w:t>Usage figures are a lower bound of unknown tightness and must be reported as such</w:t>
            </w:r>
          </w:p>
        </w:tc>
      </w:tr>
      <w:tr>
        <w:trPr/>
        <w:tc>
          <w:tcPr>
            <w:tcW w:w="1475" w:type="dxa"/>
            <w:tcBorders/>
            <w:vAlign w:val="center"/>
          </w:tcPr>
          <w:p>
            <w:pPr>
              <w:pStyle w:val="TableContents"/>
              <w:bidi w:val="0"/>
              <w:spacing w:before="0" w:after="283"/>
              <w:jc w:val="left"/>
              <w:rPr/>
            </w:pPr>
            <w:r>
              <w:rPr/>
              <w:t xml:space="preserve">No pruning of </w:t>
            </w:r>
            <w:r>
              <w:rPr>
                <w:rStyle w:val="SourceText"/>
              </w:rPr>
              <w:t>activity_log</w:t>
            </w:r>
          </w:p>
        </w:tc>
        <w:tc>
          <w:tcPr>
            <w:tcW w:w="3630" w:type="dxa"/>
            <w:tcBorders/>
            <w:vAlign w:val="center"/>
          </w:tcPr>
          <w:p>
            <w:pPr>
              <w:pStyle w:val="TableContents"/>
              <w:bidi w:val="0"/>
              <w:spacing w:before="0" w:after="283"/>
              <w:jc w:val="left"/>
              <w:rPr/>
            </w:pPr>
            <w:r>
              <w:rPr/>
              <w:t>No endpoint and no task deletes from it</w:t>
            </w:r>
          </w:p>
        </w:tc>
        <w:tc>
          <w:tcPr>
            <w:tcW w:w="2865" w:type="dxa"/>
            <w:tcBorders/>
            <w:vAlign w:val="center"/>
          </w:tcPr>
          <w:p>
            <w:pPr>
              <w:pStyle w:val="TableContents"/>
              <w:bidi w:val="0"/>
              <w:spacing w:before="0" w:after="283"/>
              <w:jc w:val="left"/>
              <w:rPr/>
            </w:pPr>
            <w:r>
              <w:rPr/>
              <w:t xml:space="preserve">The table grows without limit; see also </w:t>
            </w:r>
            <w:r>
              <w:rPr>
                <w:rStyle w:val="SourceText"/>
              </w:rPr>
              <w:t>SOP-11</w:t>
            </w:r>
            <w:r>
              <w:rPr/>
              <w:t xml:space="preserve"> §10</w:t>
            </w:r>
          </w:p>
        </w:tc>
      </w:tr>
      <w:tr>
        <w:trPr/>
        <w:tc>
          <w:tcPr>
            <w:tcW w:w="1475" w:type="dxa"/>
            <w:tcBorders/>
            <w:vAlign w:val="center"/>
          </w:tcPr>
          <w:p>
            <w:pPr>
              <w:pStyle w:val="TableContents"/>
              <w:bidi w:val="0"/>
              <w:spacing w:before="0" w:after="283"/>
              <w:jc w:val="left"/>
              <w:rPr/>
            </w:pPr>
            <w:r>
              <w:rPr/>
              <w:t>No thresholds or objectives set</w:t>
            </w:r>
          </w:p>
        </w:tc>
        <w:tc>
          <w:tcPr>
            <w:tcW w:w="3630" w:type="dxa"/>
            <w:tcBorders/>
            <w:vAlign w:val="center"/>
          </w:tcPr>
          <w:p>
            <w:pPr>
              <w:pStyle w:val="TableContents"/>
              <w:bidi w:val="0"/>
              <w:spacing w:before="0" w:after="283"/>
              <w:jc w:val="left"/>
              <w:rPr/>
            </w:pPr>
            <w:r>
              <w:rPr>
                <w:rStyle w:val="SourceText"/>
              </w:rPr>
              <w:t>QO-01</w:t>
            </w:r>
            <w:r>
              <w:rPr/>
              <w:t xml:space="preserve"> exists but no numeric threshold is bound to any metric in §4 apart from the binary golden gate</w:t>
            </w:r>
          </w:p>
        </w:tc>
        <w:tc>
          <w:tcPr>
            <w:tcW w:w="2865" w:type="dxa"/>
            <w:tcBorders/>
            <w:vAlign w:val="center"/>
          </w:tcPr>
          <w:p>
            <w:pPr>
              <w:pStyle w:val="TableContents"/>
              <w:bidi w:val="0"/>
              <w:spacing w:before="0" w:after="283"/>
              <w:jc w:val="left"/>
              <w:rPr/>
            </w:pPr>
            <w:r>
              <w:rPr/>
              <w:t>"Analysis and evaluation" under 9.1.3 currently has nothing to evaluate results against</w:t>
            </w:r>
          </w:p>
        </w:tc>
      </w:tr>
      <w:tr>
        <w:trPr/>
        <w:tc>
          <w:tcPr>
            <w:tcW w:w="1475" w:type="dxa"/>
            <w:tcBorders/>
            <w:vAlign w:val="center"/>
          </w:tcPr>
          <w:p>
            <w:pPr>
              <w:pStyle w:val="TableContents"/>
              <w:bidi w:val="0"/>
              <w:spacing w:before="0" w:after="283"/>
              <w:jc w:val="left"/>
              <w:rPr/>
            </w:pPr>
            <w:r>
              <w:rPr/>
              <w:t>Errors surfaced to users are not aggregated</w:t>
            </w:r>
          </w:p>
        </w:tc>
        <w:tc>
          <w:tcPr>
            <w:tcW w:w="3630" w:type="dxa"/>
            <w:tcBorders/>
            <w:vAlign w:val="center"/>
          </w:tcPr>
          <w:p>
            <w:pPr>
              <w:pStyle w:val="TableContents"/>
              <w:bidi w:val="0"/>
              <w:spacing w:before="0" w:after="283"/>
              <w:jc w:val="left"/>
              <w:rPr/>
            </w:pPr>
            <w:r>
              <w:rPr/>
              <w:t xml:space="preserve">The 14 </w:t>
            </w:r>
            <w:r>
              <w:rPr>
                <w:rStyle w:val="SourceText"/>
              </w:rPr>
              <w:t>{"type": "error"}</w:t>
            </w:r>
            <w:r>
              <w:rPr/>
              <w:t xml:space="preserve"> emission sites in </w:t>
            </w:r>
            <w:r>
              <w:rPr>
                <w:rStyle w:val="SourceText"/>
              </w:rPr>
              <w:t>backend/app/transcribe/ws.py</w:t>
            </w:r>
            <w:r>
              <w:rPr/>
              <w:t xml:space="preserve"> are counted nowhere</w:t>
            </w:r>
          </w:p>
        </w:tc>
        <w:tc>
          <w:tcPr>
            <w:tcW w:w="2865" w:type="dxa"/>
            <w:tcBorders/>
            <w:vAlign w:val="center"/>
          </w:tcPr>
          <w:p>
            <w:pPr>
              <w:pStyle w:val="TableContents"/>
              <w:bidi w:val="0"/>
              <w:spacing w:before="0" w:after="283"/>
              <w:jc w:val="left"/>
              <w:rPr/>
            </w:pPr>
            <w:r>
              <w:rPr/>
              <w:t>The organisation cannot say how often users hit an error, or which one</w:t>
            </w:r>
          </w:p>
        </w:tc>
      </w:tr>
      <w:tr>
        <w:trPr/>
        <w:tc>
          <w:tcPr>
            <w:tcW w:w="1475" w:type="dxa"/>
            <w:tcBorders/>
            <w:vAlign w:val="center"/>
          </w:tcPr>
          <w:p>
            <w:pPr>
              <w:pStyle w:val="TableContents"/>
              <w:bidi w:val="0"/>
              <w:spacing w:before="0" w:after="283"/>
              <w:jc w:val="left"/>
              <w:rPr/>
            </w:pPr>
            <w:r>
              <w:rPr/>
              <w:t>No measurement of a customer deployment</w:t>
            </w:r>
          </w:p>
        </w:tc>
        <w:tc>
          <w:tcPr>
            <w:tcW w:w="3630" w:type="dxa"/>
            <w:tcBorders/>
            <w:vAlign w:val="center"/>
          </w:tcPr>
          <w:p>
            <w:pPr>
              <w:pStyle w:val="TableContents"/>
              <w:bidi w:val="0"/>
              <w:spacing w:before="0" w:after="283"/>
              <w:jc w:val="left"/>
              <w:rPr/>
            </w:pPr>
            <w:r>
              <w:rPr/>
              <w:t>By design — no telemetry leaves a customer installation (</w:t>
            </w:r>
            <w:r>
              <w:rPr>
                <w:rStyle w:val="SourceText"/>
              </w:rPr>
              <w:t>SOP-11</w:t>
            </w:r>
            <w:r>
              <w:rPr/>
              <w:t xml:space="preserve"> §7)</w:t>
            </w:r>
          </w:p>
        </w:tc>
        <w:tc>
          <w:tcPr>
            <w:tcW w:w="2865" w:type="dxa"/>
            <w:tcBorders/>
            <w:vAlign w:val="center"/>
          </w:tcPr>
          <w:p>
            <w:pPr>
              <w:pStyle w:val="TableContents"/>
              <w:bidi w:val="0"/>
              <w:spacing w:before="0" w:after="283"/>
              <w:jc w:val="left"/>
              <w:rPr/>
            </w:pPr>
            <w:r>
              <w:rPr/>
              <w:t xml:space="preserve">Field quality is invisible to Ajace AI. The compensating control must be an agreed reporting route with each customer under </w:t>
            </w:r>
            <w:r>
              <w:rPr>
                <w:rStyle w:val="SourceText"/>
              </w:rPr>
              <w:t>SOP-04</w:t>
            </w:r>
            <w:r>
              <w:rPr/>
              <w:t>, which does not yet exist</w:t>
            </w:r>
          </w:p>
        </w:tc>
      </w:tr>
    </w:tbl>
    <w:p>
      <w:pPr>
        <w:pStyle w:val="BodyText"/>
        <w:bidi w:val="0"/>
        <w:spacing w:before="0" w:after="283"/>
        <w:jc w:val="left"/>
        <w:rPr/>
      </w:pPr>
      <w:r>
        <w:rPr/>
        <w:t xml:space="preserve">Each gap above is carried into </w:t>
      </w:r>
      <w:r>
        <w:rPr>
          <w:rStyle w:val="SourceText"/>
        </w:rPr>
        <w:t>registers/REG-03_Risk_Register.md</w:t>
      </w:r>
      <w:r>
        <w:rPr/>
        <w:t xml:space="preserve"> and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