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Completion Checklist — what is needed to finish the ISO 9001 system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430"/>
        <w:gridCol w:w="9909"/>
      </w:tblGrid>
      <w:tr>
        <w:trPr>
          <w:tblHeader w:val="true"/>
        </w:trPr>
        <w:tc>
          <w:tcPr>
            <w:tcW w:w="1430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990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143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990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(working checklist — not a controlled QMS document)</w:t>
            </w:r>
          </w:p>
        </w:tc>
      </w:tr>
      <w:tr>
        <w:trPr/>
        <w:tc>
          <w:tcPr>
            <w:tcW w:w="143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990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143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Basis</w:t>
            </w:r>
          </w:p>
        </w:tc>
        <w:tc>
          <w:tcPr>
            <w:tcW w:w="990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docs/qms/</w:t>
            </w:r>
            <w:r>
              <w:rPr/>
              <w:t xml:space="preserve"> at revision 1.0, assessed 2026-09-21; </w:t>
            </w:r>
            <w:r>
              <w:rPr>
                <w:rStyle w:val="Strong"/>
              </w:rPr>
              <w:t>progress updated 2026-09-22</w:t>
            </w:r>
            <w:r>
              <w:rPr/>
              <w:t xml:space="preserve"> (D1, D2, D6 closed); </w:t>
            </w:r>
            <w:r>
              <w:rPr>
                <w:rStyle w:val="Strong"/>
              </w:rPr>
              <w:t>re-verified against the running system 2026-10-06</w:t>
            </w:r>
            <w:r>
              <w:rPr/>
              <w:t xml:space="preserve"> — D2 applied 2026-10-06; D14 built but not installed on the reference host; D4 deployed but not yet a from-scratch release build; D5 done</w:t>
            </w:r>
          </w:p>
        </w:tc>
      </w:tr>
      <w:tr>
        <w:trPr/>
        <w:tc>
          <w:tcPr>
            <w:tcW w:w="1430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Companion documents</w:t>
            </w:r>
          </w:p>
        </w:tc>
        <w:tc>
          <w:tcPr>
            <w:tcW w:w="990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ADOPTION_GUIDE.md</w:t>
            </w:r>
            <w:r>
              <w:rPr/>
              <w:t xml:space="preserve"> (the six-step path) · </w:t>
            </w:r>
            <w:r>
              <w:rPr>
                <w:rStyle w:val="SourceText"/>
              </w:rPr>
              <w:t>ISO9001_Gap_Analysis.md</w:t>
            </w:r>
            <w:r>
              <w:rPr/>
              <w:t xml:space="preserve"> (the findings)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How to read this</w:t>
      </w:r>
    </w:p>
    <w:p>
      <w:pPr>
        <w:pStyle w:val="BodyText"/>
        <w:bidi w:val="0"/>
        <w:jc w:val="left"/>
        <w:rPr/>
      </w:pPr>
      <w:r>
        <w:rPr/>
        <w:t xml:space="preserve">Six categories, in dependency order. </w:t>
      </w:r>
      <w:r>
        <w:rPr>
          <w:rStyle w:val="Strong"/>
        </w:rPr>
        <w:t>A, B and C you can finish in a few days</w:t>
      </w:r>
      <w:r>
        <w:rPr/>
        <w:t xml:space="preserve"> — they are information and decisions. </w:t>
      </w:r>
      <w:r>
        <w:rPr>
          <w:rStyle w:val="Strong"/>
        </w:rPr>
        <w:t>D is engineering work.</w:t>
      </w:r>
      <w:r>
        <w:rPr/>
        <w:t xml:space="preserve"> </w:t>
      </w:r>
      <w:r>
        <w:rPr>
          <w:rStyle w:val="Strong"/>
        </w:rPr>
        <w:t>E cannot be shortened at all</w:t>
      </w:r>
      <w:r>
        <w:rPr/>
        <w:t xml:space="preserve"> — it is elapsed time accumulating real records, and it is the binding constraint on certification.</w:t>
      </w:r>
    </w:p>
    <w:p>
      <w:pPr>
        <w:pStyle w:val="BodyText"/>
        <w:bidi w:val="0"/>
        <w:jc w:val="left"/>
        <w:rPr/>
      </w:pPr>
      <w:r>
        <w:rPr/>
        <w:t xml:space="preserve">There are </w:t>
      </w:r>
      <w:r>
        <w:rPr>
          <w:rStyle w:val="Strong"/>
        </w:rPr>
        <w:t>1,581 blank fields</w:t>
      </w:r>
      <w:r>
        <w:rPr/>
        <w:t xml:space="preserve"> in the document set. That number is misleading and worth decomposing, because most of them are not "missing":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735"/>
        <w:gridCol w:w="759"/>
        <w:gridCol w:w="6844"/>
      </w:tblGrid>
      <w:tr>
        <w:trPr>
          <w:tblHeader w:val="true"/>
        </w:trPr>
        <w:tc>
          <w:tcPr>
            <w:tcW w:w="3735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Where</w:t>
            </w:r>
          </w:p>
        </w:tc>
        <w:tc>
          <w:tcPr>
            <w:tcW w:w="75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Count</w:t>
            </w:r>
          </w:p>
        </w:tc>
        <w:tc>
          <w:tcPr>
            <w:tcW w:w="684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Do they need filling now?</w:t>
            </w:r>
          </w:p>
        </w:tc>
      </w:tr>
      <w:tr>
        <w:trPr/>
        <w:tc>
          <w:tcPr>
            <w:tcW w:w="373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Blank forms (</w:t>
            </w:r>
            <w:r>
              <w:rPr>
                <w:rStyle w:val="SourceText"/>
              </w:rPr>
              <w:t>FRM-01</w:t>
            </w:r>
            <w:r>
              <w:rPr/>
              <w:t>…</w:t>
            </w:r>
            <w:r>
              <w:rPr>
                <w:rStyle w:val="SourceText"/>
              </w:rPr>
              <w:t>FRM-12</w:t>
            </w:r>
            <w:r>
              <w:rPr/>
              <w:t>)</w:t>
            </w:r>
          </w:p>
        </w:tc>
        <w:tc>
          <w:tcPr>
            <w:tcW w:w="75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~1,275</w:t>
            </w:r>
          </w:p>
        </w:tc>
        <w:tc>
          <w:tcPr>
            <w:tcW w:w="68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No.</w:t>
            </w:r>
            <w:r>
              <w:rPr/>
              <w:t xml:space="preserve"> These are templates. A field is filled when the form is used for a real event.</w:t>
            </w:r>
          </w:p>
        </w:tc>
      </w:tr>
      <w:tr>
        <w:trPr/>
        <w:tc>
          <w:tcPr>
            <w:tcW w:w="373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blocks (36 documents × header)</w:t>
            </w:r>
          </w:p>
        </w:tc>
        <w:tc>
          <w:tcPr>
            <w:tcW w:w="75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~144</w:t>
            </w:r>
          </w:p>
        </w:tc>
        <w:tc>
          <w:tcPr>
            <w:tcW w:w="68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Yes</w:t>
            </w:r>
            <w:r>
              <w:rPr/>
              <w:t xml:space="preserve"> — category A4</w:t>
            </w:r>
          </w:p>
        </w:tc>
      </w:tr>
      <w:tr>
        <w:trPr/>
        <w:tc>
          <w:tcPr>
            <w:tcW w:w="3735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Registers and core documents</w:t>
            </w:r>
          </w:p>
        </w:tc>
        <w:tc>
          <w:tcPr>
            <w:tcW w:w="75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~162</w:t>
            </w:r>
          </w:p>
        </w:tc>
        <w:tc>
          <w:tcPr>
            <w:tcW w:w="684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Yes</w:t>
            </w:r>
            <w:r>
              <w:rPr/>
              <w:t xml:space="preserve"> — categories A, B, C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BlockQuotation"/>
        <w:bidi w:val="0"/>
        <w:jc w:val="left"/>
        <w:rPr/>
      </w:pPr>
      <w:r>
        <w:rPr>
          <w:rStyle w:val="Strong"/>
        </w:rPr>
        <w:t xml:space="preserve">The questions in categories A and B are laid out as a fillable form in </w:t>
      </w:r>
      <w:hyperlink r:id="rId2">
        <w:r>
          <w:rPr>
            <w:rStyle w:val="Hyperlink"/>
            <w:rFonts w:ascii="Consolas" w:hAnsi="Consolas" w:eastAsia="Consolas" w:cs="Consolas"/>
          </w:rPr>
          <w:t>INTAKE_FORM.md</w:t>
        </w:r>
      </w:hyperlink>
      <w:r>
        <w:rPr>
          <w:rStyle w:val="Strong"/>
        </w:rPr>
        <w:t>.</w:t>
      </w:r>
      <w:r>
        <w:rPr/>
        <w:t xml:space="preserve"> Answer that one document and everything below in A and B is covered.</w:t>
      </w:r>
    </w:p>
    <w:p>
      <w:pPr>
        <w:pStyle w:val="Heading2"/>
        <w:bidi w:val="0"/>
        <w:jc w:val="left"/>
        <w:rPr/>
      </w:pPr>
      <w:r>
        <w:rPr/>
        <w:t>A. Information only you have</w:t>
      </w:r>
    </w:p>
    <w:p>
      <w:pPr>
        <w:pStyle w:val="BodyText"/>
        <w:bidi w:val="0"/>
        <w:jc w:val="left"/>
        <w:rPr/>
      </w:pPr>
      <w:r>
        <w:rPr/>
        <w:t>Nothing in the repository can supply these. Roughly one hour of work.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95"/>
        <w:gridCol w:w="4064"/>
        <w:gridCol w:w="1758"/>
        <w:gridCol w:w="4122"/>
      </w:tblGrid>
      <w:tr>
        <w:trPr>
          <w:tblHeader w:val="true"/>
        </w:trPr>
        <w:tc>
          <w:tcPr>
            <w:tcW w:w="1395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406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What</w:t>
            </w:r>
          </w:p>
        </w:tc>
        <w:tc>
          <w:tcPr>
            <w:tcW w:w="175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Where it goes</w:t>
            </w:r>
          </w:p>
        </w:tc>
        <w:tc>
          <w:tcPr>
            <w:tcW w:w="412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Notes</w:t>
            </w:r>
          </w:p>
        </w:tc>
      </w:tr>
      <w:tr>
        <w:trPr/>
        <w:tc>
          <w:tcPr>
            <w:tcW w:w="139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~~A1~~ ✅ 2026-10-07</w:t>
            </w:r>
          </w:p>
        </w:tc>
        <w:tc>
          <w:tcPr>
            <w:tcW w:w="40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Registered company name, registered address, principal place of business, company registration number</w:t>
            </w:r>
          </w:p>
        </w:tc>
        <w:tc>
          <w:tcPr>
            <w:tcW w:w="17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QM-01</w:t>
            </w:r>
            <w:r>
              <w:rPr/>
              <w:t xml:space="preserve"> §1 table</w:t>
            </w:r>
          </w:p>
        </w:tc>
        <w:tc>
          <w:tcPr>
            <w:tcW w:w="412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Also used in the scope statement</w:t>
            </w:r>
          </w:p>
        </w:tc>
      </w:tr>
      <w:tr>
        <w:trPr/>
        <w:tc>
          <w:tcPr>
            <w:tcW w:w="139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~~A2~~ ✅ 2026-10-07</w:t>
            </w:r>
          </w:p>
        </w:tc>
        <w:tc>
          <w:tcPr>
            <w:tcW w:w="40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location from which the service is provided</w:t>
            </w:r>
          </w:p>
        </w:tc>
        <w:tc>
          <w:tcPr>
            <w:tcW w:w="17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QM-01</w:t>
            </w:r>
            <w:r>
              <w:rPr/>
              <w:t xml:space="preserve"> §4 scope statement (line 82)</w:t>
            </w:r>
          </w:p>
        </w:tc>
        <w:tc>
          <w:tcPr>
            <w:tcW w:w="412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requires the scope to state where</w:t>
            </w:r>
          </w:p>
        </w:tc>
      </w:tr>
      <w:tr>
        <w:trPr/>
        <w:tc>
          <w:tcPr>
            <w:tcW w:w="139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~~A3~~ ✅ 2026-10-07</w:t>
            </w:r>
          </w:p>
        </w:tc>
        <w:tc>
          <w:tcPr>
            <w:tcW w:w="40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Who holds each role: Managing Director, Lead Engineer, Quality representative, Data custodian</w:t>
            </w:r>
          </w:p>
        </w:tc>
        <w:tc>
          <w:tcPr>
            <w:tcW w:w="17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QM-01</w:t>
            </w:r>
            <w:r>
              <w:rPr/>
              <w:t xml:space="preserve"> §6.1</w:t>
            </w:r>
          </w:p>
        </w:tc>
        <w:tc>
          <w:tcPr>
            <w:tcW w:w="412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One person may hold all four — record the same name four times; the roles stay distinct in records</w:t>
            </w:r>
          </w:p>
        </w:tc>
      </w:tr>
      <w:tr>
        <w:trPr/>
        <w:tc>
          <w:tcPr>
            <w:tcW w:w="139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~~A4~~ ✅ 2026-10-07</w:t>
            </w:r>
          </w:p>
        </w:tc>
        <w:tc>
          <w:tcPr>
            <w:tcW w:w="406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Approver name + date on every document, and a signature on the policy</w:t>
            </w:r>
          </w:p>
        </w:tc>
        <w:tc>
          <w:tcPr>
            <w:tcW w:w="17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36 header blocks; </w:t>
            </w:r>
            <w:r>
              <w:rPr>
                <w:rStyle w:val="SourceText"/>
              </w:rPr>
              <w:t>QP-01</w:t>
            </w:r>
            <w:r>
              <w:rPr/>
              <w:t xml:space="preserve"> §signature</w:t>
            </w:r>
          </w:p>
        </w:tc>
        <w:tc>
          <w:tcPr>
            <w:tcW w:w="412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Must be your own act.</w:t>
            </w:r>
            <w:r>
              <w:rPr/>
              <w:t xml:space="preserve"> Do not pre-fill, do not back-date. This is the single action that turns the set into a system.</w:t>
            </w:r>
          </w:p>
        </w:tc>
      </w:tr>
      <w:tr>
        <w:trPr/>
        <w:tc>
          <w:tcPr>
            <w:tcW w:w="1395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A5</w:t>
            </w:r>
          </w:p>
        </w:tc>
        <w:tc>
          <w:tcPr>
            <w:tcW w:w="406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Personnel names for the competence matrix</w:t>
            </w:r>
          </w:p>
        </w:tc>
        <w:tc>
          <w:tcPr>
            <w:tcW w:w="175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REG-05</w:t>
            </w:r>
            <w:r>
              <w:rPr/>
              <w:t xml:space="preserve"> §2, §3</w:t>
            </w:r>
          </w:p>
        </w:tc>
        <w:tc>
          <w:tcPr>
            <w:tcW w:w="412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Nine competence rows already listed; add the person and the evidence for each</w:t>
            </w:r>
          </w:p>
        </w:tc>
      </w:tr>
    </w:tbl>
    <w:p>
      <w:pPr>
        <w:pStyle w:val="Heading2"/>
        <w:bidi w:val="0"/>
        <w:jc w:val="left"/>
        <w:rPr/>
      </w:pPr>
      <w:r>
        <w:rPr/>
        <w:t>B. Decisions only you can make</w:t>
      </w:r>
    </w:p>
    <w:p>
      <w:pPr>
        <w:pStyle w:val="BodyText"/>
        <w:bidi w:val="0"/>
        <w:jc w:val="left"/>
        <w:rPr/>
      </w:pPr>
      <w:r>
        <w:rPr/>
        <w:t>Nobody can make these for you; they define what you are agreeing to be held to. Half a day.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64"/>
        <w:gridCol w:w="4697"/>
        <w:gridCol w:w="1357"/>
        <w:gridCol w:w="4921"/>
      </w:tblGrid>
      <w:tr>
        <w:trPr>
          <w:tblHeader w:val="true"/>
        </w:trPr>
        <w:tc>
          <w:tcPr>
            <w:tcW w:w="36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469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Decision</w:t>
            </w:r>
          </w:p>
        </w:tc>
        <w:tc>
          <w:tcPr>
            <w:tcW w:w="135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Where</w:t>
            </w:r>
          </w:p>
        </w:tc>
        <w:tc>
          <w:tcPr>
            <w:tcW w:w="492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Guidance</w:t>
            </w:r>
          </w:p>
        </w:tc>
      </w:tr>
      <w:tr>
        <w:trPr/>
        <w:tc>
          <w:tcPr>
            <w:tcW w:w="36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B1</w:t>
            </w:r>
          </w:p>
        </w:tc>
        <w:tc>
          <w:tcPr>
            <w:tcW w:w="46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Accept, change or reject each of the </w:t>
            </w:r>
            <w:r>
              <w:rPr>
                <w:rStyle w:val="Strong"/>
              </w:rPr>
              <w:t>7 quality objectives and their targets</w:t>
            </w:r>
          </w:p>
        </w:tc>
        <w:tc>
          <w:tcPr>
            <w:tcW w:w="13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QO-01</w:t>
            </w:r>
          </w:p>
        </w:tc>
        <w:tc>
          <w:tcPr>
            <w:tcW w:w="49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Only agree to targets you will actually measure. A missed target you track is fine; a target nobody measures is a finding.</w:t>
            </w:r>
          </w:p>
        </w:tc>
      </w:tr>
      <w:tr>
        <w:trPr/>
        <w:tc>
          <w:tcPr>
            <w:tcW w:w="36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B2</w:t>
            </w:r>
          </w:p>
        </w:tc>
        <w:tc>
          <w:tcPr>
            <w:tcW w:w="46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Confirm or change the </w:t>
            </w:r>
            <w:r>
              <w:rPr>
                <w:rStyle w:val="Strong"/>
              </w:rPr>
              <w:t>14 proposed risk ratings</w:t>
            </w:r>
            <w:r>
              <w:rPr/>
              <w:t>, and assign an owner and due date to each treatment</w:t>
            </w:r>
          </w:p>
        </w:tc>
        <w:tc>
          <w:tcPr>
            <w:tcW w:w="13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REG-03</w:t>
            </w:r>
          </w:p>
        </w:tc>
        <w:tc>
          <w:tcPr>
            <w:tcW w:w="49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The ratings are one reading of the evidence, deliberately marked </w:t>
            </w:r>
            <w:r>
              <w:rPr>
                <w:rStyle w:val="Emphasis"/>
              </w:rPr>
              <w:t>proposed</w:t>
            </w:r>
            <w:r>
              <w:rPr/>
              <w:t>. This is the highest-value two hours in the whole adoption.</w:t>
            </w:r>
          </w:p>
        </w:tc>
      </w:tr>
      <w:tr>
        <w:trPr/>
        <w:tc>
          <w:tcPr>
            <w:tcW w:w="36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B3</w:t>
            </w:r>
          </w:p>
        </w:tc>
        <w:tc>
          <w:tcPr>
            <w:tcW w:w="46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Data retention periods per data class</w:t>
            </w:r>
            <w:r>
              <w:rPr/>
              <w:t xml:space="preserve"> — uploaded documents, transcripts, boardroom audio, chat messages, </w:t>
            </w:r>
            <w:r>
              <w:rPr>
                <w:rStyle w:val="SourceText"/>
              </w:rPr>
              <w:t>activity_log</w:t>
            </w:r>
          </w:p>
        </w:tc>
        <w:tc>
          <w:tcPr>
            <w:tcW w:w="13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SOP-11</w:t>
            </w:r>
            <w:r>
              <w:rPr/>
              <w:t xml:space="preserve"> §7</w:t>
            </w:r>
          </w:p>
        </w:tc>
        <w:tc>
          <w:tcPr>
            <w:tcW w:w="49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Currently there is no policy at all. Customers in regulated sectors will ask this in procurement. Decide it per class, in days.</w:t>
            </w:r>
          </w:p>
        </w:tc>
      </w:tr>
      <w:tr>
        <w:trPr/>
        <w:tc>
          <w:tcPr>
            <w:tcW w:w="36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B4</w:t>
            </w:r>
          </w:p>
        </w:tc>
        <w:tc>
          <w:tcPr>
            <w:tcW w:w="46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Management review cadence</w:t>
            </w:r>
            <w:r>
              <w:rPr/>
              <w:t xml:space="preserve"> — quarterly or annual</w:t>
            </w:r>
          </w:p>
        </w:tc>
        <w:tc>
          <w:tcPr>
            <w:tcW w:w="13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SOP-15</w:t>
            </w:r>
            <w:r>
              <w:rPr/>
              <w:t xml:space="preserve"> §4; </w:t>
            </w:r>
            <w:r>
              <w:rPr>
                <w:rStyle w:val="SourceText"/>
              </w:rPr>
              <w:t>QO-01</w:t>
            </w:r>
            <w:r>
              <w:rPr/>
              <w:t xml:space="preserve"> QO-7</w:t>
            </w:r>
          </w:p>
        </w:tc>
        <w:tc>
          <w:tcPr>
            <w:tcW w:w="49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Quarterly is better for a system this young; annual is the ISO minimum</w:t>
            </w:r>
          </w:p>
        </w:tc>
      </w:tr>
      <w:tr>
        <w:trPr/>
        <w:tc>
          <w:tcPr>
            <w:tcW w:w="36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B5</w:t>
            </w:r>
          </w:p>
        </w:tc>
        <w:tc>
          <w:tcPr>
            <w:tcW w:w="46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Internal audit approach</w:t>
            </w:r>
            <w:r>
              <w:rPr/>
              <w:t xml:space="preserve"> — (a) contract an external auditor, (b) wait for a second competent person, or (c) interim self-assessment</w:t>
            </w:r>
          </w:p>
        </w:tc>
        <w:tc>
          <w:tcPr>
            <w:tcW w:w="13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SOP-13</w:t>
            </w:r>
            <w:r>
              <w:rPr/>
              <w:t xml:space="preserve"> §4</w:t>
            </w:r>
          </w:p>
        </w:tc>
        <w:tc>
          <w:tcPr>
            <w:tcW w:w="49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Only (a) and (b) satisfy 9.2.2 c. Option (c) is available now but is explicitly non-conformant and must stay logged as an open nonconformity.</w:t>
            </w:r>
          </w:p>
        </w:tc>
      </w:tr>
      <w:tr>
        <w:trPr/>
        <w:tc>
          <w:tcPr>
            <w:tcW w:w="36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B6</w:t>
            </w:r>
          </w:p>
        </w:tc>
        <w:tc>
          <w:tcPr>
            <w:tcW w:w="46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Change significance criteria</w:t>
            </w:r>
            <w:r>
              <w:rPr/>
              <w:t xml:space="preserve"> — what requires a formal change request rather than just a commit</w:t>
            </w:r>
          </w:p>
        </w:tc>
        <w:tc>
          <w:tcPr>
            <w:tcW w:w="13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SOP-06</w:t>
            </w:r>
            <w:r>
              <w:rPr/>
              <w:t xml:space="preserve"> §5</w:t>
            </w:r>
          </w:p>
        </w:tc>
        <w:tc>
          <w:tcPr>
            <w:tcW w:w="49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Draft criteria are proposed; confirm or narrow them</w:t>
            </w:r>
          </w:p>
        </w:tc>
      </w:tr>
      <w:tr>
        <w:trPr/>
        <w:tc>
          <w:tcPr>
            <w:tcW w:w="36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B7</w:t>
            </w:r>
          </w:p>
        </w:tc>
        <w:tc>
          <w:tcPr>
            <w:tcW w:w="46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Whether </w:t>
            </w:r>
            <w:r>
              <w:rPr>
                <w:rStyle w:val="SourceText"/>
              </w:rPr>
              <w:t>AUTH_ENABLED=1</w:t>
            </w:r>
            <w:r>
              <w:rPr/>
              <w:t xml:space="preserve"> becomes the </w:t>
            </w:r>
            <w:r>
              <w:rPr>
                <w:rStyle w:val="Strong"/>
              </w:rPr>
              <w:t>default for customer deployments</w:t>
            </w:r>
          </w:p>
        </w:tc>
        <w:tc>
          <w:tcPr>
            <w:tcW w:w="13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SOP-11</w:t>
            </w:r>
            <w:r>
              <w:rPr/>
              <w:t xml:space="preserve"> §5; risk R-04</w:t>
            </w:r>
          </w:p>
        </w:tc>
        <w:tc>
          <w:tcPr>
            <w:tcW w:w="49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product decision with a compliance consequence</w:t>
            </w:r>
          </w:p>
        </w:tc>
      </w:tr>
      <w:tr>
        <w:trPr/>
        <w:tc>
          <w:tcPr>
            <w:tcW w:w="36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B8</w:t>
            </w:r>
          </w:p>
        </w:tc>
        <w:tc>
          <w:tcPr>
            <w:tcW w:w="469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Audit programme dates — which clauses are audited in which period</w:t>
            </w:r>
          </w:p>
        </w:tc>
        <w:tc>
          <w:tcPr>
            <w:tcW w:w="135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SOP-13</w:t>
            </w:r>
            <w:r>
              <w:rPr/>
              <w:t xml:space="preserve"> §7 schedule table</w:t>
            </w:r>
          </w:p>
        </w:tc>
        <w:tc>
          <w:tcPr>
            <w:tcW w:w="492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26 blank period cells</w:t>
            </w:r>
          </w:p>
        </w:tc>
      </w:tr>
    </w:tbl>
    <w:p>
      <w:pPr>
        <w:pStyle w:val="Heading2"/>
        <w:bidi w:val="0"/>
        <w:jc w:val="left"/>
        <w:rPr/>
      </w:pPr>
      <w:r>
        <w:rPr/>
        <w:t>C. External facts to obtain</w:t>
      </w:r>
    </w:p>
    <w:p>
      <w:pPr>
        <w:pStyle w:val="BodyText"/>
        <w:bidi w:val="0"/>
        <w:jc w:val="left"/>
        <w:rPr/>
      </w:pPr>
      <w:r>
        <w:rPr/>
        <w:t>Research and verification, not authorship. One to two days.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79"/>
        <w:gridCol w:w="4741"/>
        <w:gridCol w:w="1267"/>
        <w:gridCol w:w="4952"/>
      </w:tblGrid>
      <w:tr>
        <w:trPr>
          <w:tblHeader w:val="true"/>
        </w:trPr>
        <w:tc>
          <w:tcPr>
            <w:tcW w:w="37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474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What</w:t>
            </w:r>
          </w:p>
        </w:tc>
        <w:tc>
          <w:tcPr>
            <w:tcW w:w="126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Where</w:t>
            </w:r>
          </w:p>
        </w:tc>
        <w:tc>
          <w:tcPr>
            <w:tcW w:w="495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Why it matters</w:t>
            </w:r>
          </w:p>
        </w:tc>
      </w:tr>
      <w:tr>
        <w:trPr/>
        <w:tc>
          <w:tcPr>
            <w:tcW w:w="3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C1</w:t>
            </w:r>
          </w:p>
        </w:tc>
        <w:tc>
          <w:tcPr>
            <w:tcW w:w="47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Licence terms for all 11 models</w:t>
            </w:r>
            <w:r>
              <w:rPr/>
              <w:t xml:space="preserve"> — commercial use, attribution, redistribution</w:t>
            </w:r>
          </w:p>
        </w:tc>
        <w:tc>
          <w:tcPr>
            <w:tcW w:w="126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REG-02</w:t>
            </w:r>
            <w:r>
              <w:rPr/>
              <w:t xml:space="preserve"> §2 licence column</w:t>
            </w:r>
          </w:p>
        </w:tc>
        <w:tc>
          <w:tcPr>
            <w:tcW w:w="49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You sell commercially into regulated sectors. This is the most likely question from a customer's legal team, and the answer is currently unknown.</w:t>
            </w:r>
          </w:p>
        </w:tc>
      </w:tr>
      <w:tr>
        <w:trPr/>
        <w:tc>
          <w:tcPr>
            <w:tcW w:w="3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C2</w:t>
            </w:r>
          </w:p>
        </w:tc>
        <w:tc>
          <w:tcPr>
            <w:tcW w:w="47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Nemotron gated-model terms specifically</w:t>
            </w:r>
            <w:r>
              <w:rPr/>
              <w:t xml:space="preserve"> — does acceptance permit redistribution </w:t>
            </w:r>
            <w:r>
              <w:rPr>
                <w:rStyle w:val="Emphasis"/>
              </w:rPr>
              <w:t>baked into a customer-delivered image</w:t>
            </w:r>
            <w:r>
              <w:rPr/>
              <w:t>?</w:t>
            </w:r>
          </w:p>
        </w:tc>
        <w:tc>
          <w:tcPr>
            <w:tcW w:w="126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REG-02</w:t>
            </w:r>
            <w:r>
              <w:rPr/>
              <w:t xml:space="preserve"> action A-2</w:t>
            </w:r>
          </w:p>
        </w:tc>
        <w:tc>
          <w:tcPr>
            <w:tcW w:w="49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model is compiled into images you ship. If the terms do not permit it, that is a live legal exposure, not a paperwork gap.</w:t>
            </w:r>
          </w:p>
        </w:tc>
      </w:tr>
      <w:tr>
        <w:trPr/>
        <w:tc>
          <w:tcPr>
            <w:tcW w:w="3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C3</w:t>
            </w:r>
          </w:p>
        </w:tc>
        <w:tc>
          <w:tcPr>
            <w:tcW w:w="47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SDXL-Turbo commercial-use terms</w:t>
            </w:r>
          </w:p>
        </w:tc>
        <w:tc>
          <w:tcPr>
            <w:tcW w:w="126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REG-02</w:t>
            </w:r>
            <w:r>
              <w:rPr/>
              <w:t xml:space="preserve"> action A-3</w:t>
            </w:r>
          </w:p>
        </w:tc>
        <w:tc>
          <w:tcPr>
            <w:tcW w:w="49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Stability AI licensing has commercial conditions worth checking explicitly</w:t>
            </w:r>
          </w:p>
        </w:tc>
      </w:tr>
      <w:tr>
        <w:trPr/>
        <w:tc>
          <w:tcPr>
            <w:tcW w:w="37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C4</w:t>
            </w:r>
          </w:p>
        </w:tc>
        <w:tc>
          <w:tcPr>
            <w:tcW w:w="47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 licensed copy of </w:t>
            </w:r>
            <w:r>
              <w:rPr>
                <w:rStyle w:val="Strong"/>
              </w:rPr>
              <w:t>ISO 9001:2015</w:t>
            </w:r>
            <w:r>
              <w:rPr/>
              <w:t xml:space="preserve"> itself</w:t>
            </w:r>
          </w:p>
        </w:tc>
        <w:tc>
          <w:tcPr>
            <w:tcW w:w="126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REG-02</w:t>
            </w:r>
            <w:r>
              <w:rPr/>
              <w:t xml:space="preserve"> §6</w:t>
            </w:r>
          </w:p>
        </w:tc>
        <w:tc>
          <w:tcPr>
            <w:tcW w:w="49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standard is copyrighted and cannot live in the repo. You and any auditor need access to the text.</w:t>
            </w:r>
          </w:p>
        </w:tc>
      </w:tr>
      <w:tr>
        <w:trPr/>
        <w:tc>
          <w:tcPr>
            <w:tcW w:w="37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C5</w:t>
            </w:r>
          </w:p>
        </w:tc>
        <w:tc>
          <w:tcPr>
            <w:tcW w:w="474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Rationale for the </w:t>
            </w:r>
            <w:r>
              <w:rPr>
                <w:rStyle w:val="Strong"/>
              </w:rPr>
              <w:t>MIT Ubuntu mirror substitution</w:t>
            </w:r>
            <w:r>
              <w:rPr/>
              <w:t>, or remove it</w:t>
            </w:r>
          </w:p>
        </w:tc>
        <w:tc>
          <w:tcPr>
            <w:tcW w:w="126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SOP-09</w:t>
            </w:r>
            <w:r>
              <w:rPr/>
              <w:t xml:space="preserve">; </w:t>
            </w:r>
            <w:r>
              <w:rPr>
                <w:rStyle w:val="SourceText"/>
              </w:rPr>
              <w:t>REG-02</w:t>
            </w:r>
            <w:r>
              <w:rPr/>
              <w:t xml:space="preserve"> I-06</w:t>
            </w:r>
          </w:p>
        </w:tc>
        <w:tc>
          <w:tcPr>
            <w:tcW w:w="495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 undeclared third-party dependency in the build path</w:t>
            </w:r>
          </w:p>
        </w:tc>
      </w:tr>
    </w:tbl>
    <w:p>
      <w:pPr>
        <w:pStyle w:val="Heading2"/>
        <w:bidi w:val="0"/>
        <w:jc w:val="left"/>
        <w:rPr/>
      </w:pPr>
      <w:r>
        <w:rPr/>
        <w:t>D. Engineering work</w:t>
      </w:r>
    </w:p>
    <w:p>
      <w:pPr>
        <w:pStyle w:val="BodyText"/>
        <w:bidi w:val="0"/>
        <w:jc w:val="left"/>
        <w:rPr/>
      </w:pPr>
      <w:r>
        <w:rPr/>
        <w:t xml:space="preserve">These are the gaps in </w:t>
      </w:r>
      <w:r>
        <w:rPr>
          <w:rStyle w:val="SourceText"/>
        </w:rPr>
        <w:t>ISO9001_Gap_Analysis.md</w:t>
      </w:r>
      <w:r>
        <w:rPr/>
        <w:t>. Ordered by consequence, not by audit severity.</w:t>
      </w:r>
    </w:p>
    <w:p>
      <w:pPr>
        <w:pStyle w:val="Heading3"/>
        <w:bidi w:val="0"/>
        <w:jc w:val="left"/>
        <w:rPr/>
      </w:pPr>
      <w:r>
        <w:rPr/>
        <w:t>Do before the next customer deployment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50"/>
        <w:gridCol w:w="9015"/>
        <w:gridCol w:w="837"/>
        <w:gridCol w:w="737"/>
      </w:tblGrid>
      <w:tr>
        <w:trPr>
          <w:tblHeader w:val="true"/>
        </w:trPr>
        <w:tc>
          <w:tcPr>
            <w:tcW w:w="750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901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Work</w:t>
            </w:r>
          </w:p>
        </w:tc>
        <w:tc>
          <w:tcPr>
            <w:tcW w:w="83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Gap / risk</w:t>
            </w:r>
          </w:p>
        </w:tc>
        <w:tc>
          <w:tcPr>
            <w:tcW w:w="73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Effort</w:t>
            </w:r>
          </w:p>
        </w:tc>
      </w:tr>
      <w:tr>
        <w:trPr/>
        <w:tc>
          <w:tcPr>
            <w:tcW w:w="7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~~D1~~</w:t>
            </w:r>
          </w:p>
        </w:tc>
        <w:tc>
          <w:tcPr>
            <w:tcW w:w="90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~~Backup and restore for </w:t>
            </w:r>
            <w:r>
              <w:rPr>
                <w:rStyle w:val="SourceText"/>
              </w:rPr>
              <w:t>echomind_data</w:t>
            </w:r>
            <w:r>
              <w:rPr/>
              <w:t xml:space="preserve">, with a restore actually tested~~ — </w:t>
            </w:r>
            <w:r>
              <w:rPr>
                <w:rStyle w:val="Strong"/>
              </w:rPr>
              <w:t>DONE 2026-09-22.</w:t>
            </w:r>
            <w:r>
              <w:rPr/>
              <w:t xml:space="preserve"> </w:t>
            </w:r>
            <w:r>
              <w:rPr>
                <w:rStyle w:val="SourceText"/>
              </w:rPr>
              <w:t>scripts/backup_data.sh</w:t>
            </w:r>
            <w:r>
              <w:rPr/>
              <w:t xml:space="preserve"> / </w:t>
            </w:r>
            <w:r>
              <w:rPr>
                <w:rStyle w:val="SourceText"/>
              </w:rPr>
              <w:t>restore_data.sh</w:t>
            </w:r>
            <w:r>
              <w:rPr/>
              <w:t xml:space="preserve">; restore verified (integrity_check ok, 32 tables). </w:t>
            </w:r>
            <w:r>
              <w:rPr>
                <w:rStyle w:val="Strong"/>
              </w:rPr>
              <w:t>Residual: it is manual and written to the same host — see D14.</w:t>
            </w:r>
          </w:p>
        </w:tc>
        <w:tc>
          <w:tcPr>
            <w:tcW w:w="83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G-03 / R-02 / QO-4</w:t>
            </w:r>
          </w:p>
        </w:tc>
        <w:tc>
          <w:tcPr>
            <w:tcW w:w="73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done</w:t>
            </w:r>
          </w:p>
        </w:tc>
      </w:tr>
      <w:tr>
        <w:trPr/>
        <w:tc>
          <w:tcPr>
            <w:tcW w:w="7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~~D2~~</w:t>
            </w:r>
          </w:p>
        </w:tc>
        <w:tc>
          <w:tcPr>
            <w:tcW w:w="90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~~Log rotation on all six services~~ — </w:t>
            </w:r>
            <w:r>
              <w:rPr>
                <w:rStyle w:val="Strong"/>
              </w:rPr>
              <w:t>DONE 2026-09-22</w:t>
            </w:r>
            <w:r>
              <w:rPr/>
              <w:t xml:space="preserve"> (50 MB × 5). </w:t>
            </w:r>
            <w:r>
              <w:rPr>
                <w:rStyle w:val="Strong"/>
              </w:rPr>
              <w:t xml:space="preserve">Applies on the next </w:t>
            </w:r>
            <w:r>
              <w:rPr>
                <w:rStyle w:val="SourceText"/>
              </w:rPr>
              <w:t>docker compose up -d</w:t>
            </w:r>
            <w:r>
              <w:rPr>
                <w:rStyle w:val="Strong"/>
              </w:rPr>
              <w:t>; running containers keep the old config until recreated.</w:t>
            </w:r>
            <w:r>
              <w:rPr/>
              <w:t xml:space="preserve"> </w:t>
            </w:r>
            <w:r>
              <w:rPr>
                <w:rStyle w:val="Emphasis"/>
              </w:rPr>
              <w:t>Applied 2026-10-06 — all six containers recreated and verified.</w:t>
            </w:r>
          </w:p>
        </w:tc>
        <w:tc>
          <w:tcPr>
            <w:tcW w:w="83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G-11 / R-07</w:t>
            </w:r>
          </w:p>
        </w:tc>
        <w:tc>
          <w:tcPr>
            <w:tcW w:w="73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done</w:t>
            </w:r>
          </w:p>
        </w:tc>
      </w:tr>
      <w:tr>
        <w:trPr/>
        <w:tc>
          <w:tcPr>
            <w:tcW w:w="7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~~D14~~</w:t>
            </w:r>
          </w:p>
        </w:tc>
        <w:tc>
          <w:tcPr>
            <w:tcW w:w="90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~~Schedule the backup and send it off-host~~ — </w:t>
            </w:r>
            <w:r>
              <w:rPr>
                <w:rStyle w:val="Strong"/>
              </w:rPr>
              <w:t>DONE 2026-09-22.</w:t>
            </w:r>
            <w:r>
              <w:rPr/>
              <w:t xml:space="preserve"> </w:t>
            </w:r>
            <w:r>
              <w:rPr>
                <w:rStyle w:val="SourceText"/>
              </w:rPr>
              <w:t>install_backup_timer.sh</w:t>
            </w:r>
            <w:r>
              <w:rPr/>
              <w:t xml:space="preserve"> (nightly systemd timer) + </w:t>
            </w:r>
            <w:r>
              <w:rPr>
                <w:rStyle w:val="SourceText"/>
              </w:rPr>
              <w:t>BACKUP_REMOTE</w:t>
            </w:r>
            <w:r>
              <w:rPr/>
              <w:t xml:space="preserve"> off-host replication, tested. </w:t>
            </w:r>
            <w:r>
              <w:rPr>
                <w:rStyle w:val="Strong"/>
              </w:rPr>
              <w:t>You must choose the destination and run the installer on each deployment.</w:t>
            </w:r>
            <w:r>
              <w:rPr/>
              <w:t xml:space="preserve"> </w:t>
            </w:r>
            <w:r>
              <w:rPr>
                <w:rStyle w:val="Emphasis"/>
              </w:rPr>
              <w:t xml:space="preserve">Verified 2026-10-06: not installed on the reference host, </w:t>
            </w:r>
            <w:r>
              <w:rPr>
                <w:rStyle w:val="SourceText"/>
              </w:rPr>
              <w:t>BACKUP_REMOTE</w:t>
            </w:r>
            <w:r>
              <w:rPr>
                <w:rStyle w:val="Emphasis"/>
              </w:rPr>
              <w:t xml:space="preserve"> unset; the only backup is the manual one of 2026-09-22.</w:t>
            </w:r>
          </w:p>
        </w:tc>
        <w:tc>
          <w:tcPr>
            <w:tcW w:w="83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G-22 / R-02</w:t>
            </w:r>
          </w:p>
        </w:tc>
        <w:tc>
          <w:tcPr>
            <w:tcW w:w="73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built; install</w:t>
            </w:r>
          </w:p>
        </w:tc>
      </w:tr>
      <w:tr>
        <w:trPr/>
        <w:tc>
          <w:tcPr>
            <w:tcW w:w="750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D3</w:t>
            </w:r>
          </w:p>
        </w:tc>
        <w:tc>
          <w:tcPr>
            <w:tcW w:w="901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Extend the auth middleware to WebSocket endpoints</w:t>
            </w:r>
            <w:r>
              <w:rPr/>
              <w:t xml:space="preserve">; decide the CORS default. The public reference instance relies on application auth alone (restored 2026-10-06 after being found off — </w:t>
            </w:r>
            <w:r>
              <w:rPr>
                <w:rStyle w:val="SourceText"/>
              </w:rPr>
              <w:t>REG-04</w:t>
            </w:r>
            <w:r>
              <w:rPr/>
              <w:t xml:space="preserve"> NC-2026-009)</w:t>
            </w:r>
          </w:p>
        </w:tc>
        <w:tc>
          <w:tcPr>
            <w:tcW w:w="83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G-06 / R-04</w:t>
            </w:r>
          </w:p>
        </w:tc>
        <w:tc>
          <w:tcPr>
            <w:tcW w:w="73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2–3 days</w:t>
            </w:r>
          </w:p>
        </w:tc>
      </w:tr>
    </w:tbl>
    <w:p>
      <w:pPr>
        <w:pStyle w:val="Heading3"/>
        <w:bidi w:val="0"/>
        <w:jc w:val="left"/>
        <w:rPr/>
      </w:pPr>
      <w:r>
        <w:rPr/>
        <w:t>Do before a certification attempt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46"/>
        <w:gridCol w:w="9138"/>
        <w:gridCol w:w="839"/>
        <w:gridCol w:w="716"/>
      </w:tblGrid>
      <w:tr>
        <w:trPr>
          <w:tblHeader w:val="true"/>
        </w:trPr>
        <w:tc>
          <w:tcPr>
            <w:tcW w:w="64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913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Work</w:t>
            </w:r>
          </w:p>
        </w:tc>
        <w:tc>
          <w:tcPr>
            <w:tcW w:w="83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Gap / risk</w:t>
            </w:r>
          </w:p>
        </w:tc>
        <w:tc>
          <w:tcPr>
            <w:tcW w:w="71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Effort</w:t>
            </w:r>
          </w:p>
        </w:tc>
      </w:tr>
      <w:tr>
        <w:trPr/>
        <w:tc>
          <w:tcPr>
            <w:tcW w:w="6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D4</w:t>
            </w:r>
          </w:p>
        </w:tc>
        <w:tc>
          <w:tcPr>
            <w:tcW w:w="913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Release identification</w:t>
            </w:r>
            <w:r>
              <w:rPr/>
              <w:t xml:space="preserve"> — git tag, image tags, and a build identifier the running system can report. </w:t>
            </w:r>
            <w:r>
              <w:rPr>
                <w:rStyle w:val="Emphasis"/>
              </w:rPr>
              <w:t xml:space="preserve">Mostly done: </w:t>
            </w:r>
            <w:r>
              <w:rPr>
                <w:rStyle w:val="SourceText"/>
              </w:rPr>
              <w:t>v1.4.0</w:t>
            </w:r>
            <w:r>
              <w:rPr>
                <w:rStyle w:val="Emphasis"/>
              </w:rPr>
              <w:t xml:space="preserve"> tagged (2026-09-22); </w:t>
            </w:r>
            <w:r>
              <w:rPr>
                <w:rStyle w:val="SourceText"/>
              </w:rPr>
              <w:t>v1.4.1</w:t>
            </w:r>
            <w:r>
              <w:rPr>
                <w:rStyle w:val="Emphasis"/>
              </w:rPr>
              <w:t xml:space="preserve"> released and deployed 2026-10-06 with tagged images (</w:t>
            </w:r>
            <w:r>
              <w:rPr>
                <w:rStyle w:val="SourceText"/>
              </w:rPr>
              <w:t>1.4.1</w:t>
            </w:r>
            <w:r>
              <w:rPr>
                <w:rStyle w:val="Emphasis"/>
              </w:rPr>
              <w:t xml:space="preserve">) — front end built from source, backend/voice layered on existing images; every service reports </w:t>
            </w:r>
            <w:r>
              <w:rPr>
                <w:rStyle w:val="SourceText"/>
              </w:rPr>
              <w:t>1.4.1</w:t>
            </w:r>
            <w:r>
              <w:rPr>
                <w:rStyle w:val="Emphasis"/>
              </w:rPr>
              <w:t xml:space="preserve"> / </w:t>
            </w:r>
            <w:r>
              <w:rPr>
                <w:rStyle w:val="SourceText"/>
              </w:rPr>
              <w:t>f1b8445</w:t>
            </w:r>
            <w:r>
              <w:rPr>
                <w:rStyle w:val="Emphasis"/>
              </w:rPr>
              <w:t>. Remaining: a from-scratch backend/voice build.</w:t>
            </w:r>
          </w:p>
        </w:tc>
        <w:tc>
          <w:tcPr>
            <w:tcW w:w="8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G-01 / R-09 / QO-3</w:t>
            </w:r>
          </w:p>
        </w:tc>
        <w:tc>
          <w:tcPr>
            <w:tcW w:w="7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½ day left</w:t>
            </w:r>
          </w:p>
        </w:tc>
      </w:tr>
      <w:tr>
        <w:trPr/>
        <w:tc>
          <w:tcPr>
            <w:tcW w:w="6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~~D5~~</w:t>
            </w:r>
          </w:p>
        </w:tc>
        <w:tc>
          <w:tcPr>
            <w:tcW w:w="913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~~Re-run the golden evaluation against HEAD~~ — </w:t>
            </w:r>
            <w:r>
              <w:rPr>
                <w:rStyle w:val="Strong"/>
              </w:rPr>
              <w:t>DONE 2026-09-22: 9/52, corpus absent</w:t>
            </w:r>
            <w:r>
              <w:rPr/>
              <w:t xml:space="preserve"> (</w:t>
            </w:r>
            <w:r>
              <w:rPr>
                <w:rStyle w:val="SourceText"/>
              </w:rPr>
              <w:t>REG-04</w:t>
            </w:r>
            <w:r>
              <w:rPr/>
              <w:t xml:space="preserve"> NC-2026-008). Restoring the corpus is the follow-up</w:t>
            </w:r>
          </w:p>
        </w:tc>
        <w:tc>
          <w:tcPr>
            <w:tcW w:w="8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G-10 / QO-2</w:t>
            </w:r>
          </w:p>
        </w:tc>
        <w:tc>
          <w:tcPr>
            <w:tcW w:w="7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done</w:t>
            </w:r>
          </w:p>
        </w:tc>
      </w:tr>
      <w:tr>
        <w:trPr/>
        <w:tc>
          <w:tcPr>
            <w:tcW w:w="6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~~D6~~</w:t>
            </w:r>
          </w:p>
        </w:tc>
        <w:tc>
          <w:tcPr>
            <w:tcW w:w="913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~~Retain evaluation reports as records~~ — </w:t>
            </w:r>
            <w:r>
              <w:rPr>
                <w:rStyle w:val="Strong"/>
              </w:rPr>
              <w:t>DONE 2026-09-22</w:t>
            </w:r>
            <w:r>
              <w:rPr/>
              <w:t>; 24 historical reports now tracked</w:t>
            </w:r>
          </w:p>
        </w:tc>
        <w:tc>
          <w:tcPr>
            <w:tcW w:w="8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G-12</w:t>
            </w:r>
          </w:p>
        </w:tc>
        <w:tc>
          <w:tcPr>
            <w:tcW w:w="7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done</w:t>
            </w:r>
          </w:p>
        </w:tc>
      </w:tr>
      <w:tr>
        <w:trPr/>
        <w:tc>
          <w:tcPr>
            <w:tcW w:w="6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D7</w:t>
            </w:r>
          </w:p>
        </w:tc>
        <w:tc>
          <w:tcPr>
            <w:tcW w:w="913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CI</w:t>
            </w:r>
            <w:r>
              <w:rPr/>
              <w:t xml:space="preserve"> running the unit suites at minimum; wire in </w:t>
            </w:r>
            <w:r>
              <w:rPr>
                <w:rStyle w:val="SourceText"/>
              </w:rPr>
              <w:t>scripts/verify_offline_readiness.sh</w:t>
            </w:r>
            <w:r>
              <w:rPr/>
              <w:t>, which exists and is called by nothing</w:t>
            </w:r>
          </w:p>
        </w:tc>
        <w:tc>
          <w:tcPr>
            <w:tcW w:w="8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G-02 / R-08</w:t>
            </w:r>
          </w:p>
        </w:tc>
        <w:tc>
          <w:tcPr>
            <w:tcW w:w="7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 day</w:t>
            </w:r>
          </w:p>
        </w:tc>
      </w:tr>
      <w:tr>
        <w:trPr/>
        <w:tc>
          <w:tcPr>
            <w:tcW w:w="6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D8</w:t>
            </w:r>
          </w:p>
        </w:tc>
        <w:tc>
          <w:tcPr>
            <w:tcW w:w="913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LICENSE</w:t>
            </w:r>
            <w:r>
              <w:rPr>
                <w:rStyle w:val="Strong"/>
              </w:rPr>
              <w:t xml:space="preserve">, </w:t>
            </w:r>
            <w:r>
              <w:rPr>
                <w:rStyle w:val="SourceText"/>
              </w:rPr>
              <w:t>NOTICE</w:t>
            </w:r>
            <w:r>
              <w:rPr>
                <w:rStyle w:val="Strong"/>
              </w:rPr>
              <w:t>, and an SBOM</w:t>
            </w:r>
            <w:r>
              <w:rPr/>
              <w:t xml:space="preserve"> for the three images</w:t>
            </w:r>
          </w:p>
        </w:tc>
        <w:tc>
          <w:tcPr>
            <w:tcW w:w="8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G-05 / R-10</w:t>
            </w:r>
          </w:p>
        </w:tc>
        <w:tc>
          <w:tcPr>
            <w:tcW w:w="7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2–3 days</w:t>
            </w:r>
          </w:p>
        </w:tc>
      </w:tr>
      <w:tr>
        <w:trPr/>
        <w:tc>
          <w:tcPr>
            <w:tcW w:w="64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~~D9~~</w:t>
            </w:r>
          </w:p>
        </w:tc>
        <w:tc>
          <w:tcPr>
            <w:tcW w:w="913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~~Pin </w:t>
            </w:r>
            <w:r>
              <w:rPr>
                <w:rStyle w:val="SourceText"/>
              </w:rPr>
              <w:t>nemo_toolkit</w:t>
            </w:r>
            <w:r>
              <w:rPr/>
              <w:t xml:space="preserve">~~ — </w:t>
            </w:r>
            <w:r>
              <w:rPr>
                <w:rStyle w:val="Strong"/>
              </w:rPr>
              <w:t>DONE 2026-09-22</w:t>
            </w:r>
            <w:r>
              <w:rPr/>
              <w:t xml:space="preserve">, pinned to </w:t>
            </w:r>
            <w:r>
              <w:rPr>
                <w:rStyle w:val="SourceText"/>
              </w:rPr>
              <w:t>60ce9407</w:t>
            </w:r>
            <w:r>
              <w:rPr/>
              <w:t xml:space="preserve"> (the build verified in production). Risk R-01 residual 20 → 4.</w:t>
            </w:r>
          </w:p>
        </w:tc>
        <w:tc>
          <w:tcPr>
            <w:tcW w:w="8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R-01</w:t>
            </w:r>
          </w:p>
        </w:tc>
        <w:tc>
          <w:tcPr>
            <w:tcW w:w="71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done</w:t>
            </w:r>
          </w:p>
        </w:tc>
      </w:tr>
      <w:tr>
        <w:trPr/>
        <w:tc>
          <w:tcPr>
            <w:tcW w:w="64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D10</w:t>
            </w:r>
          </w:p>
        </w:tc>
        <w:tc>
          <w:tcPr>
            <w:tcW w:w="913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Implement the retention policy decided in B3</w:t>
            </w:r>
            <w:r>
              <w:rPr/>
              <w:t xml:space="preserve">, including </w:t>
            </w:r>
            <w:r>
              <w:rPr>
                <w:rStyle w:val="SourceText"/>
              </w:rPr>
              <w:t>activity_log</w:t>
            </w:r>
            <w:r>
              <w:rPr/>
              <w:t xml:space="preserve"> pruning</w:t>
            </w:r>
          </w:p>
        </w:tc>
        <w:tc>
          <w:tcPr>
            <w:tcW w:w="83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G-04 / R-06</w:t>
            </w:r>
          </w:p>
        </w:tc>
        <w:tc>
          <w:tcPr>
            <w:tcW w:w="71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1–2 days</w:t>
            </w:r>
          </w:p>
        </w:tc>
      </w:tr>
    </w:tbl>
    <w:p>
      <w:pPr>
        <w:pStyle w:val="Heading3"/>
        <w:bidi w:val="0"/>
        <w:jc w:val="left"/>
        <w:rPr/>
      </w:pPr>
      <w:r>
        <w:rPr/>
        <w:t>Worth doing, lower urgency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4"/>
        <w:gridCol w:w="7035"/>
        <w:gridCol w:w="3820"/>
      </w:tblGrid>
      <w:tr>
        <w:trPr>
          <w:tblHeader w:val="true"/>
        </w:trPr>
        <w:tc>
          <w:tcPr>
            <w:tcW w:w="48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703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Work</w:t>
            </w:r>
          </w:p>
        </w:tc>
        <w:tc>
          <w:tcPr>
            <w:tcW w:w="382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Gap</w:t>
            </w:r>
          </w:p>
        </w:tc>
      </w:tr>
      <w:tr>
        <w:trPr/>
        <w:tc>
          <w:tcPr>
            <w:tcW w:w="48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D11</w:t>
            </w:r>
          </w:p>
        </w:tc>
        <w:tc>
          <w:tcPr>
            <w:tcW w:w="70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Make namespace filtering structural so a new retrieval path cannot bypass it</w:t>
            </w:r>
          </w:p>
        </w:tc>
        <w:tc>
          <w:tcPr>
            <w:tcW w:w="382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R-05 — this class of defect has already occurred twice</w:t>
            </w:r>
          </w:p>
        </w:tc>
      </w:tr>
      <w:tr>
        <w:trPr/>
        <w:tc>
          <w:tcPr>
            <w:tcW w:w="48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D12</w:t>
            </w:r>
          </w:p>
        </w:tc>
        <w:tc>
          <w:tcPr>
            <w:tcW w:w="70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Pre-download the cross-encoder reranker in the Dockerfile; log a WARNING when the fallback engages</w:t>
            </w:r>
          </w:p>
        </w:tc>
        <w:tc>
          <w:tcPr>
            <w:tcW w:w="382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R-11 — a silent quality degradation today</w:t>
            </w:r>
          </w:p>
        </w:tc>
      </w:tr>
      <w:tr>
        <w:trPr/>
        <w:tc>
          <w:tcPr>
            <w:tcW w:w="48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D13</w:t>
            </w:r>
          </w:p>
        </w:tc>
        <w:tc>
          <w:tcPr>
            <w:tcW w:w="703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Pin </w:t>
            </w:r>
            <w:r>
              <w:rPr>
                <w:rStyle w:val="SourceText"/>
              </w:rPr>
              <w:t>ollama/ollama</w:t>
            </w:r>
            <w:r>
              <w:rPr/>
              <w:t xml:space="preserve"> and </w:t>
            </w:r>
            <w:r>
              <w:rPr>
                <w:rStyle w:val="SourceText"/>
              </w:rPr>
              <w:t>cloudflare/cloudflared</w:t>
            </w:r>
            <w:r>
              <w:rPr/>
              <w:t xml:space="preserve"> to digests</w:t>
            </w:r>
          </w:p>
        </w:tc>
        <w:tc>
          <w:tcPr>
            <w:tcW w:w="382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R-01 family</w:t>
            </w:r>
          </w:p>
        </w:tc>
      </w:tr>
    </w:tbl>
    <w:p>
      <w:pPr>
        <w:pStyle w:val="Heading2"/>
        <w:bidi w:val="0"/>
        <w:jc w:val="left"/>
        <w:rPr/>
      </w:pPr>
      <w:r>
        <w:rPr/>
        <w:t>E. Records that must accumulate — the real constraint</w:t>
      </w:r>
    </w:p>
    <w:p>
      <w:pPr>
        <w:pStyle w:val="BodyText"/>
        <w:bidi w:val="0"/>
        <w:jc w:val="left"/>
        <w:rPr/>
      </w:pPr>
      <w:r>
        <w:rPr>
          <w:rStyle w:val="Strong"/>
        </w:rPr>
        <w:t>This is what cannot be compressed, and it is why certification takes months rather than weeks.</w:t>
      </w:r>
      <w:r>
        <w:rPr/>
        <w:t xml:space="preserve"> A certification body needs to see the system </w:t>
      </w:r>
      <w:r>
        <w:rPr>
          <w:rStyle w:val="Emphasis"/>
        </w:rPr>
        <w:t>operating</w:t>
      </w:r>
      <w:r>
        <w:rPr/>
        <w:t>, and operating evidence is created by time passing, not by writing documents. Creating these retrospectively would be falsification.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64"/>
        <w:gridCol w:w="3808"/>
        <w:gridCol w:w="3859"/>
        <w:gridCol w:w="3308"/>
      </w:tblGrid>
      <w:tr>
        <w:trPr>
          <w:tblHeader w:val="true"/>
        </w:trPr>
        <w:tc>
          <w:tcPr>
            <w:tcW w:w="36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80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Record</w:t>
            </w:r>
          </w:p>
        </w:tc>
        <w:tc>
          <w:tcPr>
            <w:tcW w:w="385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Minimum for certification</w:t>
            </w:r>
          </w:p>
        </w:tc>
        <w:tc>
          <w:tcPr>
            <w:tcW w:w="330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Where it goes</w:t>
            </w:r>
          </w:p>
        </w:tc>
      </w:tr>
      <w:tr>
        <w:trPr/>
        <w:tc>
          <w:tcPr>
            <w:tcW w:w="36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E1</w:t>
            </w:r>
          </w:p>
        </w:tc>
        <w:tc>
          <w:tcPr>
            <w:tcW w:w="380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Management review minutes</w:t>
            </w:r>
          </w:p>
        </w:tc>
        <w:tc>
          <w:tcPr>
            <w:tcW w:w="385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 least one; two or three is materially stronger</w:t>
            </w:r>
          </w:p>
        </w:tc>
        <w:tc>
          <w:tcPr>
            <w:tcW w:w="330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records/management-review/</w:t>
            </w:r>
            <w:r>
              <w:rPr/>
              <w:t xml:space="preserve">, using </w:t>
            </w:r>
            <w:r>
              <w:rPr>
                <w:rStyle w:val="SourceText"/>
              </w:rPr>
              <w:t>FRM-07</w:t>
            </w:r>
          </w:p>
        </w:tc>
      </w:tr>
      <w:tr>
        <w:trPr/>
        <w:tc>
          <w:tcPr>
            <w:tcW w:w="36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E2</w:t>
            </w:r>
          </w:p>
        </w:tc>
        <w:tc>
          <w:tcPr>
            <w:tcW w:w="380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Internal audit report</w:t>
            </w:r>
            <w:r>
              <w:rPr/>
              <w:t xml:space="preserve"> covering every clause</w:t>
            </w:r>
          </w:p>
        </w:tc>
        <w:tc>
          <w:tcPr>
            <w:tcW w:w="385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One full cycle, by an impartial auditor</w:t>
            </w:r>
          </w:p>
        </w:tc>
        <w:tc>
          <w:tcPr>
            <w:tcW w:w="330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records/audits/</w:t>
            </w:r>
            <w:r>
              <w:rPr/>
              <w:t xml:space="preserve">, using </w:t>
            </w:r>
            <w:r>
              <w:rPr>
                <w:rStyle w:val="SourceText"/>
              </w:rPr>
              <w:t>FRM-06</w:t>
            </w:r>
          </w:p>
        </w:tc>
      </w:tr>
      <w:tr>
        <w:trPr/>
        <w:tc>
          <w:tcPr>
            <w:tcW w:w="36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E3</w:t>
            </w:r>
          </w:p>
        </w:tc>
        <w:tc>
          <w:tcPr>
            <w:tcW w:w="380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Nonconformities raised and closed with effectiveness verified</w:t>
            </w:r>
          </w:p>
        </w:tc>
        <w:tc>
          <w:tcPr>
            <w:tcW w:w="385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Several, showing the full cycle — this is where most young systems fail</w:t>
            </w:r>
          </w:p>
        </w:tc>
        <w:tc>
          <w:tcPr>
            <w:tcW w:w="330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REG-04</w:t>
            </w:r>
            <w:r>
              <w:rPr/>
              <w:t xml:space="preserve"> §B + </w:t>
            </w:r>
            <w:r>
              <w:rPr>
                <w:rStyle w:val="SourceText"/>
              </w:rPr>
              <w:t>records/capa/</w:t>
            </w:r>
            <w:r>
              <w:rPr/>
              <w:t xml:space="preserve">, using </w:t>
            </w:r>
            <w:r>
              <w:rPr>
                <w:rStyle w:val="SourceText"/>
              </w:rPr>
              <w:t>FRM-05</w:t>
            </w:r>
          </w:p>
        </w:tc>
      </w:tr>
      <w:tr>
        <w:trPr/>
        <w:tc>
          <w:tcPr>
            <w:tcW w:w="36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E4</w:t>
            </w:r>
          </w:p>
        </w:tc>
        <w:tc>
          <w:tcPr>
            <w:tcW w:w="380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Objectives measured at two or more points</w:t>
            </w:r>
            <w:r>
              <w:rPr/>
              <w:t xml:space="preserve"> so a trend exists</w:t>
            </w:r>
          </w:p>
        </w:tc>
        <w:tc>
          <w:tcPr>
            <w:tcW w:w="385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 least two measurement rounds</w:t>
            </w:r>
          </w:p>
        </w:tc>
        <w:tc>
          <w:tcPr>
            <w:tcW w:w="330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QO-01</w:t>
            </w:r>
            <w:r>
              <w:rPr/>
              <w:t xml:space="preserve"> + </w:t>
            </w:r>
            <w:r>
              <w:rPr>
                <w:rStyle w:val="SourceText"/>
              </w:rPr>
              <w:t>SOP-12</w:t>
            </w:r>
          </w:p>
        </w:tc>
      </w:tr>
      <w:tr>
        <w:trPr/>
        <w:tc>
          <w:tcPr>
            <w:tcW w:w="36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E5</w:t>
            </w:r>
          </w:p>
        </w:tc>
        <w:tc>
          <w:tcPr>
            <w:tcW w:w="380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Release records</w:t>
            </w:r>
          </w:p>
        </w:tc>
        <w:tc>
          <w:tcPr>
            <w:tcW w:w="385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One per release made after adoption</w:t>
            </w:r>
          </w:p>
        </w:tc>
        <w:tc>
          <w:tcPr>
            <w:tcW w:w="330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REG-08</w:t>
            </w:r>
            <w:r>
              <w:rPr/>
              <w:t xml:space="preserve"> + </w:t>
            </w:r>
            <w:r>
              <w:rPr>
                <w:rStyle w:val="SourceText"/>
              </w:rPr>
              <w:t>records/releases/</w:t>
            </w:r>
            <w:r>
              <w:rPr/>
              <w:t xml:space="preserve">, using </w:t>
            </w:r>
            <w:r>
              <w:rPr>
                <w:rStyle w:val="SourceText"/>
              </w:rPr>
              <w:t>FRM-03</w:t>
            </w:r>
          </w:p>
        </w:tc>
      </w:tr>
      <w:tr>
        <w:trPr/>
        <w:tc>
          <w:tcPr>
            <w:tcW w:w="36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E6</w:t>
            </w:r>
          </w:p>
        </w:tc>
        <w:tc>
          <w:tcPr>
            <w:tcW w:w="380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Supplier evaluations</w:t>
            </w:r>
          </w:p>
        </w:tc>
        <w:tc>
          <w:tcPr>
            <w:tcW w:w="385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The critical providers, using </w:t>
            </w:r>
            <w:r>
              <w:rPr>
                <w:rStyle w:val="SourceText"/>
              </w:rPr>
              <w:t>FRM-04</w:t>
            </w:r>
          </w:p>
        </w:tc>
        <w:tc>
          <w:tcPr>
            <w:tcW w:w="330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REG-02</w:t>
            </w:r>
          </w:p>
        </w:tc>
      </w:tr>
      <w:tr>
        <w:trPr/>
        <w:tc>
          <w:tcPr>
            <w:tcW w:w="36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E7</w:t>
            </w:r>
          </w:p>
        </w:tc>
        <w:tc>
          <w:tcPr>
            <w:tcW w:w="380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Requirements review + satisfaction review</w:t>
            </w:r>
            <w:r>
              <w:rPr/>
              <w:t xml:space="preserve"> for any engagement</w:t>
            </w:r>
          </w:p>
        </w:tc>
        <w:tc>
          <w:tcPr>
            <w:tcW w:w="385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Per customer, using </w:t>
            </w:r>
            <w:r>
              <w:rPr>
                <w:rStyle w:val="SourceText"/>
              </w:rPr>
              <w:t>FRM-11</w:t>
            </w:r>
            <w:r>
              <w:rPr/>
              <w:t xml:space="preserve"> and </w:t>
            </w:r>
            <w:r>
              <w:rPr>
                <w:rStyle w:val="SourceText"/>
              </w:rPr>
              <w:t>FRM-12</w:t>
            </w:r>
          </w:p>
        </w:tc>
        <w:tc>
          <w:tcPr>
            <w:tcW w:w="330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REG-06</w:t>
            </w:r>
          </w:p>
        </w:tc>
      </w:tr>
      <w:tr>
        <w:trPr/>
        <w:tc>
          <w:tcPr>
            <w:tcW w:w="36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E8</w:t>
            </w:r>
          </w:p>
        </w:tc>
        <w:tc>
          <w:tcPr>
            <w:tcW w:w="380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Corrective action on the audit findings from E2</w:t>
            </w:r>
          </w:p>
        </w:tc>
        <w:tc>
          <w:tcPr>
            <w:tcW w:w="385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Closed, with effectiveness verified</w:t>
            </w:r>
          </w:p>
        </w:tc>
        <w:tc>
          <w:tcPr>
            <w:tcW w:w="330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REG-04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Realistic elapsed time: three to six months</w:t>
      </w:r>
      <w:r>
        <w:rPr/>
        <w:t xml:space="preserve"> from adoption to a credible certification audit, assuming A–D are done in the first few weeks.</w:t>
      </w:r>
    </w:p>
    <w:p>
      <w:pPr>
        <w:pStyle w:val="Heading2"/>
        <w:bidi w:val="0"/>
        <w:jc w:val="left"/>
        <w:rPr/>
      </w:pPr>
      <w:r>
        <w:rPr/>
        <w:t>F. If you pursue certification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64"/>
        <w:gridCol w:w="2803"/>
        <w:gridCol w:w="8172"/>
      </w:tblGrid>
      <w:tr>
        <w:trPr>
          <w:tblHeader w:val="true"/>
        </w:trPr>
        <w:tc>
          <w:tcPr>
            <w:tcW w:w="36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280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Step</w:t>
            </w:r>
          </w:p>
        </w:tc>
        <w:tc>
          <w:tcPr>
            <w:tcW w:w="817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Note</w:t>
            </w:r>
          </w:p>
        </w:tc>
      </w:tr>
      <w:tr>
        <w:trPr/>
        <w:tc>
          <w:tcPr>
            <w:tcW w:w="36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F1</w:t>
            </w:r>
          </w:p>
        </w:tc>
        <w:tc>
          <w:tcPr>
            <w:tcW w:w="280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Choose an </w:t>
            </w:r>
            <w:r>
              <w:rPr>
                <w:rStyle w:val="Strong"/>
              </w:rPr>
              <w:t>accredited</w:t>
            </w:r>
            <w:r>
              <w:rPr/>
              <w:t xml:space="preserve"> certification body</w:t>
            </w:r>
          </w:p>
        </w:tc>
        <w:tc>
          <w:tcPr>
            <w:tcW w:w="81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Accreditation matters — UKAS, ANAB or your national equivalent. An unaccredited certificate is worth little to a regulated buyer.</w:t>
            </w:r>
          </w:p>
        </w:tc>
      </w:tr>
      <w:tr>
        <w:trPr/>
        <w:tc>
          <w:tcPr>
            <w:tcW w:w="36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F2</w:t>
            </w:r>
          </w:p>
        </w:tc>
        <w:tc>
          <w:tcPr>
            <w:tcW w:w="280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 1 readiness review</w:t>
            </w:r>
          </w:p>
        </w:tc>
        <w:tc>
          <w:tcPr>
            <w:tcW w:w="81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documentation review. Book it once A–D are done and E is underway.</w:t>
            </w:r>
          </w:p>
        </w:tc>
      </w:tr>
      <w:tr>
        <w:trPr/>
        <w:tc>
          <w:tcPr>
            <w:tcW w:w="36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F3</w:t>
            </w:r>
          </w:p>
        </w:tc>
        <w:tc>
          <w:tcPr>
            <w:tcW w:w="280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Close stage 1 findings</w:t>
            </w:r>
          </w:p>
        </w:tc>
        <w:tc>
          <w:tcPr>
            <w:tcW w:w="81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Expect some</w:t>
            </w:r>
          </w:p>
        </w:tc>
      </w:tr>
      <w:tr>
        <w:trPr/>
        <w:tc>
          <w:tcPr>
            <w:tcW w:w="36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F4</w:t>
            </w:r>
          </w:p>
        </w:tc>
        <w:tc>
          <w:tcPr>
            <w:tcW w:w="280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 2 certification audit</w:t>
            </w:r>
          </w:p>
        </w:tc>
        <w:tc>
          <w:tcPr>
            <w:tcW w:w="81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operating-evidence audit — this is where E is tested</w:t>
            </w:r>
          </w:p>
        </w:tc>
      </w:tr>
      <w:tr>
        <w:trPr/>
        <w:tc>
          <w:tcPr>
            <w:tcW w:w="36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F5</w:t>
            </w:r>
          </w:p>
        </w:tc>
        <w:tc>
          <w:tcPr>
            <w:tcW w:w="280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Surveillance audits</w:t>
            </w:r>
          </w:p>
        </w:tc>
        <w:tc>
          <w:tcPr>
            <w:tcW w:w="817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Typically annual, over a three-year cycle</w:t>
            </w:r>
          </w:p>
        </w:tc>
      </w:tr>
    </w:tbl>
    <w:p>
      <w:pPr>
        <w:pStyle w:val="BodyText"/>
        <w:bidi w:val="0"/>
        <w:jc w:val="left"/>
        <w:rPr/>
      </w:pPr>
      <w:r>
        <w:rPr/>
        <w:t>Budget and timescales vary by body and scope; obtain quotes at F1 rather than assuming.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Summary — the shortest honest answer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010"/>
        <w:gridCol w:w="3925"/>
        <w:gridCol w:w="2403"/>
      </w:tblGrid>
      <w:tr>
        <w:trPr>
          <w:tblHeader w:val="true"/>
        </w:trPr>
        <w:tc>
          <w:tcPr>
            <w:tcW w:w="5010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Category</w:t>
            </w:r>
          </w:p>
        </w:tc>
        <w:tc>
          <w:tcPr>
            <w:tcW w:w="392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Work</w:t>
            </w:r>
          </w:p>
        </w:tc>
        <w:tc>
          <w:tcPr>
            <w:tcW w:w="240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Elapsed</w:t>
            </w:r>
          </w:p>
        </w:tc>
      </w:tr>
      <w:tr>
        <w:trPr/>
        <w:tc>
          <w:tcPr>
            <w:tcW w:w="501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— your information</w:t>
            </w:r>
          </w:p>
        </w:tc>
        <w:tc>
          <w:tcPr>
            <w:tcW w:w="39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~1 hour</w:t>
            </w:r>
          </w:p>
        </w:tc>
        <w:tc>
          <w:tcPr>
            <w:tcW w:w="240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Day 1</w:t>
            </w:r>
          </w:p>
        </w:tc>
      </w:tr>
      <w:tr>
        <w:trPr/>
        <w:tc>
          <w:tcPr>
            <w:tcW w:w="501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 — your decisions</w:t>
            </w:r>
          </w:p>
        </w:tc>
        <w:tc>
          <w:tcPr>
            <w:tcW w:w="39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~half a day</w:t>
            </w:r>
          </w:p>
        </w:tc>
        <w:tc>
          <w:tcPr>
            <w:tcW w:w="240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Day 1–2</w:t>
            </w:r>
          </w:p>
        </w:tc>
      </w:tr>
      <w:tr>
        <w:trPr/>
        <w:tc>
          <w:tcPr>
            <w:tcW w:w="501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 — licence verification</w:t>
            </w:r>
          </w:p>
        </w:tc>
        <w:tc>
          <w:tcPr>
            <w:tcW w:w="39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1–2 days</w:t>
            </w:r>
          </w:p>
        </w:tc>
        <w:tc>
          <w:tcPr>
            <w:tcW w:w="240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Week 1</w:t>
            </w:r>
          </w:p>
        </w:tc>
      </w:tr>
      <w:tr>
        <w:trPr/>
        <w:tc>
          <w:tcPr>
            <w:tcW w:w="501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D1–D3 — operational gaps</w:t>
            </w:r>
          </w:p>
        </w:tc>
        <w:tc>
          <w:tcPr>
            <w:tcW w:w="39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3–5 days</w:t>
            </w:r>
          </w:p>
        </w:tc>
        <w:tc>
          <w:tcPr>
            <w:tcW w:w="240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Week 1–2</w:t>
            </w:r>
          </w:p>
        </w:tc>
      </w:tr>
      <w:tr>
        <w:trPr/>
        <w:tc>
          <w:tcPr>
            <w:tcW w:w="501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D4–D10 — certification gaps</w:t>
            </w:r>
          </w:p>
        </w:tc>
        <w:tc>
          <w:tcPr>
            <w:tcW w:w="39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~1 week</w:t>
            </w:r>
          </w:p>
        </w:tc>
        <w:tc>
          <w:tcPr>
            <w:tcW w:w="240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Week 2–4</w:t>
            </w:r>
          </w:p>
        </w:tc>
      </w:tr>
      <w:tr>
        <w:trPr/>
        <w:tc>
          <w:tcPr>
            <w:tcW w:w="501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 — accumulating records</w:t>
            </w:r>
          </w:p>
        </w:tc>
        <w:tc>
          <w:tcPr>
            <w:tcW w:w="39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cannot be shortened</w:t>
            </w:r>
          </w:p>
        </w:tc>
        <w:tc>
          <w:tcPr>
            <w:tcW w:w="240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3–6 months</w:t>
            </w:r>
          </w:p>
        </w:tc>
      </w:tr>
      <w:tr>
        <w:trPr/>
        <w:tc>
          <w:tcPr>
            <w:tcW w:w="5010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 — certification</w:t>
            </w:r>
          </w:p>
        </w:tc>
        <w:tc>
          <w:tcPr>
            <w:tcW w:w="392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depends on the body</w:t>
            </w:r>
          </w:p>
        </w:tc>
        <w:tc>
          <w:tcPr>
            <w:tcW w:w="240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+1–2 months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Nothing in A–D is blocked on anything external.</w:t>
      </w:r>
      <w:r>
        <w:rPr/>
        <w:t xml:space="preserve"> The only genuine external dependency is B5/E2 — an impartial auditor — and the only genuine time constraint is 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../../../../../../../../tmp/claude-1000/-home-echomind-Documents-echomind-echomind-enterprise/f31040c4-eb20-4292-b264-f858f5aca706/scratchpad/pack/qms_html/INTAKE_FORM.md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