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Intake Form — the details only you can supply</w:t>
      </w:r>
    </w:p>
    <w:tbl>
      <w:tblPr>
        <w:tblW w:w="5000" w:type="pct"/>
        <w:jc w:val="left"/>
        <w:tblInd w:w="-7" w:type="dxa"/>
        <w:tblLayout w:type="fixed"/>
        <w:tblCellMar>
          <w:top w:w="60" w:type="dxa"/>
          <w:left w:w="60" w:type="dxa"/>
          <w:bottom w:w="60" w:type="dxa"/>
          <w:right w:w="60" w:type="dxa"/>
        </w:tblCellMar>
      </w:tblPr>
      <w:tblGrid>
        <w:gridCol w:w="900"/>
        <w:gridCol w:w="10439"/>
      </w:tblGrid>
      <w:tr>
        <w:trPr>
          <w:tblHeader w:val="true"/>
        </w:trPr>
        <w:tc>
          <w:tcPr>
            <w:tcW w:w="90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104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9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Purpose</w:t>
            </w:r>
          </w:p>
        </w:tc>
        <w:tc>
          <w:tcPr>
            <w:tcW w:w="104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Everything the QMS needs from you that cannot be read out of the repository</w:t>
            </w:r>
          </w:p>
        </w:tc>
      </w:tr>
      <w:tr>
        <w:trPr/>
        <w:tc>
          <w:tcPr>
            <w:tcW w:w="9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How to use</w:t>
            </w:r>
          </w:p>
        </w:tc>
        <w:tc>
          <w:tcPr>
            <w:tcW w:w="104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Fill in the answers. Hand it back and the whole document set can be populated from it in one pass.</w:t>
            </w:r>
          </w:p>
        </w:tc>
      </w:tr>
      <w:tr>
        <w:trPr/>
        <w:tc>
          <w:tcPr>
            <w:tcW w:w="90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Time</w:t>
            </w:r>
          </w:p>
        </w:tc>
        <w:tc>
          <w:tcPr>
            <w:tcW w:w="104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About 90 minutes. Part 1 is 15 minutes, Part 2 is the thinking.</w:t>
            </w:r>
          </w:p>
        </w:tc>
      </w:tr>
      <w:tr>
        <w:trPr/>
        <w:tc>
          <w:tcPr>
            <w:tcW w:w="90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104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Completed 2026-10-07.</w:t>
            </w:r>
            <w:r>
              <w:rPr/>
              <w:t xml:space="preserve"> Part 1 answered by the Managing Director; Parts 2–4 answered from the documents approved under </w:t>
            </w:r>
            <w:r>
              <w:rPr>
                <w:rStyle w:val="SourceText"/>
              </w:rPr>
              <w:t>records/approvals/2026-10-07_AR-2026-001_document_approval.md</w:t>
            </w:r>
            <w:r>
              <w:rPr/>
              <w:t>. Where a decision is still open, the answer names the owner, the due date and the register entry that tracks it.</w:t>
            </w:r>
          </w:p>
        </w:tc>
      </w:tr>
    </w:tbl>
    <w:p>
      <w:pPr>
        <w:pStyle w:val="BlockQuotation"/>
        <w:bidi w:val="0"/>
        <w:jc w:val="left"/>
        <w:rPr/>
      </w:pPr>
      <w:r>
        <w:rPr/>
        <w:t>Nothing here is busywork. Every question below is blocking at least one ISO 9001 clause, and the clause is named so you can see why it is asked.</w:t>
      </w:r>
    </w:p>
    <w:p>
      <w:pPr>
        <w:pStyle w:val="HorizontalLine"/>
        <w:bidi w:val="0"/>
        <w:jc w:val="left"/>
        <w:rPr/>
      </w:pPr>
      <w:r>
        <w:rPr/>
      </w:r>
    </w:p>
    <w:p>
      <w:pPr>
        <w:pStyle w:val="Heading2"/>
        <w:bidi w:val="0"/>
        <w:jc w:val="left"/>
        <w:rPr/>
      </w:pPr>
      <w:r>
        <w:rPr/>
        <w:t>Part 1 — Facts (15 minutes)</w:t>
      </w:r>
    </w:p>
    <w:p>
      <w:pPr>
        <w:pStyle w:val="Heading3"/>
        <w:bidi w:val="0"/>
        <w:jc w:val="left"/>
        <w:rPr/>
      </w:pPr>
      <w:r>
        <w:rPr/>
        <w:t xml:space="preserve">1.1 The legal entity · </w:t>
      </w:r>
      <w:r>
        <w:rPr>
          <w:rStyle w:val="Emphasis"/>
        </w:rPr>
        <w:t>clause 4.3 — the scope must say who and where</w:t>
      </w:r>
    </w:p>
    <w:tbl>
      <w:tblPr>
        <w:tblW w:w="5000" w:type="pct"/>
        <w:jc w:val="left"/>
        <w:tblInd w:w="-7" w:type="dxa"/>
        <w:tblLayout w:type="fixed"/>
        <w:tblCellMar>
          <w:top w:w="60" w:type="dxa"/>
          <w:left w:w="60" w:type="dxa"/>
          <w:bottom w:w="60" w:type="dxa"/>
          <w:right w:w="60" w:type="dxa"/>
        </w:tblCellMar>
      </w:tblPr>
      <w:tblGrid>
        <w:gridCol w:w="245"/>
        <w:gridCol w:w="6345"/>
        <w:gridCol w:w="4748"/>
      </w:tblGrid>
      <w:tr>
        <w:trPr>
          <w:tblHeader w:val="true"/>
        </w:trPr>
        <w:tc>
          <w:tcPr>
            <w:tcW w:w="24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63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474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2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63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Registered company name</w:t>
            </w:r>
          </w:p>
        </w:tc>
        <w:tc>
          <w:tcPr>
            <w:tcW w:w="4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AJACE Inc.</w:t>
            </w:r>
          </w:p>
        </w:tc>
      </w:tr>
      <w:tr>
        <w:trPr/>
        <w:tc>
          <w:tcPr>
            <w:tcW w:w="2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63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Registered address</w:t>
            </w:r>
          </w:p>
        </w:tc>
        <w:tc>
          <w:tcPr>
            <w:tcW w:w="4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14159 Robert Paris Ct., Suite A, Chantilly, VA 20151, USA</w:t>
            </w:r>
          </w:p>
        </w:tc>
      </w:tr>
      <w:tr>
        <w:trPr/>
        <w:tc>
          <w:tcPr>
            <w:tcW w:w="2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63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Principal place of business (if different)</w:t>
            </w:r>
          </w:p>
        </w:tc>
        <w:tc>
          <w:tcPr>
            <w:tcW w:w="4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Same as registered address</w:t>
            </w:r>
          </w:p>
        </w:tc>
      </w:tr>
      <w:tr>
        <w:trPr/>
        <w:tc>
          <w:tcPr>
            <w:tcW w:w="24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63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Company registration number</w:t>
            </w:r>
          </w:p>
        </w:tc>
        <w:tc>
          <w:tcPr>
            <w:tcW w:w="474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 be added from the incorporation record</w:t>
            </w:r>
          </w:p>
        </w:tc>
      </w:tr>
      <w:tr>
        <w:trPr/>
        <w:tc>
          <w:tcPr>
            <w:tcW w:w="24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63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location the service is delivered </w:t>
            </w:r>
            <w:r>
              <w:rPr>
                <w:rStyle w:val="Strong"/>
              </w:rPr>
              <w:t>from</w:t>
            </w:r>
            <w:r>
              <w:rPr/>
              <w:t xml:space="preserve"> — this goes into the scope statement</w:t>
            </w:r>
          </w:p>
        </w:tc>
        <w:tc>
          <w:tcPr>
            <w:tcW w:w="474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14159 Robert Paris Ct., Suite A, Chantilly, VA 20151, USA</w:t>
            </w:r>
          </w:p>
        </w:tc>
      </w:tr>
    </w:tbl>
    <w:p>
      <w:pPr>
        <w:pStyle w:val="Heading3"/>
        <w:bidi w:val="0"/>
        <w:jc w:val="left"/>
        <w:rPr/>
      </w:pPr>
      <w:r>
        <w:rPr/>
        <w:t xml:space="preserve">1.2 People and roles · </w:t>
      </w:r>
      <w:r>
        <w:rPr>
          <w:rStyle w:val="Emphasis"/>
        </w:rPr>
        <w:t>clause 5.3 — roles and authorities must be assigned</w:t>
      </w:r>
    </w:p>
    <w:p>
      <w:pPr>
        <w:pStyle w:val="BodyText"/>
        <w:bidi w:val="0"/>
        <w:jc w:val="left"/>
        <w:rPr/>
      </w:pPr>
      <w:r>
        <w:rPr/>
        <w:t>If one person holds all four, write the same name four times. The roles stay distinct in the records even when the person does not.</w:t>
      </w:r>
    </w:p>
    <w:tbl>
      <w:tblPr>
        <w:tblW w:w="5000" w:type="pct"/>
        <w:jc w:val="left"/>
        <w:tblInd w:w="-7" w:type="dxa"/>
        <w:tblLayout w:type="fixed"/>
        <w:tblCellMar>
          <w:top w:w="60" w:type="dxa"/>
          <w:left w:w="60" w:type="dxa"/>
          <w:bottom w:w="60" w:type="dxa"/>
          <w:right w:w="60" w:type="dxa"/>
        </w:tblCellMar>
      </w:tblPr>
      <w:tblGrid>
        <w:gridCol w:w="349"/>
        <w:gridCol w:w="5755"/>
        <w:gridCol w:w="2578"/>
        <w:gridCol w:w="2657"/>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57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25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Name</w:t>
            </w:r>
          </w:p>
        </w:tc>
        <w:tc>
          <w:tcPr>
            <w:tcW w:w="265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Job title</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w:t>
            </w:r>
          </w:p>
        </w:tc>
        <w:tc>
          <w:tcPr>
            <w:tcW w:w="57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 owns the QMS, approves documents, authorises releases</w:t>
            </w:r>
          </w:p>
        </w:tc>
        <w:tc>
          <w:tcPr>
            <w:tcW w:w="25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w:t>
            </w:r>
          </w:p>
        </w:tc>
        <w:tc>
          <w:tcPr>
            <w:tcW w:w="26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w:t>
            </w:r>
          </w:p>
        </w:tc>
        <w:tc>
          <w:tcPr>
            <w:tcW w:w="57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 design, verification, configuration, release execution</w:t>
            </w:r>
          </w:p>
        </w:tc>
        <w:tc>
          <w:tcPr>
            <w:tcW w:w="25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26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w:t>
            </w:r>
          </w:p>
        </w:tc>
        <w:tc>
          <w:tcPr>
            <w:tcW w:w="57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representative — registers, audit programme, corrective actions</w:t>
            </w:r>
          </w:p>
        </w:tc>
        <w:tc>
          <w:tcPr>
            <w:tcW w:w="25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w:t>
            </w:r>
          </w:p>
        </w:tc>
        <w:tc>
          <w:tcPr>
            <w:tcW w:w="26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QA / Management Representative</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w:t>
            </w:r>
          </w:p>
        </w:tc>
        <w:tc>
          <w:tcPr>
            <w:tcW w:w="57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Data custodian — customer property and data handling</w:t>
            </w:r>
          </w:p>
        </w:tc>
        <w:tc>
          <w:tcPr>
            <w:tcW w:w="25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w:t>
            </w:r>
          </w:p>
        </w:tc>
        <w:tc>
          <w:tcPr>
            <w:tcW w:w="26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Data custodian</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10</w:t>
            </w:r>
          </w:p>
        </w:tc>
        <w:tc>
          <w:tcPr>
            <w:tcW w:w="57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Anyone else who contributes code or touches customer data</w:t>
            </w:r>
          </w:p>
        </w:tc>
        <w:tc>
          <w:tcPr>
            <w:tcW w:w="25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Alexander Peter</w:t>
            </w:r>
          </w:p>
        </w:tc>
        <w:tc>
          <w:tcPr>
            <w:tcW w:w="265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EchoMind Project Lead (reviewer)</w:t>
            </w:r>
          </w:p>
        </w:tc>
      </w:tr>
    </w:tbl>
    <w:p>
      <w:pPr>
        <w:pStyle w:val="Heading3"/>
        <w:bidi w:val="0"/>
        <w:jc w:val="left"/>
        <w:rPr/>
      </w:pPr>
      <w:r>
        <w:rPr/>
        <w:t xml:space="preserve">1.3 Approval · </w:t>
      </w:r>
      <w:r>
        <w:rPr>
          <w:rStyle w:val="Emphasis"/>
        </w:rPr>
        <w:t>clauses 5.1, 5.2, 7.3 — this is the single blocking item</w:t>
      </w:r>
    </w:p>
    <w:p>
      <w:pPr>
        <w:pStyle w:val="BodyText"/>
        <w:bidi w:val="0"/>
        <w:jc w:val="left"/>
        <w:rPr/>
      </w:pPr>
      <w:r>
        <w:rPr>
          <w:rStyle w:val="Strong"/>
        </w:rPr>
        <w:t>Done 2026-10-07</w:t>
      </w:r>
      <w:r>
        <w:rPr/>
        <w:t xml:space="preserve"> — approvals confirmed by the role holders and recorded in </w:t>
      </w:r>
      <w:r>
        <w:rPr>
          <w:rStyle w:val="SourceText"/>
        </w:rPr>
        <w:t>records/approvals/2026-10-07_AR-2026-001_document_approval.md</w:t>
      </w:r>
      <w:r>
        <w:rPr/>
        <w:t>.</w:t>
      </w:r>
    </w:p>
    <w:tbl>
      <w:tblPr>
        <w:tblW w:w="5000" w:type="pct"/>
        <w:jc w:val="left"/>
        <w:tblInd w:w="-7" w:type="dxa"/>
        <w:tblLayout w:type="fixed"/>
        <w:tblCellMar>
          <w:top w:w="60" w:type="dxa"/>
          <w:left w:w="60" w:type="dxa"/>
          <w:bottom w:w="60" w:type="dxa"/>
          <w:right w:w="60" w:type="dxa"/>
        </w:tblCellMar>
      </w:tblPr>
      <w:tblGrid>
        <w:gridCol w:w="439"/>
        <w:gridCol w:w="7515"/>
        <w:gridCol w:w="3384"/>
      </w:tblGrid>
      <w:tr>
        <w:trPr>
          <w:tblHeader w:val="true"/>
        </w:trPr>
        <w:tc>
          <w:tcPr>
            <w:tcW w:w="4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751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338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11</w:t>
            </w:r>
          </w:p>
        </w:tc>
        <w:tc>
          <w:tcPr>
            <w:tcW w:w="7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Who signs the Quality Policy?</w:t>
            </w:r>
          </w:p>
        </w:tc>
        <w:tc>
          <w:tcPr>
            <w:tcW w:w="33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12</w:t>
            </w:r>
          </w:p>
        </w:tc>
        <w:tc>
          <w:tcPr>
            <w:tcW w:w="751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 what date will you sign it?</w:t>
            </w:r>
          </w:p>
        </w:tc>
        <w:tc>
          <w:tcPr>
            <w:tcW w:w="33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4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13</w:t>
            </w:r>
          </w:p>
        </w:tc>
        <w:tc>
          <w:tcPr>
            <w:tcW w:w="751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Do you accept the policy text in </w:t>
            </w:r>
            <w:r>
              <w:rPr>
                <w:rStyle w:val="SourceText"/>
              </w:rPr>
              <w:t>QP-01</w:t>
            </w:r>
            <w:r>
              <w:rPr/>
              <w:t xml:space="preserve"> as written, or do you want changes?</w:t>
            </w:r>
          </w:p>
        </w:tc>
        <w:tc>
          <w:tcPr>
            <w:tcW w:w="338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Accepted as written</w:t>
            </w:r>
          </w:p>
        </w:tc>
      </w:tr>
    </w:tbl>
    <w:p>
      <w:pPr>
        <w:pStyle w:val="HorizontalLine"/>
        <w:bidi w:val="0"/>
        <w:jc w:val="left"/>
        <w:rPr/>
      </w:pPr>
      <w:r>
        <w:rPr/>
      </w:r>
    </w:p>
    <w:p>
      <w:pPr>
        <w:pStyle w:val="Heading2"/>
        <w:bidi w:val="0"/>
        <w:jc w:val="left"/>
        <w:rPr/>
      </w:pPr>
      <w:r>
        <w:rPr/>
        <w:t>Part 2 — Decisions (the part that takes thought)</w:t>
      </w:r>
    </w:p>
    <w:p>
      <w:pPr>
        <w:pStyle w:val="Heading3"/>
        <w:bidi w:val="0"/>
        <w:jc w:val="left"/>
        <w:rPr/>
      </w:pPr>
      <w:r>
        <w:rPr/>
        <w:t xml:space="preserve">2.1 Data retention · </w:t>
      </w:r>
      <w:r>
        <w:rPr>
          <w:rStyle w:val="Emphasis"/>
        </w:rPr>
        <w:t>clause 8.5.3 — and the question every regulated buyer asks</w:t>
      </w:r>
    </w:p>
    <w:p>
      <w:pPr>
        <w:pStyle w:val="BodyText"/>
        <w:bidi w:val="0"/>
        <w:jc w:val="left"/>
        <w:rPr/>
      </w:pPr>
      <w:r>
        <w:rPr/>
        <w:t>There is no retention policy today, and data grows without limit — at one measurement 97.6% of the corpus was auto-accumulated transcript. Give a number of days for each class, or "keep until the customer deletes it".</w:t>
      </w:r>
    </w:p>
    <w:tbl>
      <w:tblPr>
        <w:tblW w:w="5000" w:type="pct"/>
        <w:jc w:val="left"/>
        <w:tblInd w:w="-7" w:type="dxa"/>
        <w:tblLayout w:type="fixed"/>
        <w:tblCellMar>
          <w:top w:w="60" w:type="dxa"/>
          <w:left w:w="60" w:type="dxa"/>
          <w:bottom w:w="60" w:type="dxa"/>
          <w:right w:w="60" w:type="dxa"/>
        </w:tblCellMar>
      </w:tblPr>
      <w:tblGrid>
        <w:gridCol w:w="349"/>
        <w:gridCol w:w="2303"/>
        <w:gridCol w:w="2330"/>
        <w:gridCol w:w="6357"/>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30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Data class</w:t>
            </w:r>
          </w:p>
        </w:tc>
        <w:tc>
          <w:tcPr>
            <w:tcW w:w="23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635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long do you keep it?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14</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Uploaded documents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documents</w:t>
            </w:r>
            <w:r>
              <w:rPr/>
              <w:t xml:space="preserve">, </w:t>
            </w:r>
            <w:r>
              <w:rPr>
                <w:rStyle w:val="SourceText"/>
              </w:rPr>
              <w:t>chunks</w:t>
            </w:r>
            <w:r>
              <w:rPr/>
              <w:t xml:space="preserve">, </w:t>
            </w:r>
            <w:r>
              <w:rPr>
                <w:rStyle w:val="SourceText"/>
              </w:rPr>
              <w:t>/data/uploads</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until the customer deletes it — current rule (</w:t>
            </w:r>
            <w:r>
              <w:rPr>
                <w:rStyle w:val="SourceText"/>
              </w:rPr>
              <w:t>SOP-11</w:t>
            </w:r>
            <w:r>
              <w:rPr/>
              <w:t xml:space="preserve"> §10). Time-based retention is an open treatment: </w:t>
            </w:r>
            <w:r>
              <w:rPr>
                <w:rStyle w:val="SourceText"/>
              </w:rPr>
              <w:t>REG-03</w:t>
            </w:r>
            <w:r>
              <w:rPr/>
              <w:t xml:space="preserve"> R-06 (Kishan Haravu Pradeep, 2026-10-31)</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15</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Live transcripts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transcripts</w:t>
            </w:r>
            <w:r>
              <w:rPr/>
              <w:t xml:space="preserve">, </w:t>
            </w:r>
            <w:r>
              <w:rPr>
                <w:rStyle w:val="SourceText"/>
              </w:rPr>
              <w:t>transcript_segments</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until the customer deletes it — current rule (</w:t>
            </w:r>
            <w:r>
              <w:rPr>
                <w:rStyle w:val="SourceText"/>
              </w:rPr>
              <w:t>SOP-11</w:t>
            </w:r>
            <w:r>
              <w:rPr/>
              <w:t xml:space="preserve"> §10). Time-based retention is an open treatment: </w:t>
            </w:r>
            <w:r>
              <w:rPr>
                <w:rStyle w:val="SourceText"/>
              </w:rPr>
              <w:t>REG-03</w:t>
            </w:r>
            <w:r>
              <w:rPr/>
              <w:t xml:space="preserve"> R-06 (Kishan Haravu Pradeep, 2026-10-31)</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16</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Boardroom audio recordings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/data/boardroom/</w:t>
            </w:r>
            <w:r>
              <w:rPr/>
              <w:t xml:space="preserve"> (up to ~5.5 h per session)</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until the customer deletes it — current rule (</w:t>
            </w:r>
            <w:r>
              <w:rPr>
                <w:rStyle w:val="SourceText"/>
              </w:rPr>
              <w:t>SOP-11</w:t>
            </w:r>
            <w:r>
              <w:rPr/>
              <w:t xml:space="preserve"> §10). Time-based retention is an open treatment: </w:t>
            </w:r>
            <w:r>
              <w:rPr>
                <w:rStyle w:val="SourceText"/>
              </w:rPr>
              <w:t>REG-03</w:t>
            </w:r>
            <w:r>
              <w:rPr/>
              <w:t xml:space="preserve"> R-06 (Kishan Haravu Pradeep, 2026-10-31)</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17</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Chat messages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messages</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until the customer deletes it — current rule (</w:t>
            </w:r>
            <w:r>
              <w:rPr>
                <w:rStyle w:val="SourceText"/>
              </w:rPr>
              <w:t>SOP-11</w:t>
            </w:r>
            <w:r>
              <w:rPr/>
              <w:t xml:space="preserve"> §10). Time-based retention is an open treatment: </w:t>
            </w:r>
            <w:r>
              <w:rPr>
                <w:rStyle w:val="SourceText"/>
              </w:rPr>
              <w:t>REG-03</w:t>
            </w:r>
            <w:r>
              <w:rPr/>
              <w:t xml:space="preserve"> R-06 (Kishan Haravu Pradeep, 2026-10-31)</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18</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Access log (usernames + IP addresses)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activity_log</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in full; reviewed for access anomalies (</w:t>
            </w:r>
            <w:r>
              <w:rPr>
                <w:rStyle w:val="SourceText"/>
              </w:rPr>
              <w:t>records/capa/2026-10-07_NC-2026-009_access_log_review.md</w:t>
            </w:r>
            <w:r>
              <w:rPr/>
              <w:t>). A time limit is part of the open retention treatment (</w:t>
            </w:r>
            <w:r>
              <w:rPr>
                <w:rStyle w:val="SourceText"/>
              </w:rPr>
              <w:t>REG-03</w:t>
            </w:r>
            <w:r>
              <w:rPr/>
              <w:t xml:space="preserve"> R-06)</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19</w:t>
            </w:r>
          </w:p>
        </w:tc>
        <w:tc>
          <w:tcPr>
            <w:tcW w:w="23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Generated documents</w:t>
            </w:r>
          </w:p>
        </w:tc>
        <w:tc>
          <w:tcPr>
            <w:tcW w:w="23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docgen_jobs</w:t>
            </w:r>
          </w:p>
        </w:tc>
        <w:tc>
          <w:tcPr>
            <w:tcW w:w="635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Kept until the customer deletes it — current rule (</w:t>
            </w:r>
            <w:r>
              <w:rPr>
                <w:rStyle w:val="SourceText"/>
              </w:rPr>
              <w:t>SOP-11</w:t>
            </w:r>
            <w:r>
              <w:rPr/>
              <w:t xml:space="preserve"> §10). Time-based retention is an open treatment: </w:t>
            </w:r>
            <w:r>
              <w:rPr>
                <w:rStyle w:val="SourceText"/>
              </w:rPr>
              <w:t>REG-03</w:t>
            </w:r>
            <w:r>
              <w:rPr/>
              <w:t xml:space="preserve"> R-06 (Kishan Haravu Pradeep, 2026-10-31)</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20</w:t>
            </w:r>
          </w:p>
        </w:tc>
        <w:tc>
          <w:tcPr>
            <w:tcW w:w="230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Does a customer contract override any of the above?</w:t>
            </w:r>
          </w:p>
        </w:tc>
        <w:tc>
          <w:tcPr>
            <w:tcW w:w="23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sz w:val="4"/>
                <w:szCs w:val="4"/>
              </w:rPr>
            </w:pPr>
            <w:r>
              <w:rPr>
                <w:sz w:val="4"/>
                <w:szCs w:val="4"/>
              </w:rPr>
            </w:r>
          </w:p>
        </w:tc>
        <w:tc>
          <w:tcPr>
            <w:tcW w:w="635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Yes. A retention or backup term agreed with a customer is recorded under </w:t>
            </w:r>
            <w:r>
              <w:rPr>
                <w:rStyle w:val="SourceText"/>
              </w:rPr>
              <w:t>SOP-04</w:t>
            </w:r>
            <w:r>
              <w:rPr/>
              <w:t xml:space="preserve"> and takes precedence (</w:t>
            </w:r>
            <w:r>
              <w:rPr>
                <w:rStyle w:val="SourceText"/>
              </w:rPr>
              <w:t>SOP-11</w:t>
            </w:r>
            <w:r>
              <w:rPr/>
              <w:t xml:space="preserve"> §12: kept for the life of the contract + 3 years)</w:t>
            </w:r>
          </w:p>
        </w:tc>
      </w:tr>
    </w:tbl>
    <w:p>
      <w:pPr>
        <w:pStyle w:val="Heading3"/>
        <w:bidi w:val="0"/>
        <w:jc w:val="left"/>
        <w:rPr/>
      </w:pPr>
      <w:r>
        <w:rPr/>
        <w:t xml:space="preserve">2.2 Backup · </w:t>
      </w:r>
      <w:r>
        <w:rPr>
          <w:rStyle w:val="Emphasis"/>
        </w:rPr>
        <w:t>clause 8.5.4 — the scripts exist; these are the settings</w:t>
      </w:r>
    </w:p>
    <w:tbl>
      <w:tblPr>
        <w:tblW w:w="5000" w:type="pct"/>
        <w:jc w:val="left"/>
        <w:tblInd w:w="-7" w:type="dxa"/>
        <w:tblLayout w:type="fixed"/>
        <w:tblCellMar>
          <w:top w:w="60" w:type="dxa"/>
          <w:left w:w="60" w:type="dxa"/>
          <w:bottom w:w="60" w:type="dxa"/>
          <w:right w:w="60" w:type="dxa"/>
        </w:tblCellMar>
      </w:tblPr>
      <w:tblGrid>
        <w:gridCol w:w="349"/>
        <w:gridCol w:w="3529"/>
        <w:gridCol w:w="7461"/>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35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74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21</w:t>
            </w:r>
          </w:p>
        </w:tc>
        <w:tc>
          <w:tcPr>
            <w:tcW w:w="35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Where should the off-host copy go? (</w:t>
            </w:r>
            <w:r>
              <w:rPr>
                <w:rStyle w:val="SourceText"/>
              </w:rPr>
              <w:t>user@host:/path</w:t>
            </w:r>
            <w:r>
              <w:rPr/>
              <w:t>, or a mounted share)</w:t>
            </w:r>
          </w:p>
        </w:tc>
        <w:tc>
          <w:tcPr>
            <w:tcW w:w="74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To be set as </w:t>
            </w:r>
            <w:r>
              <w:rPr>
                <w:rStyle w:val="SourceText"/>
              </w:rPr>
              <w:t>BACKUP_REMOTE</w:t>
            </w:r>
            <w:r>
              <w:rPr/>
              <w:t xml:space="preserve"> by Kishan Haravu Pradeep by 2026-10-13 (</w:t>
            </w:r>
            <w:r>
              <w:rPr>
                <w:rStyle w:val="SourceText"/>
              </w:rPr>
              <w:t>REG-03</w:t>
            </w:r>
            <w:r>
              <w:rPr/>
              <w:t xml:space="preserve"> R-02). Not set yet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22</w:t>
            </w:r>
          </w:p>
        </w:tc>
        <w:tc>
          <w:tcPr>
            <w:tcW w:w="35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What time should the nightly backup run? (default 02:30)</w:t>
            </w:r>
          </w:p>
        </w:tc>
        <w:tc>
          <w:tcPr>
            <w:tcW w:w="74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02:30 (default in </w:t>
            </w:r>
            <w:r>
              <w:rPr>
                <w:rStyle w:val="SourceText"/>
              </w:rPr>
              <w:t>scripts/install_backup_timer.sh</w:t>
            </w: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23</w:t>
            </w:r>
          </w:p>
        </w:tc>
        <w:tc>
          <w:tcPr>
            <w:tcW w:w="35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How many generations to keep? (default 7)</w:t>
            </w:r>
          </w:p>
        </w:tc>
        <w:tc>
          <w:tcPr>
            <w:tcW w:w="74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 (default)</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24</w:t>
            </w:r>
          </w:p>
        </w:tc>
        <w:tc>
          <w:tcPr>
            <w:tcW w:w="35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Must backups be encrypted at rest? (the archive is not encrypted today)</w:t>
            </w:r>
          </w:p>
        </w:tc>
        <w:tc>
          <w:tcPr>
            <w:tcW w:w="74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Not for the reference instance, which holds no customer data. Required before backups of customer data leave the host — </w:t>
            </w:r>
            <w:r>
              <w:rPr>
                <w:rStyle w:val="SourceText"/>
              </w:rPr>
              <w:t>REG-03</w:t>
            </w:r>
            <w:r>
              <w:rPr/>
              <w:t xml:space="preserve"> R-13, encryption at rest (Kishan Haravu Pradeep, 2026-10-31)</w:t>
            </w:r>
          </w:p>
        </w:tc>
      </w:tr>
    </w:tbl>
    <w:p>
      <w:pPr>
        <w:pStyle w:val="Heading3"/>
        <w:bidi w:val="0"/>
        <w:jc w:val="left"/>
        <w:rPr/>
      </w:pPr>
      <w:r>
        <w:rPr/>
        <w:t xml:space="preserve">2.3 Objectives and risk · </w:t>
      </w:r>
      <w:r>
        <w:rPr>
          <w:rStyle w:val="Emphasis"/>
        </w:rPr>
        <w:t>clauses 6.1, 6.2</w:t>
      </w:r>
    </w:p>
    <w:tbl>
      <w:tblPr>
        <w:tblW w:w="5000" w:type="pct"/>
        <w:jc w:val="left"/>
        <w:tblInd w:w="-7" w:type="dxa"/>
        <w:tblLayout w:type="fixed"/>
        <w:tblCellMar>
          <w:top w:w="60" w:type="dxa"/>
          <w:left w:w="60" w:type="dxa"/>
          <w:bottom w:w="60" w:type="dxa"/>
          <w:right w:w="60" w:type="dxa"/>
        </w:tblCellMar>
      </w:tblPr>
      <w:tblGrid>
        <w:gridCol w:w="349"/>
        <w:gridCol w:w="5206"/>
        <w:gridCol w:w="5784"/>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52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578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25</w:t>
            </w:r>
          </w:p>
        </w:tc>
        <w:tc>
          <w:tcPr>
            <w:tcW w:w="5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 you accept the 7 objectives and targets in </w:t>
            </w:r>
            <w:r>
              <w:rPr>
                <w:rStyle w:val="SourceText"/>
              </w:rPr>
              <w:t>QO-01</w:t>
            </w:r>
            <w:r>
              <w:rPr/>
              <w:t>, or change them? Only agree to what you will actually measure.</w:t>
            </w:r>
          </w:p>
        </w:tc>
        <w:tc>
          <w:tcPr>
            <w:tcW w:w="57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Accepted as written — </w:t>
            </w:r>
            <w:r>
              <w:rPr>
                <w:rStyle w:val="SourceText"/>
              </w:rPr>
              <w:t>QO-01</w:t>
            </w:r>
            <w:r>
              <w:rPr/>
              <w:t xml:space="preserve"> approved 2026-10-07</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26</w:t>
            </w:r>
          </w:p>
        </w:tc>
        <w:tc>
          <w:tcPr>
            <w:tcW w:w="5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 you accept the 14 risk ratings in </w:t>
            </w:r>
            <w:r>
              <w:rPr>
                <w:rStyle w:val="SourceText"/>
              </w:rPr>
              <w:t>REG-03</w:t>
            </w:r>
            <w:r>
              <w:rPr/>
              <w:t xml:space="preserve">? They are marked </w:t>
            </w:r>
            <w:r>
              <w:rPr>
                <w:rStyle w:val="Emphasis"/>
              </w:rPr>
              <w:t>proposed</w:t>
            </w:r>
            <w:r>
              <w:rPr/>
              <w:t xml:space="preserve"> — they are my reading of the evidence, not fact.</w:t>
            </w:r>
          </w:p>
        </w:tc>
        <w:tc>
          <w:tcPr>
            <w:tcW w:w="578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Accepted — ratings confirmed at approval 2026-10-07</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27</w:t>
            </w:r>
          </w:p>
        </w:tc>
        <w:tc>
          <w:tcPr>
            <w:tcW w:w="52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Who owns each risk treatment, and by when?</w:t>
            </w:r>
          </w:p>
        </w:tc>
        <w:tc>
          <w:tcPr>
            <w:tcW w:w="578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Named per risk in </w:t>
            </w:r>
            <w:r>
              <w:rPr>
                <w:rStyle w:val="SourceText"/>
              </w:rPr>
              <w:t>REG-03</w:t>
            </w:r>
            <w:r>
              <w:rPr/>
              <w:t xml:space="preserve"> (owners Richard Watson Stephen Amudha and Kishan Haravu Pradeep; due dates 2026-10-13 to 2026-10-31)</w:t>
            </w:r>
          </w:p>
        </w:tc>
      </w:tr>
    </w:tbl>
    <w:p>
      <w:pPr>
        <w:pStyle w:val="Heading3"/>
        <w:bidi w:val="0"/>
        <w:jc w:val="left"/>
        <w:rPr/>
      </w:pPr>
      <w:r>
        <w:rPr/>
        <w:t xml:space="preserve">2.4 Running the system · </w:t>
      </w:r>
      <w:r>
        <w:rPr>
          <w:rStyle w:val="Emphasis"/>
        </w:rPr>
        <w:t>clauses 9.2, 9.3</w:t>
      </w:r>
    </w:p>
    <w:tbl>
      <w:tblPr>
        <w:tblW w:w="5000" w:type="pct"/>
        <w:jc w:val="left"/>
        <w:tblInd w:w="-7" w:type="dxa"/>
        <w:tblLayout w:type="fixed"/>
        <w:tblCellMar>
          <w:top w:w="60" w:type="dxa"/>
          <w:left w:w="60" w:type="dxa"/>
          <w:bottom w:w="60" w:type="dxa"/>
          <w:right w:w="60" w:type="dxa"/>
        </w:tblCellMar>
      </w:tblPr>
      <w:tblGrid>
        <w:gridCol w:w="349"/>
        <w:gridCol w:w="5924"/>
        <w:gridCol w:w="5066"/>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592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506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28</w:t>
            </w:r>
          </w:p>
        </w:tc>
        <w:tc>
          <w:tcPr>
            <w:tcW w:w="59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Management review cadence — quarterly, or annual (the ISO minimum)?</w:t>
            </w:r>
          </w:p>
        </w:tc>
        <w:tc>
          <w:tcPr>
            <w:tcW w:w="50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Quarterly, and at least annually (</w:t>
            </w:r>
            <w:r>
              <w:rPr>
                <w:rStyle w:val="SourceText"/>
              </w:rPr>
              <w:t>SOP-15</w:t>
            </w:r>
            <w:r>
              <w:rPr/>
              <w:t xml:space="preserve"> §4)</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29</w:t>
            </w:r>
          </w:p>
        </w:tc>
        <w:tc>
          <w:tcPr>
            <w:tcW w:w="59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Internal audit route: (a) contract an external auditor, (b) wait for a second person, (c) interim self-assessment? </w:t>
            </w:r>
            <w:r>
              <w:rPr>
                <w:rStyle w:val="Strong"/>
              </w:rPr>
              <w:t>Only (a) and (b) satisfy 9.2.2 c.</w:t>
            </w:r>
          </w:p>
        </w:tc>
        <w:tc>
          <w:tcPr>
            <w:tcW w:w="50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Through the AJACE Inc. corporate internal audit programme, by an auditor independent of the EchoMind work (</w:t>
            </w:r>
            <w:r>
              <w:rPr>
                <w:rStyle w:val="SourceText"/>
              </w:rPr>
              <w:t>SOP-13</w:t>
            </w:r>
            <w:r>
              <w:rPr/>
              <w:t xml:space="preserve"> §4)</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30</w:t>
            </w:r>
          </w:p>
        </w:tc>
        <w:tc>
          <w:tcPr>
            <w:tcW w:w="59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If (a), do you have an auditor in mind, and a budget?</w:t>
            </w:r>
          </w:p>
        </w:tc>
        <w:tc>
          <w:tcPr>
            <w:tcW w:w="50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 — corporate audit programme, coordinated by the QA / MR (Sheryl Nazareth)</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31</w:t>
            </w:r>
          </w:p>
        </w:tc>
        <w:tc>
          <w:tcPr>
            <w:tcW w:w="592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Which clauses get audited in which period? (or "spread evenly over 12 months")</w:t>
            </w:r>
          </w:p>
        </w:tc>
        <w:tc>
          <w:tcPr>
            <w:tcW w:w="506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Nov 2026: clauses 4–7 · Dec 2026: clause 8 · Jan 2027: clauses 9–10 (</w:t>
            </w:r>
            <w:r>
              <w:rPr>
                <w:rStyle w:val="SourceText"/>
              </w:rPr>
              <w:t>SOP-13</w:t>
            </w:r>
            <w:r>
              <w:rPr/>
              <w:t xml:space="preserve"> §4)</w:t>
            </w:r>
          </w:p>
        </w:tc>
      </w:tr>
    </w:tbl>
    <w:p>
      <w:pPr>
        <w:pStyle w:val="Heading3"/>
        <w:bidi w:val="0"/>
        <w:jc w:val="left"/>
        <w:rPr/>
      </w:pPr>
      <w:r>
        <w:rPr/>
        <w:t>2.5 Product decisions with compliance consequences</w:t>
      </w:r>
    </w:p>
    <w:tbl>
      <w:tblPr>
        <w:tblW w:w="5000" w:type="pct"/>
        <w:jc w:val="left"/>
        <w:tblInd w:w="-7" w:type="dxa"/>
        <w:tblLayout w:type="fixed"/>
        <w:tblCellMar>
          <w:top w:w="60" w:type="dxa"/>
          <w:left w:w="60" w:type="dxa"/>
          <w:bottom w:w="60" w:type="dxa"/>
          <w:right w:w="60" w:type="dxa"/>
        </w:tblCellMar>
      </w:tblPr>
      <w:tblGrid>
        <w:gridCol w:w="349"/>
        <w:gridCol w:w="3935"/>
        <w:gridCol w:w="7055"/>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393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70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32</w:t>
            </w:r>
          </w:p>
        </w:tc>
        <w:tc>
          <w:tcPr>
            <w:tcW w:w="39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Should </w:t>
            </w:r>
            <w:r>
              <w:rPr>
                <w:rStyle w:val="SourceText"/>
              </w:rPr>
              <w:t>AUTH_ENABLED=1</w:t>
            </w:r>
            <w:r>
              <w:rPr/>
              <w:t xml:space="preserve"> become the default for customer deployments?</w:t>
            </w:r>
          </w:p>
        </w:tc>
        <w:tc>
          <w:tcPr>
            <w:tcW w:w="7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Login is enforced on the public reference instance and checked every 6 hours. The default for customer deployments is an open decision under </w:t>
            </w:r>
            <w:r>
              <w:rPr>
                <w:rStyle w:val="SourceText"/>
              </w:rPr>
              <w:t>REG-03</w:t>
            </w:r>
            <w:r>
              <w:rPr/>
              <w:t xml:space="preserve"> R-04 (Kishan Haravu Pradeep, 2026-10-31)</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33</w:t>
            </w:r>
          </w:p>
        </w:tc>
        <w:tc>
          <w:tcPr>
            <w:tcW w:w="39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What should the default CORS origin be, instead of </w:t>
            </w:r>
            <w:r>
              <w:rPr>
                <w:rStyle w:val="SourceText"/>
              </w:rPr>
              <w:t>*</w:t>
            </w:r>
            <w:r>
              <w:rPr/>
              <w:t>?</w:t>
            </w:r>
          </w:p>
        </w:tc>
        <w:tc>
          <w:tcPr>
            <w:tcW w:w="7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Decided with question 32 under </w:t>
            </w:r>
            <w:r>
              <w:rPr>
                <w:rStyle w:val="SourceText"/>
              </w:rPr>
              <w:t>REG-03</w:t>
            </w:r>
            <w:r>
              <w:rPr/>
              <w:t xml:space="preserve"> R-04 (2026-10-31)</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34</w:t>
            </w:r>
          </w:p>
        </w:tc>
        <w:tc>
          <w:tcPr>
            <w:tcW w:w="393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What counts as a "significant" change requiring a formal change request, rather than just a commit?</w:t>
            </w:r>
          </w:p>
        </w:tc>
        <w:tc>
          <w:tcPr>
            <w:tcW w:w="70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Criteria S-1 to S-7 in </w:t>
            </w:r>
            <w:r>
              <w:rPr>
                <w:rStyle w:val="SourceText"/>
              </w:rPr>
              <w:t>SOP-06</w:t>
            </w:r>
            <w:r>
              <w:rPr/>
              <w:t xml:space="preserve"> §6 (approved 2026-10-07)</w:t>
            </w:r>
          </w:p>
        </w:tc>
      </w:tr>
    </w:tbl>
    <w:p>
      <w:pPr>
        <w:pStyle w:val="HorizontalLine"/>
        <w:bidi w:val="0"/>
        <w:jc w:val="left"/>
        <w:rPr/>
      </w:pPr>
      <w:r>
        <w:rPr/>
      </w:r>
    </w:p>
    <w:p>
      <w:pPr>
        <w:pStyle w:val="Heading2"/>
        <w:bidi w:val="0"/>
        <w:jc w:val="left"/>
        <w:rPr/>
      </w:pPr>
      <w:r>
        <w:rPr/>
        <w:t>Part 3 — Things you need to find out (not answer from memory)</w:t>
      </w:r>
    </w:p>
    <w:p>
      <w:pPr>
        <w:pStyle w:val="BodyText"/>
        <w:bidi w:val="0"/>
        <w:jc w:val="left"/>
        <w:rPr/>
      </w:pPr>
      <w:r>
        <w:rPr/>
        <w:t>These are research tasks, not questions. They are listed here because they are yours to obtain and nobody else can.</w:t>
      </w:r>
    </w:p>
    <w:tbl>
      <w:tblPr>
        <w:tblW w:w="5000" w:type="pct"/>
        <w:jc w:val="left"/>
        <w:tblInd w:w="-7" w:type="dxa"/>
        <w:tblLayout w:type="fixed"/>
        <w:tblCellMar>
          <w:top w:w="60" w:type="dxa"/>
          <w:left w:w="60" w:type="dxa"/>
          <w:bottom w:w="60" w:type="dxa"/>
          <w:right w:w="60" w:type="dxa"/>
        </w:tblCellMar>
      </w:tblPr>
      <w:tblGrid>
        <w:gridCol w:w="349"/>
        <w:gridCol w:w="4243"/>
        <w:gridCol w:w="3178"/>
        <w:gridCol w:w="3569"/>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424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Task</w:t>
            </w:r>
          </w:p>
        </w:tc>
        <w:tc>
          <w:tcPr>
            <w:tcW w:w="31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w:t>
            </w:r>
          </w:p>
        </w:tc>
        <w:tc>
          <w:tcPr>
            <w:tcW w:w="356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Done</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35</w:t>
            </w:r>
          </w:p>
        </w:tc>
        <w:tc>
          <w:tcPr>
            <w:tcW w:w="424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Licence terms for all 11 models</w:t>
            </w:r>
            <w:r>
              <w:rPr/>
              <w:t xml:space="preserve"> in </w:t>
            </w:r>
            <w:r>
              <w:rPr>
                <w:rStyle w:val="SourceText"/>
              </w:rPr>
              <w:t>REG-02</w:t>
            </w:r>
            <w:r>
              <w:rPr/>
              <w:t xml:space="preserve"> — commercial use, attribution, redistribution</w:t>
            </w:r>
          </w:p>
        </w:tc>
        <w:tc>
          <w:tcPr>
            <w:tcW w:w="31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You sell commercially into regulated sectors. Their legal teams will ask.</w:t>
            </w:r>
          </w:p>
        </w:tc>
        <w:tc>
          <w:tcPr>
            <w:tcW w:w="35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Open — GitHub ticket #56</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36</w:t>
            </w:r>
          </w:p>
        </w:tc>
        <w:tc>
          <w:tcPr>
            <w:tcW w:w="424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Nemotron gated-model terms specifically</w:t>
            </w:r>
            <w:r>
              <w:rPr/>
              <w:t xml:space="preserve"> — does acceptance permit redistribution </w:t>
            </w:r>
            <w:r>
              <w:rPr>
                <w:rStyle w:val="Emphasis"/>
              </w:rPr>
              <w:t>baked into an image you ship to a customer</w:t>
            </w:r>
            <w:r>
              <w:rPr/>
              <w:t>?</w:t>
            </w:r>
          </w:p>
        </w:tc>
        <w:tc>
          <w:tcPr>
            <w:tcW w:w="31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model is compiled into images already delivered. If not permitted, that is live legal exposure.</w:t>
            </w:r>
          </w:p>
        </w:tc>
        <w:tc>
          <w:tcPr>
            <w:tcW w:w="35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37</w:t>
            </w:r>
          </w:p>
        </w:tc>
        <w:tc>
          <w:tcPr>
            <w:tcW w:w="424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SDXL-Turbo commercial-use terms</w:t>
            </w:r>
          </w:p>
        </w:tc>
        <w:tc>
          <w:tcPr>
            <w:tcW w:w="31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Stability AI licensing has commercial conditions</w:t>
            </w:r>
          </w:p>
        </w:tc>
        <w:tc>
          <w:tcPr>
            <w:tcW w:w="35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38</w:t>
            </w:r>
          </w:p>
        </w:tc>
        <w:tc>
          <w:tcPr>
            <w:tcW w:w="424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licensed copy of </w:t>
            </w:r>
            <w:r>
              <w:rPr>
                <w:rStyle w:val="Strong"/>
              </w:rPr>
              <w:t>ISO 9001:2015</w:t>
            </w:r>
          </w:p>
        </w:tc>
        <w:tc>
          <w:tcPr>
            <w:tcW w:w="31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Copyrighted; cannot live in the repo. You and any auditor need the text.</w:t>
            </w:r>
          </w:p>
        </w:tc>
        <w:tc>
          <w:tcPr>
            <w:tcW w:w="35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39</w:t>
            </w:r>
          </w:p>
        </w:tc>
        <w:tc>
          <w:tcPr>
            <w:tcW w:w="424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Whether the </w:t>
            </w:r>
            <w:r>
              <w:rPr>
                <w:rStyle w:val="Strong"/>
              </w:rPr>
              <w:t>MIT Ubuntu mirror</w:t>
            </w:r>
            <w:r>
              <w:rPr/>
              <w:t xml:space="preserve"> in the Dockerfiles is deliberate, or should be removed</w:t>
            </w:r>
          </w:p>
        </w:tc>
        <w:tc>
          <w:tcPr>
            <w:tcW w:w="31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 undeclared third-party dependency in the build path</w:t>
            </w:r>
          </w:p>
        </w:tc>
        <w:tc>
          <w:tcPr>
            <w:tcW w:w="356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 xml:space="preserve">Deliberate — workaround for </w:t>
            </w:r>
            <w:r>
              <w:rPr>
                <w:rStyle w:val="SourceText"/>
              </w:rPr>
              <w:t>ports.ubuntu.com</w:t>
            </w:r>
            <w:r>
              <w:rPr/>
              <w:t xml:space="preserve"> sync failures; recorded in </w:t>
            </w:r>
            <w:r>
              <w:rPr>
                <w:rStyle w:val="SourceText"/>
              </w:rPr>
              <w:t>SOP-09</w:t>
            </w:r>
            <w:r>
              <w:rPr/>
              <w:t xml:space="preserve"> §9</w:t>
            </w:r>
          </w:p>
        </w:tc>
      </w:tr>
    </w:tbl>
    <w:p>
      <w:pPr>
        <w:pStyle w:val="HorizontalLine"/>
        <w:bidi w:val="0"/>
        <w:jc w:val="left"/>
        <w:rPr/>
      </w:pPr>
      <w:r>
        <w:rPr/>
      </w:r>
    </w:p>
    <w:p>
      <w:pPr>
        <w:pStyle w:val="Heading2"/>
        <w:bidi w:val="0"/>
        <w:jc w:val="left"/>
        <w:rPr/>
      </w:pPr>
      <w:r>
        <w:rPr/>
        <w:t>Part 4 — Commercial context (only if you are pursuing certification)</w:t>
      </w:r>
    </w:p>
    <w:tbl>
      <w:tblPr>
        <w:tblW w:w="5000" w:type="pct"/>
        <w:jc w:val="left"/>
        <w:tblInd w:w="-7" w:type="dxa"/>
        <w:tblLayout w:type="fixed"/>
        <w:tblCellMar>
          <w:top w:w="60" w:type="dxa"/>
          <w:left w:w="60" w:type="dxa"/>
          <w:bottom w:w="60" w:type="dxa"/>
          <w:right w:w="60" w:type="dxa"/>
        </w:tblCellMar>
      </w:tblPr>
      <w:tblGrid>
        <w:gridCol w:w="349"/>
        <w:gridCol w:w="4122"/>
        <w:gridCol w:w="6868"/>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41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686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answer</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40</w:t>
            </w:r>
          </w:p>
        </w:tc>
        <w:tc>
          <w:tcPr>
            <w:tcW w:w="41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Is there a customer, tender or deadline driving this?</w:t>
            </w:r>
          </w:p>
        </w:tc>
        <w:tc>
          <w:tcPr>
            <w:tcW w:w="68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AJACE Inc. ISO 9001:2015 surveillance audit — final audit 14 October 2026</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41</w:t>
            </w:r>
          </w:p>
        </w:tc>
        <w:tc>
          <w:tcPr>
            <w:tcW w:w="41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 you need certification, or is a demonstrable QMS enough for your buyers?</w:t>
            </w:r>
          </w:p>
        </w:tc>
        <w:tc>
          <w:tcPr>
            <w:tcW w:w="68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AJACE Inc. is already certified (scope </w:t>
            </w:r>
            <w:r>
              <w:rPr>
                <w:rStyle w:val="Emphasis"/>
              </w:rPr>
              <w:t>Product Development and Technology Consulting Services</w:t>
            </w:r>
            <w:r>
              <w:rPr/>
              <w:t>); EchoMind operates within that QMS</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42</w:t>
            </w:r>
          </w:p>
        </w:tc>
        <w:tc>
          <w:tcPr>
            <w:tcW w:w="41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If certification: which accredited body? (UKAS / ANAB / national equivalent)</w:t>
            </w:r>
          </w:p>
        </w:tc>
        <w:tc>
          <w:tcPr>
            <w:tcW w:w="68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body that holds AJACE Inc.'s current certificate (expires 28 October 2026)</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43</w:t>
            </w:r>
          </w:p>
        </w:tc>
        <w:tc>
          <w:tcPr>
            <w:tcW w:w="41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Target date for the stage 2 audit</w:t>
            </w:r>
          </w:p>
        </w:tc>
        <w:tc>
          <w:tcPr>
            <w:tcW w:w="686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Not applicable — surveillance audit 14 October 2026</w:t>
            </w:r>
          </w:p>
        </w:tc>
      </w:tr>
    </w:tbl>
    <w:p>
      <w:pPr>
        <w:pStyle w:val="BlockQuotation"/>
        <w:bidi w:val="0"/>
        <w:jc w:val="left"/>
        <w:rPr/>
      </w:pPr>
      <w:r>
        <w:rPr/>
        <w:t>On 41 — worth pausing on. Many enterprise buyers accept evidence of a functioning quality system without a certificate. Certification adds an accredited body, an audit cycle and cost. If no buyer is actually requiring the certificate, the cheaper answer is to run the system, accumulate the records, and certify only when someone asks.</w:t>
      </w:r>
    </w:p>
    <w:p>
      <w:pPr>
        <w:pStyle w:val="HorizontalLine"/>
        <w:bidi w:val="0"/>
        <w:jc w:val="left"/>
        <w:rPr/>
      </w:pPr>
      <w:r>
        <w:rPr/>
      </w:r>
    </w:p>
    <w:p>
      <w:pPr>
        <w:pStyle w:val="Heading2"/>
        <w:bidi w:val="0"/>
        <w:jc w:val="left"/>
        <w:rPr/>
      </w:pPr>
      <w:r>
        <w:rPr/>
        <w:t>What happens once this is filled in</w:t>
      </w:r>
    </w:p>
    <w:tbl>
      <w:tblPr>
        <w:tblW w:w="5000" w:type="pct"/>
        <w:jc w:val="left"/>
        <w:tblInd w:w="-7" w:type="dxa"/>
        <w:tblLayout w:type="fixed"/>
        <w:tblCellMar>
          <w:top w:w="60" w:type="dxa"/>
          <w:left w:w="60" w:type="dxa"/>
          <w:bottom w:w="60" w:type="dxa"/>
          <w:right w:w="60" w:type="dxa"/>
        </w:tblCellMar>
      </w:tblPr>
      <w:tblGrid>
        <w:gridCol w:w="2043"/>
        <w:gridCol w:w="9295"/>
      </w:tblGrid>
      <w:tr>
        <w:trPr>
          <w:tblHeader w:val="true"/>
        </w:trPr>
        <w:tc>
          <w:tcPr>
            <w:tcW w:w="204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Your input</w:t>
            </w:r>
          </w:p>
        </w:tc>
        <w:tc>
          <w:tcPr>
            <w:tcW w:w="929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Populates</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1–5</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QM-01</w:t>
            </w:r>
            <w:r>
              <w:rPr/>
              <w:t xml:space="preserve"> §1 and the scope statement in §4</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6–10</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QM-01</w:t>
            </w:r>
            <w:r>
              <w:rPr/>
              <w:t xml:space="preserve"> §6.1; </w:t>
            </w:r>
            <w:r>
              <w:rPr>
                <w:rStyle w:val="SourceText"/>
              </w:rPr>
              <w:t>REG-05</w:t>
            </w:r>
            <w:r>
              <w:rPr/>
              <w:t xml:space="preserve"> competence matrix</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11–13</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QP-01</w:t>
            </w:r>
            <w:r>
              <w:rPr/>
              <w:t xml:space="preserve"> signature block; all 36 approval headers; </w:t>
            </w:r>
            <w:r>
              <w:rPr>
                <w:rStyle w:val="SourceText"/>
              </w:rPr>
              <w:t>REG-01</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14–20</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SOP-11</w:t>
            </w:r>
            <w:r>
              <w:rPr/>
              <w:t xml:space="preserve"> §7 retention policy; implementation task D10</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21–24</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install_backup_timer.sh</w:t>
            </w:r>
            <w:r>
              <w:rPr/>
              <w:t xml:space="preserve"> arguments; </w:t>
            </w:r>
            <w:r>
              <w:rPr>
                <w:rStyle w:val="SourceText"/>
              </w:rPr>
              <w:t>SOP-11</w:t>
            </w:r>
            <w:r>
              <w:rPr/>
              <w:t xml:space="preserve"> §8</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25–27</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xml:space="preserve"> targets; </w:t>
            </w:r>
            <w:r>
              <w:rPr>
                <w:rStyle w:val="SourceText"/>
              </w:rPr>
              <w:t>REG-03</w:t>
            </w:r>
            <w:r>
              <w:rPr/>
              <w:t xml:space="preserve"> revision 1.1 with owners and dates</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28–31</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SOP-15</w:t>
            </w:r>
            <w:r>
              <w:rPr/>
              <w:t xml:space="preserve"> cadence; </w:t>
            </w:r>
            <w:r>
              <w:rPr>
                <w:rStyle w:val="SourceText"/>
              </w:rPr>
              <w:t>SOP-13</w:t>
            </w:r>
            <w:r>
              <w:rPr/>
              <w:t xml:space="preserve"> audit programme</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32–34</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SOP-11</w:t>
            </w:r>
            <w:r>
              <w:rPr/>
              <w:t xml:space="preserve"> §5; </w:t>
            </w:r>
            <w:r>
              <w:rPr>
                <w:rStyle w:val="SourceText"/>
              </w:rPr>
              <w:t>SOP-06</w:t>
            </w:r>
            <w:r>
              <w:rPr/>
              <w:t xml:space="preserve"> §5 significance criteria</w:t>
            </w:r>
          </w:p>
        </w:tc>
      </w:tr>
      <w:tr>
        <w:trPr/>
        <w:tc>
          <w:tcPr>
            <w:tcW w:w="204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35–39</w:t>
            </w:r>
          </w:p>
        </w:tc>
        <w:tc>
          <w:tcPr>
            <w:tcW w:w="92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REG-02</w:t>
            </w:r>
            <w:r>
              <w:rPr/>
              <w:t xml:space="preserve"> licence column; </w:t>
            </w:r>
            <w:r>
              <w:rPr>
                <w:rStyle w:val="SourceText"/>
              </w:rPr>
              <w:t>NOTICE</w:t>
            </w:r>
            <w:r>
              <w:rPr/>
              <w:t xml:space="preserve"> file</w:t>
            </w:r>
          </w:p>
        </w:tc>
      </w:tr>
      <w:tr>
        <w:trPr/>
        <w:tc>
          <w:tcPr>
            <w:tcW w:w="204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40–43</w:t>
            </w:r>
          </w:p>
        </w:tc>
        <w:tc>
          <w:tcPr>
            <w:tcW w:w="929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Sequencing of the certification path</w:t>
            </w:r>
          </w:p>
        </w:tc>
      </w:tr>
    </w:tbl>
    <w:p>
      <w:pPr>
        <w:pStyle w:val="BodyText"/>
        <w:bidi w:val="0"/>
        <w:spacing w:before="0" w:after="283"/>
        <w:jc w:val="left"/>
        <w:rPr/>
      </w:pPr>
      <w:r>
        <w:rPr>
          <w:rStyle w:val="Strong"/>
        </w:rPr>
        <w:t>Answers to 11 and 12 alone unblock more than everything else combined</w:t>
      </w:r>
      <w:r>
        <w:rPr/>
        <w:t xml:space="preserve"> — they convert the document set into a management system. Everything else can follow.</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