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REG-02 — External Documents and Providers Register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2452"/>
        <w:gridCol w:w="8886"/>
      </w:tblGrid>
      <w:tr>
        <w:trPr>
          <w:tblHeader w:val="true"/>
        </w:trPr>
        <w:tc>
          <w:tcPr>
            <w:tcW w:w="2452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Field</w:t>
            </w:r>
          </w:p>
        </w:tc>
        <w:tc>
          <w:tcPr>
            <w:tcW w:w="8886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Value</w:t>
            </w:r>
          </w:p>
        </w:tc>
      </w:tr>
      <w:tr>
        <w:trPr/>
        <w:tc>
          <w:tcPr>
            <w:tcW w:w="2452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Document ID</w:t>
            </w:r>
          </w:p>
        </w:tc>
        <w:tc>
          <w:tcPr>
            <w:tcW w:w="888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REG-02</w:t>
            </w:r>
          </w:p>
        </w:tc>
      </w:tr>
      <w:tr>
        <w:trPr/>
        <w:tc>
          <w:tcPr>
            <w:tcW w:w="2452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Revision</w:t>
            </w:r>
          </w:p>
        </w:tc>
        <w:tc>
          <w:tcPr>
            <w:tcW w:w="888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1.0</w:t>
            </w:r>
          </w:p>
        </w:tc>
      </w:tr>
      <w:tr>
        <w:trPr/>
        <w:tc>
          <w:tcPr>
            <w:tcW w:w="2452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Status</w:t>
            </w:r>
          </w:p>
        </w:tc>
        <w:tc>
          <w:tcPr>
            <w:tcW w:w="888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LIVE REGISTER — licence column is INCOMPLETE and must be completed (see §5)</w:t>
            </w:r>
          </w:p>
        </w:tc>
      </w:tr>
      <w:tr>
        <w:trPr/>
        <w:tc>
          <w:tcPr>
            <w:tcW w:w="2452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Owner</w:t>
            </w:r>
          </w:p>
        </w:tc>
        <w:tc>
          <w:tcPr>
            <w:tcW w:w="888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Lead Engineer (Richard Watson Stephen Amudha)</w:t>
            </w:r>
          </w:p>
        </w:tc>
      </w:tr>
      <w:tr>
        <w:trPr/>
        <w:tc>
          <w:tcPr>
            <w:tcW w:w="2452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ISO 9001:2015 clauses</w:t>
            </w:r>
          </w:p>
        </w:tc>
        <w:tc>
          <w:tcPr>
            <w:tcW w:w="888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7.5.3.2 (documents of external origin), 8.4.1, 8.4.2</w:t>
            </w:r>
          </w:p>
        </w:tc>
      </w:tr>
      <w:tr>
        <w:trPr/>
        <w:tc>
          <w:tcPr>
            <w:tcW w:w="2452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Governing procedure</w:t>
            </w:r>
          </w:p>
        </w:tc>
        <w:tc>
          <w:tcPr>
            <w:tcW w:w="888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SOP-09</w:t>
            </w:r>
          </w:p>
        </w:tc>
      </w:tr>
      <w:tr>
        <w:trPr/>
        <w:tc>
          <w:tcPr>
            <w:tcW w:w="2452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Reviewed</w:t>
            </w:r>
          </w:p>
        </w:tc>
        <w:tc>
          <w:tcPr>
            <w:tcW w:w="8886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2026-10-07 — Alexander Peter (EchoMind Project Lead); QA Sheryl Nazareth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1. Purpose</w:t>
      </w:r>
    </w:p>
    <w:p>
      <w:pPr>
        <w:pStyle w:val="BodyText"/>
        <w:bidi w:val="0"/>
        <w:jc w:val="left"/>
        <w:rPr/>
      </w:pPr>
      <w:r>
        <w:rPr/>
        <w:t>A single inventory of everything Ajace AI depends on but does not produce: model weights, container base images, software packages, infrastructure services and external standards. ISO 9001:2015 requires that documents of external origin are identified and controlled (7.5.3.2) and that externally provided processes, products and services are controlled (8.4).</w:t>
      </w:r>
    </w:p>
    <w:p>
      <w:pPr>
        <w:pStyle w:val="BodyText"/>
        <w:bidi w:val="0"/>
        <w:jc w:val="left"/>
        <w:rPr/>
      </w:pPr>
      <w:r>
        <w:rPr/>
        <w:t xml:space="preserve">For an offline product this register has a second purpose that matters more than the clause: </w:t>
      </w:r>
      <w:r>
        <w:rPr>
          <w:rStyle w:val="Strong"/>
        </w:rPr>
        <w:t>the supply chain is the attack surface and the reproducibility surface.</w:t>
      </w:r>
      <w:r>
        <w:rPr/>
        <w:t xml:space="preserve"> Every item below is baked into an image or a volume at build time and then runs, unchanged and unreachable, inside a customer's perimeter for months.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2. Models</w:t>
      </w:r>
    </w:p>
    <w:tbl>
      <w:tblPr>
        <w:tblW w:w="13037" w:type="dxa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350"/>
        <w:gridCol w:w="1311"/>
        <w:gridCol w:w="3276"/>
        <w:gridCol w:w="2031"/>
        <w:gridCol w:w="2196"/>
        <w:gridCol w:w="1176"/>
        <w:gridCol w:w="1881"/>
        <w:gridCol w:w="816"/>
      </w:tblGrid>
      <w:tr>
        <w:trPr>
          <w:tblHeader w:val="true"/>
        </w:trPr>
        <w:tc>
          <w:tcPr>
            <w:tcW w:w="350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#</w:t>
            </w:r>
          </w:p>
        </w:tc>
        <w:tc>
          <w:tcPr>
            <w:tcW w:w="1311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Role</w:t>
            </w:r>
          </w:p>
        </w:tc>
        <w:tc>
          <w:tcPr>
            <w:tcW w:w="3276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Model identifier</w:t>
            </w:r>
          </w:p>
        </w:tc>
        <w:tc>
          <w:tcPr>
            <w:tcW w:w="2031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Provider</w:t>
            </w:r>
          </w:p>
        </w:tc>
        <w:tc>
          <w:tcPr>
            <w:tcW w:w="2196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Sourced from</w:t>
            </w:r>
          </w:p>
        </w:tc>
        <w:tc>
          <w:tcPr>
            <w:tcW w:w="1176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Pinned?</w:t>
            </w:r>
          </w:p>
        </w:tc>
        <w:tc>
          <w:tcPr>
            <w:tcW w:w="1881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Licence</w:t>
            </w:r>
          </w:p>
        </w:tc>
        <w:tc>
          <w:tcPr>
            <w:tcW w:w="816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Licence verified</w:t>
            </w:r>
          </w:p>
        </w:tc>
      </w:tr>
      <w:tr>
        <w:trPr/>
        <w:tc>
          <w:tcPr>
            <w:tcW w:w="350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M-01</w:t>
            </w:r>
          </w:p>
        </w:tc>
        <w:tc>
          <w:tcPr>
            <w:tcW w:w="131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Chat LLM (production)</w:t>
            </w:r>
          </w:p>
        </w:tc>
        <w:tc>
          <w:tcPr>
            <w:tcW w:w="327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nvidia/Qwen3-30B-A3B-FP4</w:t>
            </w:r>
          </w:p>
        </w:tc>
        <w:tc>
          <w:tcPr>
            <w:tcW w:w="203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NVIDIA (Qwen base, NVFP4 quantisation)</w:t>
            </w:r>
          </w:p>
        </w:tc>
        <w:tc>
          <w:tcPr>
            <w:tcW w:w="219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Hugging Face Hub → </w:t>
            </w:r>
            <w:r>
              <w:rPr>
                <w:rStyle w:val="SourceText"/>
              </w:rPr>
              <w:t>trtllm_hf_cache</w:t>
            </w:r>
            <w:r>
              <w:rPr/>
              <w:t xml:space="preserve"> volume, one-time prepare</w:t>
            </w:r>
          </w:p>
        </w:tc>
        <w:tc>
          <w:tcPr>
            <w:tcW w:w="117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Yes — by name</w:t>
            </w:r>
          </w:p>
        </w:tc>
        <w:tc>
          <w:tcPr>
            <w:tcW w:w="188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</w:t>
            </w:r>
          </w:p>
        </w:tc>
        <w:tc>
          <w:tcPr>
            <w:tcW w:w="81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☐</w:t>
            </w:r>
          </w:p>
        </w:tc>
      </w:tr>
      <w:tr>
        <w:trPr/>
        <w:tc>
          <w:tcPr>
            <w:tcW w:w="350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M-02</w:t>
            </w:r>
          </w:p>
        </w:tc>
        <w:tc>
          <w:tcPr>
            <w:tcW w:w="131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Chat LLM (fallback)</w:t>
            </w:r>
          </w:p>
        </w:tc>
        <w:tc>
          <w:tcPr>
            <w:tcW w:w="327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qwen2.5:7b-instruct-q4_K_M</w:t>
            </w:r>
          </w:p>
        </w:tc>
        <w:tc>
          <w:tcPr>
            <w:tcW w:w="203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Alibaba Qwen, via Ollama</w:t>
            </w:r>
          </w:p>
        </w:tc>
        <w:tc>
          <w:tcPr>
            <w:tcW w:w="219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Ollama registry → </w:t>
            </w:r>
            <w:r>
              <w:rPr>
                <w:rStyle w:val="SourceText"/>
              </w:rPr>
              <w:t>ollama_data</w:t>
            </w:r>
          </w:p>
        </w:tc>
        <w:tc>
          <w:tcPr>
            <w:tcW w:w="117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Yes — by tag</w:t>
            </w:r>
          </w:p>
        </w:tc>
        <w:tc>
          <w:tcPr>
            <w:tcW w:w="188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</w:t>
            </w:r>
          </w:p>
        </w:tc>
        <w:tc>
          <w:tcPr>
            <w:tcW w:w="81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☐</w:t>
            </w:r>
          </w:p>
        </w:tc>
      </w:tr>
      <w:tr>
        <w:trPr/>
        <w:tc>
          <w:tcPr>
            <w:tcW w:w="350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M-03</w:t>
            </w:r>
          </w:p>
        </w:tc>
        <w:tc>
          <w:tcPr>
            <w:tcW w:w="131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Embeddings</w:t>
            </w:r>
          </w:p>
        </w:tc>
        <w:tc>
          <w:tcPr>
            <w:tcW w:w="327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nomic-embed-text</w:t>
            </w:r>
          </w:p>
        </w:tc>
        <w:tc>
          <w:tcPr>
            <w:tcW w:w="203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Nomic AI, via Ollama</w:t>
            </w:r>
          </w:p>
        </w:tc>
        <w:tc>
          <w:tcPr>
            <w:tcW w:w="219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Ollama registry → </w:t>
            </w:r>
            <w:r>
              <w:rPr>
                <w:rStyle w:val="SourceText"/>
              </w:rPr>
              <w:t>ollama_data</w:t>
            </w:r>
          </w:p>
        </w:tc>
        <w:tc>
          <w:tcPr>
            <w:tcW w:w="117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Tag only, no digest</w:t>
            </w:r>
          </w:p>
        </w:tc>
        <w:tc>
          <w:tcPr>
            <w:tcW w:w="188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</w:t>
            </w:r>
          </w:p>
        </w:tc>
        <w:tc>
          <w:tcPr>
            <w:tcW w:w="81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☐</w:t>
            </w:r>
          </w:p>
        </w:tc>
      </w:tr>
      <w:tr>
        <w:trPr/>
        <w:tc>
          <w:tcPr>
            <w:tcW w:w="350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M-04</w:t>
            </w:r>
          </w:p>
        </w:tc>
        <w:tc>
          <w:tcPr>
            <w:tcW w:w="131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Streaming STT</w:t>
            </w:r>
          </w:p>
        </w:tc>
        <w:tc>
          <w:tcPr>
            <w:tcW w:w="327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nvidia/nemotron-speech-streaming-en-0.6b</w:t>
            </w:r>
          </w:p>
        </w:tc>
        <w:tc>
          <w:tcPr>
            <w:tcW w:w="203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NVIDIA</w:t>
            </w:r>
          </w:p>
        </w:tc>
        <w:tc>
          <w:tcPr>
            <w:tcW w:w="219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HF Hub, baked into images at build (</w:t>
            </w:r>
            <w:r>
              <w:rPr>
                <w:rStyle w:val="SourceText"/>
              </w:rPr>
              <w:t>backend/Dockerfile:46</w:t>
            </w:r>
            <w:r>
              <w:rPr/>
              <w:t xml:space="preserve">, </w:t>
            </w:r>
            <w:r>
              <w:rPr>
                <w:rStyle w:val="SourceText"/>
              </w:rPr>
              <w:t>voice/Dockerfile:48</w:t>
            </w:r>
            <w:r>
              <w:rPr/>
              <w:t>)</w:t>
            </w:r>
          </w:p>
        </w:tc>
        <w:tc>
          <w:tcPr>
            <w:tcW w:w="117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Yes — by name</w:t>
            </w:r>
          </w:p>
        </w:tc>
        <w:tc>
          <w:tcPr>
            <w:tcW w:w="188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 xml:space="preserve">Gated model — acceptance-gated terms; requires </w:t>
            </w:r>
            <w:r>
              <w:rPr>
                <w:rStyle w:val="SourceText"/>
              </w:rPr>
              <w:t>HF_TOKEN</w:t>
            </w:r>
          </w:p>
        </w:tc>
        <w:tc>
          <w:tcPr>
            <w:tcW w:w="81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>
                <w:rStyle w:val="Strong"/>
              </w:rPr>
              <w:t>priority</w:t>
            </w:r>
          </w:p>
        </w:tc>
      </w:tr>
      <w:tr>
        <w:trPr/>
        <w:tc>
          <w:tcPr>
            <w:tcW w:w="350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M-05</w:t>
            </w:r>
          </w:p>
        </w:tc>
        <w:tc>
          <w:tcPr>
            <w:tcW w:w="131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Final STT (voice)</w:t>
            </w:r>
          </w:p>
        </w:tc>
        <w:tc>
          <w:tcPr>
            <w:tcW w:w="327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nvidia/parakeet-tdt-0.6b-v2</w:t>
            </w:r>
          </w:p>
        </w:tc>
        <w:tc>
          <w:tcPr>
            <w:tcW w:w="203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NVIDIA</w:t>
            </w:r>
          </w:p>
        </w:tc>
        <w:tc>
          <w:tcPr>
            <w:tcW w:w="219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HF Hub, baked into voice image (</w:t>
            </w:r>
            <w:r>
              <w:rPr>
                <w:rStyle w:val="SourceText"/>
              </w:rPr>
              <w:t>voice/Dockerfile:51-55</w:t>
            </w:r>
            <w:r>
              <w:rPr/>
              <w:t>)</w:t>
            </w:r>
          </w:p>
        </w:tc>
        <w:tc>
          <w:tcPr>
            <w:tcW w:w="117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Yes — by name</w:t>
            </w:r>
          </w:p>
        </w:tc>
        <w:tc>
          <w:tcPr>
            <w:tcW w:w="188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</w:t>
            </w:r>
          </w:p>
        </w:tc>
        <w:tc>
          <w:tcPr>
            <w:tcW w:w="81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☐</w:t>
            </w:r>
          </w:p>
        </w:tc>
      </w:tr>
      <w:tr>
        <w:trPr/>
        <w:tc>
          <w:tcPr>
            <w:tcW w:w="350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M-06</w:t>
            </w:r>
          </w:p>
        </w:tc>
        <w:tc>
          <w:tcPr>
            <w:tcW w:w="131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Diarised ASR (boardroom)</w:t>
            </w:r>
          </w:p>
        </w:tc>
        <w:tc>
          <w:tcPr>
            <w:tcW w:w="327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microsoft/VibeVoice-ASR-HF</w:t>
            </w:r>
            <w:r>
              <w:rPr/>
              <w:t xml:space="preserve"> (~18 GB)</w:t>
            </w:r>
          </w:p>
        </w:tc>
        <w:tc>
          <w:tcPr>
            <w:tcW w:w="203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Microsoft</w:t>
            </w:r>
          </w:p>
        </w:tc>
        <w:tc>
          <w:tcPr>
            <w:tcW w:w="219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HF Hub → </w:t>
            </w:r>
            <w:r>
              <w:rPr>
                <w:rStyle w:val="SourceText"/>
              </w:rPr>
              <w:t>echomind_data:/data/hf_cache</w:t>
            </w:r>
            <w:r>
              <w:rPr/>
              <w:t xml:space="preserve"> via prepare</w:t>
            </w:r>
          </w:p>
        </w:tc>
        <w:tc>
          <w:tcPr>
            <w:tcW w:w="117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Yes — by name</w:t>
            </w:r>
          </w:p>
        </w:tc>
        <w:tc>
          <w:tcPr>
            <w:tcW w:w="188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</w:t>
            </w:r>
          </w:p>
        </w:tc>
        <w:tc>
          <w:tcPr>
            <w:tcW w:w="81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☐</w:t>
            </w:r>
          </w:p>
        </w:tc>
      </w:tr>
      <w:tr>
        <w:trPr/>
        <w:tc>
          <w:tcPr>
            <w:tcW w:w="350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M-07</w:t>
            </w:r>
          </w:p>
        </w:tc>
        <w:tc>
          <w:tcPr>
            <w:tcW w:w="131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TTS (default)</w:t>
            </w:r>
          </w:p>
        </w:tc>
        <w:tc>
          <w:tcPr>
            <w:tcW w:w="327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Piper </w:t>
            </w:r>
            <w:r>
              <w:rPr>
                <w:rStyle w:val="SourceText"/>
              </w:rPr>
              <w:t>en_US-lessac-medium</w:t>
            </w:r>
          </w:p>
        </w:tc>
        <w:tc>
          <w:tcPr>
            <w:tcW w:w="203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Rhasspy</w:t>
            </w:r>
          </w:p>
        </w:tc>
        <w:tc>
          <w:tcPr>
            <w:tcW w:w="219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wget</w:t>
            </w:r>
            <w:r>
              <w:rPr/>
              <w:t xml:space="preserve"> from </w:t>
            </w:r>
            <w:r>
              <w:rPr>
                <w:rStyle w:val="SourceText"/>
              </w:rPr>
              <w:t>huggingface.co/rhasspy/piper-voices</w:t>
            </w:r>
            <w:r>
              <w:rPr/>
              <w:t xml:space="preserve"> at build (</w:t>
            </w:r>
            <w:r>
              <w:rPr>
                <w:rStyle w:val="SourceText"/>
              </w:rPr>
              <w:t>voice/Dockerfile:66-67</w:t>
            </w:r>
            <w:r>
              <w:rPr/>
              <w:t>)</w:t>
            </w:r>
          </w:p>
        </w:tc>
        <w:tc>
          <w:tcPr>
            <w:tcW w:w="117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By URL</w:t>
            </w:r>
          </w:p>
        </w:tc>
        <w:tc>
          <w:tcPr>
            <w:tcW w:w="188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</w:t>
            </w:r>
          </w:p>
        </w:tc>
        <w:tc>
          <w:tcPr>
            <w:tcW w:w="81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☐</w:t>
            </w:r>
          </w:p>
        </w:tc>
      </w:tr>
      <w:tr>
        <w:trPr/>
        <w:tc>
          <w:tcPr>
            <w:tcW w:w="350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M-08</w:t>
            </w:r>
          </w:p>
        </w:tc>
        <w:tc>
          <w:tcPr>
            <w:tcW w:w="131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TTS (additional voices)</w:t>
            </w:r>
          </w:p>
        </w:tc>
        <w:tc>
          <w:tcPr>
            <w:tcW w:w="327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en_US-{john,kusal,joe,amy}-medium</w:t>
            </w:r>
          </w:p>
        </w:tc>
        <w:tc>
          <w:tcPr>
            <w:tcW w:w="203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Rhasspy</w:t>
            </w:r>
          </w:p>
        </w:tc>
        <w:tc>
          <w:tcPr>
            <w:tcW w:w="219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Tracked in-repo at </w:t>
            </w:r>
            <w:r>
              <w:rPr>
                <w:rStyle w:val="SourceText"/>
              </w:rPr>
              <w:t>voice/voices/</w:t>
            </w:r>
            <w:r>
              <w:rPr/>
              <w:t xml:space="preserve"> (~302 MB), bind-mounted at </w:t>
            </w:r>
            <w:r>
              <w:rPr>
                <w:rStyle w:val="SourceText"/>
              </w:rPr>
              <w:t>docker-compose.yml:135</w:t>
            </w:r>
          </w:p>
        </w:tc>
        <w:tc>
          <w:tcPr>
            <w:tcW w:w="117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In-repo</w:t>
            </w:r>
          </w:p>
        </w:tc>
        <w:tc>
          <w:tcPr>
            <w:tcW w:w="188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</w:t>
            </w:r>
          </w:p>
        </w:tc>
        <w:tc>
          <w:tcPr>
            <w:tcW w:w="81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☐</w:t>
            </w:r>
          </w:p>
        </w:tc>
      </w:tr>
      <w:tr>
        <w:trPr/>
        <w:tc>
          <w:tcPr>
            <w:tcW w:w="350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M-09</w:t>
            </w:r>
          </w:p>
        </w:tc>
        <w:tc>
          <w:tcPr>
            <w:tcW w:w="131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TTS (option)</w:t>
            </w:r>
          </w:p>
        </w:tc>
        <w:tc>
          <w:tcPr>
            <w:tcW w:w="327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Kokoro-82M</w:t>
            </w:r>
          </w:p>
        </w:tc>
        <w:tc>
          <w:tcPr>
            <w:tcW w:w="203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hexgrad</w:t>
            </w:r>
          </w:p>
        </w:tc>
        <w:tc>
          <w:tcPr>
            <w:tcW w:w="219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pip install kokoro</w:t>
            </w:r>
            <w:r>
              <w:rPr/>
              <w:t xml:space="preserve"> (</w:t>
            </w:r>
            <w:r>
              <w:rPr>
                <w:rStyle w:val="SourceText"/>
              </w:rPr>
              <w:t>voice/Dockerfile:70-78</w:t>
            </w:r>
            <w:r>
              <w:rPr/>
              <w:t>)</w:t>
            </w:r>
          </w:p>
        </w:tc>
        <w:tc>
          <w:tcPr>
            <w:tcW w:w="117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No — unpinned</w:t>
            </w:r>
          </w:p>
        </w:tc>
        <w:tc>
          <w:tcPr>
            <w:tcW w:w="188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</w:t>
            </w:r>
          </w:p>
        </w:tc>
        <w:tc>
          <w:tcPr>
            <w:tcW w:w="81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☐</w:t>
            </w:r>
          </w:p>
        </w:tc>
      </w:tr>
      <w:tr>
        <w:trPr/>
        <w:tc>
          <w:tcPr>
            <w:tcW w:w="350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M-10</w:t>
            </w:r>
          </w:p>
        </w:tc>
        <w:tc>
          <w:tcPr>
            <w:tcW w:w="131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Cross-encoder reranker</w:t>
            </w:r>
          </w:p>
        </w:tc>
        <w:tc>
          <w:tcPr>
            <w:tcW w:w="327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cross-encoder/ms-marco-MiniLM-L-6-v2</w:t>
            </w:r>
          </w:p>
        </w:tc>
        <w:tc>
          <w:tcPr>
            <w:tcW w:w="203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Microsoft / sentence-transformers</w:t>
            </w:r>
          </w:p>
        </w:tc>
        <w:tc>
          <w:tcPr>
            <w:tcW w:w="219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HF Hub — </w:t>
            </w:r>
            <w:r>
              <w:rPr>
                <w:rStyle w:val="Strong"/>
              </w:rPr>
              <w:t>not pre-downloaded; see R-11</w:t>
            </w:r>
          </w:p>
        </w:tc>
        <w:tc>
          <w:tcPr>
            <w:tcW w:w="117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By name</w:t>
            </w:r>
          </w:p>
        </w:tc>
        <w:tc>
          <w:tcPr>
            <w:tcW w:w="188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</w:t>
            </w:r>
          </w:p>
        </w:tc>
        <w:tc>
          <w:tcPr>
            <w:tcW w:w="81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☐</w:t>
            </w:r>
          </w:p>
        </w:tc>
      </w:tr>
      <w:tr>
        <w:trPr/>
        <w:tc>
          <w:tcPr>
            <w:tcW w:w="350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M-11</w:t>
            </w:r>
          </w:p>
        </w:tc>
        <w:tc>
          <w:tcPr>
            <w:tcW w:w="1311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Image generation</w:t>
            </w:r>
          </w:p>
        </w:tc>
        <w:tc>
          <w:tcPr>
            <w:tcW w:w="3276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stabilityai/sdxl-turbo</w:t>
            </w:r>
          </w:p>
        </w:tc>
        <w:tc>
          <w:tcPr>
            <w:tcW w:w="2031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Stability AI</w:t>
            </w:r>
          </w:p>
        </w:tc>
        <w:tc>
          <w:tcPr>
            <w:tcW w:w="2196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HF Hub → </w:t>
            </w:r>
            <w:r>
              <w:rPr>
                <w:rStyle w:val="SourceText"/>
              </w:rPr>
              <w:t>/data/docgen_models</w:t>
            </w:r>
          </w:p>
        </w:tc>
        <w:tc>
          <w:tcPr>
            <w:tcW w:w="1176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Yes — by name</w:t>
            </w:r>
          </w:p>
        </w:tc>
        <w:tc>
          <w:tcPr>
            <w:tcW w:w="1881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</w:t>
            </w:r>
            <w:r>
              <w:rPr/>
              <w:t xml:space="preserve"> — note SDXL-Turbo has usage conditions that must be checked against commercial use</w:t>
            </w:r>
          </w:p>
        </w:tc>
        <w:tc>
          <w:tcPr>
            <w:tcW w:w="816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>
                <w:rStyle w:val="Strong"/>
              </w:rPr>
              <w:t>priority</w:t>
            </w:r>
          </w:p>
        </w:tc>
      </w:tr>
    </w:tbl>
    <w:p>
      <w:pPr>
        <w:pStyle w:val="Heading2"/>
        <w:bidi w:val="0"/>
        <w:jc w:val="left"/>
        <w:rPr/>
      </w:pPr>
      <w:r>
        <w:rPr/>
        <w:t>3. Base images and infrastructure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371"/>
        <w:gridCol w:w="2532"/>
        <w:gridCol w:w="939"/>
        <w:gridCol w:w="992"/>
        <w:gridCol w:w="6505"/>
      </w:tblGrid>
      <w:tr>
        <w:trPr>
          <w:tblHeader w:val="true"/>
        </w:trPr>
        <w:tc>
          <w:tcPr>
            <w:tcW w:w="371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#</w:t>
            </w:r>
          </w:p>
        </w:tc>
        <w:tc>
          <w:tcPr>
            <w:tcW w:w="2532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Item</w:t>
            </w:r>
          </w:p>
        </w:tc>
        <w:tc>
          <w:tcPr>
            <w:tcW w:w="939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Provider</w:t>
            </w:r>
          </w:p>
        </w:tc>
        <w:tc>
          <w:tcPr>
            <w:tcW w:w="992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Pin</w:t>
            </w:r>
          </w:p>
        </w:tc>
        <w:tc>
          <w:tcPr>
            <w:tcW w:w="6505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Risk note</w:t>
            </w:r>
          </w:p>
        </w:tc>
      </w:tr>
      <w:tr>
        <w:trPr/>
        <w:tc>
          <w:tcPr>
            <w:tcW w:w="371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I-01</w:t>
            </w:r>
          </w:p>
        </w:tc>
        <w:tc>
          <w:tcPr>
            <w:tcW w:w="25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nvcr.io/nvidia/pytorch:25.01-py3</w:t>
            </w:r>
          </w:p>
        </w:tc>
        <w:tc>
          <w:tcPr>
            <w:tcW w:w="93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NVIDIA NGC</w:t>
            </w:r>
          </w:p>
        </w:tc>
        <w:tc>
          <w:tcPr>
            <w:tcW w:w="99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Pinned tag</w:t>
            </w:r>
          </w:p>
        </w:tc>
        <w:tc>
          <w:tcPr>
            <w:tcW w:w="650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Backend and voice base</w:t>
            </w:r>
          </w:p>
        </w:tc>
      </w:tr>
      <w:tr>
        <w:trPr/>
        <w:tc>
          <w:tcPr>
            <w:tcW w:w="371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I-02</w:t>
            </w:r>
          </w:p>
        </w:tc>
        <w:tc>
          <w:tcPr>
            <w:tcW w:w="25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nvcr.io/nvidia/tensorrt-llm/release:1.2.0rc6</w:t>
            </w:r>
          </w:p>
        </w:tc>
        <w:tc>
          <w:tcPr>
            <w:tcW w:w="93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NVIDIA NGC</w:t>
            </w:r>
          </w:p>
        </w:tc>
        <w:tc>
          <w:tcPr>
            <w:tcW w:w="99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Pinned tag</w:t>
            </w:r>
          </w:p>
        </w:tc>
        <w:tc>
          <w:tcPr>
            <w:tcW w:w="650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A release </w:t>
            </w:r>
            <w:r>
              <w:rPr>
                <w:rStyle w:val="Emphasis"/>
              </w:rPr>
              <w:t>candidate</w:t>
            </w:r>
            <w:r>
              <w:rPr/>
              <w:t xml:space="preserve"> in production use</w:t>
            </w:r>
          </w:p>
        </w:tc>
      </w:tr>
      <w:tr>
        <w:trPr/>
        <w:tc>
          <w:tcPr>
            <w:tcW w:w="371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I-03</w:t>
            </w:r>
          </w:p>
        </w:tc>
        <w:tc>
          <w:tcPr>
            <w:tcW w:w="25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ollama/ollama:latest</w:t>
            </w:r>
          </w:p>
        </w:tc>
        <w:tc>
          <w:tcPr>
            <w:tcW w:w="93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Docker Hub</w:t>
            </w:r>
          </w:p>
        </w:tc>
        <w:tc>
          <w:tcPr>
            <w:tcW w:w="99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Unpinned</w:t>
            </w:r>
          </w:p>
        </w:tc>
        <w:tc>
          <w:tcPr>
            <w:tcW w:w="650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docker/ollama/Dockerfile:2</w:t>
            </w:r>
            <w:r>
              <w:rPr/>
              <w:t xml:space="preserve"> — rebuild is non-reproducible</w:t>
            </w:r>
          </w:p>
        </w:tc>
      </w:tr>
      <w:tr>
        <w:trPr/>
        <w:tc>
          <w:tcPr>
            <w:tcW w:w="371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I-04</w:t>
            </w:r>
          </w:p>
        </w:tc>
        <w:tc>
          <w:tcPr>
            <w:tcW w:w="25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cloudflare/cloudflared:latest</w:t>
            </w:r>
          </w:p>
        </w:tc>
        <w:tc>
          <w:tcPr>
            <w:tcW w:w="93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Docker Hub</w:t>
            </w:r>
          </w:p>
        </w:tc>
        <w:tc>
          <w:tcPr>
            <w:tcW w:w="99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Unpinned</w:t>
            </w:r>
          </w:p>
        </w:tc>
        <w:tc>
          <w:tcPr>
            <w:tcW w:w="650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docker-compose.yml:252</w:t>
            </w:r>
          </w:p>
        </w:tc>
      </w:tr>
      <w:tr>
        <w:trPr/>
        <w:tc>
          <w:tcPr>
            <w:tcW w:w="371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I-05</w:t>
            </w:r>
          </w:p>
        </w:tc>
        <w:tc>
          <w:tcPr>
            <w:tcW w:w="25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node:20-alpine</w:t>
            </w:r>
            <w:r>
              <w:rPr/>
              <w:t xml:space="preserve">, </w:t>
            </w:r>
            <w:r>
              <w:rPr>
                <w:rStyle w:val="SourceText"/>
              </w:rPr>
              <w:t>nginx:1.27-alpine</w:t>
            </w:r>
          </w:p>
        </w:tc>
        <w:tc>
          <w:tcPr>
            <w:tcW w:w="93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Docker Hub</w:t>
            </w:r>
          </w:p>
        </w:tc>
        <w:tc>
          <w:tcPr>
            <w:tcW w:w="99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Pinned tags</w:t>
            </w:r>
          </w:p>
        </w:tc>
        <w:tc>
          <w:tcPr>
            <w:tcW w:w="650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Frontend build and serve</w:t>
            </w:r>
          </w:p>
        </w:tc>
      </w:tr>
      <w:tr>
        <w:trPr/>
        <w:tc>
          <w:tcPr>
            <w:tcW w:w="371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I-06</w:t>
            </w:r>
          </w:p>
        </w:tc>
        <w:tc>
          <w:tcPr>
            <w:tcW w:w="2532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Ubuntu APT packages via </w:t>
            </w:r>
            <w:r>
              <w:rPr>
                <w:rStyle w:val="SourceText"/>
              </w:rPr>
              <w:t>mirrors.mit.edu</w:t>
            </w:r>
          </w:p>
        </w:tc>
        <w:tc>
          <w:tcPr>
            <w:tcW w:w="939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MIT</w:t>
            </w:r>
          </w:p>
        </w:tc>
        <w:tc>
          <w:tcPr>
            <w:tcW w:w="992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n/a</w:t>
            </w:r>
          </w:p>
        </w:tc>
        <w:tc>
          <w:tcPr>
            <w:tcW w:w="6505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backend/Dockerfile:7</w:t>
            </w:r>
            <w:r>
              <w:rPr/>
              <w:t xml:space="preserve"> and </w:t>
            </w:r>
            <w:r>
              <w:rPr>
                <w:rStyle w:val="SourceText"/>
              </w:rPr>
              <w:t>docker/ollama/Dockerfile:6</w:t>
            </w:r>
            <w:r>
              <w:rPr/>
              <w:t xml:space="preserve"> rewrite </w:t>
            </w:r>
            <w:r>
              <w:rPr>
                <w:rStyle w:val="SourceText"/>
              </w:rPr>
              <w:t>ports.ubuntu.com</w:t>
            </w:r>
            <w:r>
              <w:rPr/>
              <w:t xml:space="preserve"> → the MIT mirror to work around transient mirror-sync failures. An </w:t>
            </w:r>
            <w:r>
              <w:rPr>
                <w:rStyle w:val="Strong"/>
              </w:rPr>
              <w:t>undeclared third-party dependency in the build path</w:t>
            </w:r>
            <w:r>
              <w:rPr/>
              <w:t xml:space="preserve"> — record it or remove it.</w:t>
            </w:r>
          </w:p>
        </w:tc>
      </w:tr>
    </w:tbl>
    <w:p>
      <w:pPr>
        <w:pStyle w:val="Heading2"/>
        <w:bidi w:val="0"/>
        <w:jc w:val="left"/>
        <w:rPr/>
      </w:pPr>
      <w:r>
        <w:rPr/>
        <w:t>4. Services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374"/>
        <w:gridCol w:w="1129"/>
        <w:gridCol w:w="3088"/>
        <w:gridCol w:w="1442"/>
        <w:gridCol w:w="5306"/>
      </w:tblGrid>
      <w:tr>
        <w:trPr>
          <w:tblHeader w:val="true"/>
        </w:trPr>
        <w:tc>
          <w:tcPr>
            <w:tcW w:w="374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#</w:t>
            </w:r>
          </w:p>
        </w:tc>
        <w:tc>
          <w:tcPr>
            <w:tcW w:w="1129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Provider</w:t>
            </w:r>
          </w:p>
        </w:tc>
        <w:tc>
          <w:tcPr>
            <w:tcW w:w="3088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Used for</w:t>
            </w:r>
          </w:p>
        </w:tc>
        <w:tc>
          <w:tcPr>
            <w:tcW w:w="1442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Dependency type</w:t>
            </w:r>
          </w:p>
        </w:tc>
        <w:tc>
          <w:tcPr>
            <w:tcW w:w="5306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Notes</w:t>
            </w:r>
          </w:p>
        </w:tc>
      </w:tr>
      <w:tr>
        <w:trPr/>
        <w:tc>
          <w:tcPr>
            <w:tcW w:w="37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S-01</w:t>
            </w:r>
          </w:p>
        </w:tc>
        <w:tc>
          <w:tcPr>
            <w:tcW w:w="112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Cloudflare</w:t>
            </w:r>
          </w:p>
        </w:tc>
        <w:tc>
          <w:tcPr>
            <w:tcW w:w="308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Zero Trust Tunnel and Access for the public reference instance </w:t>
            </w:r>
            <w:r>
              <w:rPr>
                <w:rStyle w:val="SourceText"/>
              </w:rPr>
              <w:t>echomind-ajace.com</w:t>
            </w:r>
          </w:p>
        </w:tc>
        <w:tc>
          <w:tcPr>
            <w:tcW w:w="144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Run-time, public instance only</w:t>
            </w:r>
          </w:p>
        </w:tc>
        <w:tc>
          <w:tcPr>
            <w:tcW w:w="530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Access is specified as the login wall for the public instance (</w:t>
            </w:r>
            <w:r>
              <w:rPr>
                <w:rStyle w:val="SourceText"/>
              </w:rPr>
              <w:t>docs/PUBLIC_DEPLOYMENT.md</w:t>
            </w:r>
            <w:r>
              <w:rPr/>
              <w:t xml:space="preserve"> step 4, "MANDATORY") but is </w:t>
            </w:r>
            <w:r>
              <w:rPr>
                <w:rStyle w:val="Strong"/>
              </w:rPr>
              <w:t>not currently configured</w:t>
            </w:r>
            <w:r>
              <w:rPr/>
              <w:t xml:space="preserve"> — only the Tunnel is in use; the instance is gated by application login instead (verified 2026-10-06; </w:t>
            </w:r>
            <w:r>
              <w:rPr>
                <w:rStyle w:val="SourceText"/>
              </w:rPr>
              <w:t>REG-04</w:t>
            </w:r>
            <w:r>
              <w:rPr/>
              <w:t xml:space="preserve"> NC-2026-009). Not used in customer on-premises deployments.</w:t>
            </w:r>
          </w:p>
        </w:tc>
      </w:tr>
      <w:tr>
        <w:trPr/>
        <w:tc>
          <w:tcPr>
            <w:tcW w:w="37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S-02</w:t>
            </w:r>
          </w:p>
        </w:tc>
        <w:tc>
          <w:tcPr>
            <w:tcW w:w="112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Hugging Face Hub</w:t>
            </w:r>
          </w:p>
        </w:tc>
        <w:tc>
          <w:tcPr>
            <w:tcW w:w="308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All model weights</w:t>
            </w:r>
          </w:p>
        </w:tc>
        <w:tc>
          <w:tcPr>
            <w:tcW w:w="144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Build-time / prepare-time only</w:t>
            </w:r>
          </w:p>
        </w:tc>
        <w:tc>
          <w:tcPr>
            <w:tcW w:w="530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Offline at run time (</w:t>
            </w:r>
            <w:r>
              <w:rPr>
                <w:rStyle w:val="SourceText"/>
              </w:rPr>
              <w:t>HF_HUB_OFFLINE=1</w:t>
            </w:r>
            <w:r>
              <w:rPr/>
              <w:t>)</w:t>
            </w:r>
          </w:p>
        </w:tc>
      </w:tr>
      <w:tr>
        <w:trPr/>
        <w:tc>
          <w:tcPr>
            <w:tcW w:w="37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S-03</w:t>
            </w:r>
          </w:p>
        </w:tc>
        <w:tc>
          <w:tcPr>
            <w:tcW w:w="112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GitHub</w:t>
            </w:r>
          </w:p>
        </w:tc>
        <w:tc>
          <w:tcPr>
            <w:tcW w:w="308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Source hosting </w:t>
            </w:r>
            <w:r>
              <w:rPr>
                <w:rStyle w:val="Strong"/>
              </w:rPr>
              <w:t>and</w:t>
            </w:r>
            <w:r>
              <w:rPr/>
              <w:t xml:space="preserve"> the build-time source of </w:t>
            </w:r>
            <w:r>
              <w:rPr>
                <w:rStyle w:val="SourceText"/>
              </w:rPr>
              <w:t>NVIDIA/NeMo</w:t>
            </w:r>
            <w:r>
              <w:rPr/>
              <w:t xml:space="preserve"> (pinned to commit </w:t>
            </w:r>
            <w:r>
              <w:rPr>
                <w:rStyle w:val="SourceText"/>
              </w:rPr>
              <w:t>60ce9407</w:t>
            </w:r>
            <w:r>
              <w:rPr/>
              <w:t xml:space="preserve"> since 2026-09-22)</w:t>
            </w:r>
          </w:p>
        </w:tc>
        <w:tc>
          <w:tcPr>
            <w:tcW w:w="144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Both</w:t>
            </w:r>
          </w:p>
        </w:tc>
        <w:tc>
          <w:tcPr>
            <w:tcW w:w="530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Risk R-01 (moving </w:t>
            </w:r>
            <w:r>
              <w:rPr>
                <w:rStyle w:val="SourceText"/>
              </w:rPr>
              <w:t>@main</w:t>
            </w:r>
            <w:r>
              <w:rPr/>
              <w:t xml:space="preserve"> branch) closed by the pin, commit </w:t>
            </w:r>
            <w:r>
              <w:rPr>
                <w:rStyle w:val="SourceText"/>
              </w:rPr>
              <w:t>51fd3bc</w:t>
            </w:r>
          </w:p>
        </w:tc>
      </w:tr>
      <w:tr>
        <w:trPr/>
        <w:tc>
          <w:tcPr>
            <w:tcW w:w="37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S-04</w:t>
            </w:r>
          </w:p>
        </w:tc>
        <w:tc>
          <w:tcPr>
            <w:tcW w:w="112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Ollama registry</w:t>
            </w:r>
          </w:p>
        </w:tc>
        <w:tc>
          <w:tcPr>
            <w:tcW w:w="308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Embedding and fallback chat models</w:t>
            </w:r>
          </w:p>
        </w:tc>
        <w:tc>
          <w:tcPr>
            <w:tcW w:w="144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Prepare-time only</w:t>
            </w:r>
          </w:p>
        </w:tc>
        <w:tc>
          <w:tcPr>
            <w:tcW w:w="530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7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S-05</w:t>
            </w:r>
          </w:p>
        </w:tc>
        <w:tc>
          <w:tcPr>
            <w:tcW w:w="112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NVIDIA NGC</w:t>
            </w:r>
          </w:p>
        </w:tc>
        <w:tc>
          <w:tcPr>
            <w:tcW w:w="308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Base images</w:t>
            </w:r>
          </w:p>
        </w:tc>
        <w:tc>
          <w:tcPr>
            <w:tcW w:w="144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Build-time</w:t>
            </w:r>
          </w:p>
        </w:tc>
        <w:tc>
          <w:tcPr>
            <w:tcW w:w="530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7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S-06</w:t>
            </w:r>
          </w:p>
        </w:tc>
        <w:tc>
          <w:tcPr>
            <w:tcW w:w="112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Docker Hub</w:t>
            </w:r>
          </w:p>
        </w:tc>
        <w:tc>
          <w:tcPr>
            <w:tcW w:w="308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Base images</w:t>
            </w:r>
          </w:p>
        </w:tc>
        <w:tc>
          <w:tcPr>
            <w:tcW w:w="144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Build-time</w:t>
            </w:r>
          </w:p>
        </w:tc>
        <w:tc>
          <w:tcPr>
            <w:tcW w:w="530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Two images unpinned (I-03, I-04)</w:t>
            </w:r>
          </w:p>
        </w:tc>
      </w:tr>
      <w:tr>
        <w:trPr/>
        <w:tc>
          <w:tcPr>
            <w:tcW w:w="374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S-07</w:t>
            </w:r>
          </w:p>
        </w:tc>
        <w:tc>
          <w:tcPr>
            <w:tcW w:w="1129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Let's Encrypt</w:t>
            </w:r>
          </w:p>
        </w:tc>
        <w:tc>
          <w:tcPr>
            <w:tcW w:w="3088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Optional trusted TLS certificate</w:t>
            </w:r>
          </w:p>
        </w:tc>
        <w:tc>
          <w:tcPr>
            <w:tcW w:w="1442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Optional</w:t>
            </w:r>
          </w:p>
        </w:tc>
        <w:tc>
          <w:tcPr>
            <w:tcW w:w="5306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docs/HTTPS_TRUSTED_CERTIFICATE.md</w:t>
            </w:r>
          </w:p>
        </w:tc>
      </w:tr>
    </w:tbl>
    <w:p>
      <w:pPr>
        <w:pStyle w:val="BlockQuotation"/>
        <w:bidi w:val="0"/>
        <w:jc w:val="left"/>
        <w:rPr/>
      </w:pPr>
      <w:r>
        <w:rPr>
          <w:rStyle w:val="Strong"/>
        </w:rPr>
        <w:t>No cloud AI inference provider is used.</w:t>
      </w:r>
      <w:r>
        <w:rPr/>
        <w:t xml:space="preserve"> The only cloud-inference path in the codebase is </w:t>
      </w:r>
      <w:r>
        <w:rPr>
          <w:rStyle w:val="SourceText"/>
        </w:rPr>
        <w:t>DOCGEN_IMAGE_BACKEND=nim</w:t>
      </w:r>
      <w:r>
        <w:rPr/>
        <w:t xml:space="preserve">, which is </w:t>
      </w:r>
      <w:r>
        <w:rPr>
          <w:rStyle w:val="Strong"/>
        </w:rPr>
        <w:t>not enabled</w:t>
      </w:r>
      <w:r>
        <w:rPr/>
        <w:t xml:space="preserve">; production uses on-device </w:t>
      </w:r>
      <w:r>
        <w:rPr>
          <w:rStyle w:val="SourceText"/>
        </w:rPr>
        <w:t>diffusers</w:t>
      </w:r>
      <w:r>
        <w:rPr/>
        <w:t>. This is a material claim in customer conversations and it is worth keeping true and re-verifying at each management review.</w:t>
      </w:r>
    </w:p>
    <w:p>
      <w:pPr>
        <w:pStyle w:val="Heading2"/>
        <w:bidi w:val="0"/>
        <w:jc w:val="left"/>
        <w:rPr/>
      </w:pPr>
      <w:r>
        <w:rPr/>
        <w:t>5. Software dependency pinning summary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2049"/>
        <w:gridCol w:w="741"/>
        <w:gridCol w:w="621"/>
        <w:gridCol w:w="4035"/>
        <w:gridCol w:w="3893"/>
      </w:tblGrid>
      <w:tr>
        <w:trPr>
          <w:tblHeader w:val="true"/>
        </w:trPr>
        <w:tc>
          <w:tcPr>
            <w:tcW w:w="2049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Manifest</w:t>
            </w:r>
          </w:p>
        </w:tc>
        <w:tc>
          <w:tcPr>
            <w:tcW w:w="741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Entries</w:t>
            </w:r>
          </w:p>
        </w:tc>
        <w:tc>
          <w:tcPr>
            <w:tcW w:w="621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Exact</w:t>
            </w:r>
          </w:p>
        </w:tc>
        <w:tc>
          <w:tcPr>
            <w:tcW w:w="4035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Ranged</w:t>
            </w:r>
          </w:p>
        </w:tc>
        <w:tc>
          <w:tcPr>
            <w:tcW w:w="3893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Unpinned</w:t>
            </w:r>
          </w:p>
        </w:tc>
      </w:tr>
      <w:tr>
        <w:trPr/>
        <w:tc>
          <w:tcPr>
            <w:tcW w:w="204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backend/requirements.txt</w:t>
            </w:r>
          </w:p>
        </w:tc>
        <w:tc>
          <w:tcPr>
            <w:tcW w:w="74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</w:t>
            </w:r>
          </w:p>
        </w:tc>
        <w:tc>
          <w:tcPr>
            <w:tcW w:w="62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14</w:t>
            </w:r>
          </w:p>
        </w:tc>
        <w:tc>
          <w:tcPr>
            <w:tcW w:w="403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 (</w:t>
            </w:r>
            <w:r>
              <w:rPr>
                <w:rStyle w:val="SourceText"/>
              </w:rPr>
              <w:t>scipy</w:t>
            </w:r>
            <w:r>
              <w:rPr/>
              <w:t xml:space="preserve">, </w:t>
            </w:r>
            <w:r>
              <w:rPr>
                <w:rStyle w:val="SourceText"/>
              </w:rPr>
              <w:t>huggingface-hub</w:t>
            </w:r>
            <w:r>
              <w:rPr/>
              <w:t xml:space="preserve">, </w:t>
            </w:r>
            <w:r>
              <w:rPr>
                <w:rStyle w:val="SourceText"/>
              </w:rPr>
              <w:t>reportlab</w:t>
            </w:r>
            <w:r>
              <w:rPr/>
              <w:t xml:space="preserve">, </w:t>
            </w:r>
            <w:r>
              <w:rPr>
                <w:rStyle w:val="SourceText"/>
              </w:rPr>
              <w:t>diffusers</w:t>
            </w:r>
            <w:r>
              <w:rPr/>
              <w:t xml:space="preserve">, </w:t>
            </w:r>
            <w:r>
              <w:rPr>
                <w:rStyle w:val="SourceText"/>
              </w:rPr>
              <w:t>sentence-transformers</w:t>
            </w:r>
            <w:r>
              <w:rPr/>
              <w:t xml:space="preserve">, and </w:t>
            </w:r>
            <w:r>
              <w:rPr>
                <w:rStyle w:val="SourceText"/>
              </w:rPr>
              <w:t>accelerate</w:t>
            </w:r>
            <w:r>
              <w:rPr/>
              <w:t xml:space="preserve"> </w:t>
            </w:r>
            <w:r>
              <w:rPr>
                <w:rStyle w:val="Strong"/>
              </w:rPr>
              <w:t>with no upper bound</w:t>
            </w:r>
            <w:r>
              <w:rPr/>
              <w:t>)</w:t>
            </w:r>
          </w:p>
        </w:tc>
        <w:tc>
          <w:tcPr>
            <w:tcW w:w="389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204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voice/requirements.txt</w:t>
            </w:r>
          </w:p>
        </w:tc>
        <w:tc>
          <w:tcPr>
            <w:tcW w:w="74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9</w:t>
            </w:r>
          </w:p>
        </w:tc>
        <w:tc>
          <w:tcPr>
            <w:tcW w:w="62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</w:t>
            </w:r>
          </w:p>
        </w:tc>
        <w:tc>
          <w:tcPr>
            <w:tcW w:w="403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 (</w:t>
            </w:r>
            <w:r>
              <w:rPr>
                <w:rStyle w:val="SourceText"/>
              </w:rPr>
              <w:t>piper-tts</w:t>
            </w:r>
            <w:r>
              <w:rPr/>
              <w:t xml:space="preserve">; </w:t>
            </w:r>
            <w:r>
              <w:rPr>
                <w:rStyle w:val="SourceText"/>
              </w:rPr>
              <w:t>huggingface_hub</w:t>
            </w:r>
            <w:r>
              <w:rPr/>
              <w:t xml:space="preserve"> </w:t>
            </w:r>
            <w:r>
              <w:rPr>
                <w:rStyle w:val="Strong"/>
              </w:rPr>
              <w:t>no upper bound</w:t>
            </w:r>
            <w:r>
              <w:rPr/>
              <w:t>)</w:t>
            </w:r>
          </w:p>
        </w:tc>
        <w:tc>
          <w:tcPr>
            <w:tcW w:w="389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204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frontend/package.json</w:t>
            </w:r>
          </w:p>
        </w:tc>
        <w:tc>
          <w:tcPr>
            <w:tcW w:w="74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all</w:t>
            </w:r>
          </w:p>
        </w:tc>
        <w:tc>
          <w:tcPr>
            <w:tcW w:w="62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</w:t>
            </w:r>
          </w:p>
        </w:tc>
        <w:tc>
          <w:tcPr>
            <w:tcW w:w="403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all caret-ranged</w:t>
            </w:r>
          </w:p>
        </w:tc>
        <w:tc>
          <w:tcPr>
            <w:tcW w:w="389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Reproducibility rests on </w:t>
            </w:r>
            <w:r>
              <w:rPr>
                <w:rStyle w:val="SourceText"/>
              </w:rPr>
              <w:t>package-lock.json</w:t>
            </w:r>
            <w:r>
              <w:rPr/>
              <w:t xml:space="preserve"> + </w:t>
            </w:r>
            <w:r>
              <w:rPr>
                <w:rStyle w:val="SourceText"/>
              </w:rPr>
              <w:t>npm ci</w:t>
            </w:r>
          </w:p>
        </w:tc>
      </w:tr>
      <w:tr>
        <w:trPr/>
        <w:tc>
          <w:tcPr>
            <w:tcW w:w="2049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Dockerfile direct installs</w:t>
            </w:r>
          </w:p>
        </w:tc>
        <w:tc>
          <w:tcPr>
            <w:tcW w:w="741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  <w:tc>
          <w:tcPr>
            <w:tcW w:w="621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  <w:tc>
          <w:tcPr>
            <w:tcW w:w="4035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  <w:tc>
          <w:tcPr>
            <w:tcW w:w="3893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nemo_toolkit[asr] @ git+…@60ce9407</w:t>
            </w:r>
            <w:r>
              <w:rPr/>
              <w:t xml:space="preserve"> (pinned commit since </w:t>
            </w:r>
            <w:r>
              <w:rPr>
                <w:rStyle w:val="SourceText"/>
              </w:rPr>
              <w:t>51fd3bc</w:t>
            </w:r>
            <w:r>
              <w:rPr/>
              <w:t xml:space="preserve">; was </w:t>
            </w:r>
            <w:r>
              <w:rPr>
                <w:rStyle w:val="SourceText"/>
              </w:rPr>
              <w:t>@main</w:t>
            </w:r>
            <w:r>
              <w:rPr/>
              <w:t xml:space="preserve">), </w:t>
            </w:r>
            <w:r>
              <w:rPr>
                <w:rStyle w:val="SourceText"/>
              </w:rPr>
              <w:t>torchvision</w:t>
            </w:r>
            <w:r>
              <w:rPr/>
              <w:t xml:space="preserve"> (</w:t>
            </w:r>
            <w:r>
              <w:rPr>
                <w:rStyle w:val="SourceText"/>
              </w:rPr>
              <w:t>--upgrade</w:t>
            </w:r>
            <w:r>
              <w:rPr/>
              <w:t xml:space="preserve">), </w:t>
            </w:r>
            <w:r>
              <w:rPr>
                <w:rStyle w:val="SourceText"/>
              </w:rPr>
              <w:t>kokoro</w:t>
            </w:r>
            <w:r>
              <w:rPr/>
              <w:t xml:space="preserve">, </w:t>
            </w:r>
            <w:r>
              <w:rPr>
                <w:rStyle w:val="SourceText"/>
              </w:rPr>
              <w:t>soundfile</w:t>
            </w:r>
          </w:p>
        </w:tc>
      </w:tr>
    </w:tbl>
    <w:p>
      <w:pPr>
        <w:pStyle w:val="Heading2"/>
        <w:bidi w:val="0"/>
        <w:jc w:val="left"/>
        <w:rPr/>
      </w:pPr>
      <w:r>
        <w:rPr/>
        <w:t>6. Documents of external origin (7.5.3.2)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3468"/>
        <w:gridCol w:w="1369"/>
        <w:gridCol w:w="1643"/>
        <w:gridCol w:w="4859"/>
      </w:tblGrid>
      <w:tr>
        <w:trPr>
          <w:tblHeader w:val="true"/>
        </w:trPr>
        <w:tc>
          <w:tcPr>
            <w:tcW w:w="3468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Document</w:t>
            </w:r>
          </w:p>
        </w:tc>
        <w:tc>
          <w:tcPr>
            <w:tcW w:w="1369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Version / date in use</w:t>
            </w:r>
          </w:p>
        </w:tc>
        <w:tc>
          <w:tcPr>
            <w:tcW w:w="1643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Held where</w:t>
            </w:r>
          </w:p>
        </w:tc>
        <w:tc>
          <w:tcPr>
            <w:tcW w:w="4859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Notes</w:t>
            </w:r>
          </w:p>
        </w:tc>
      </w:tr>
      <w:tr>
        <w:trPr/>
        <w:tc>
          <w:tcPr>
            <w:tcW w:w="3468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ISO 9001:2015 </w:t>
            </w:r>
            <w:r>
              <w:rPr>
                <w:rStyle w:val="Emphasis"/>
              </w:rPr>
              <w:t>Quality management systems — Requirements</w:t>
            </w:r>
          </w:p>
        </w:tc>
        <w:tc>
          <w:tcPr>
            <w:tcW w:w="136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2015</w:t>
            </w:r>
          </w:p>
        </w:tc>
        <w:tc>
          <w:tcPr>
            <w:tcW w:w="164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Not held in-repo (copyright)</w:t>
            </w:r>
          </w:p>
        </w:tc>
        <w:tc>
          <w:tcPr>
            <w:tcW w:w="485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The QMS is written against it; a licensed copy must be available to the auditor and the document owner</w:t>
            </w:r>
          </w:p>
        </w:tc>
      </w:tr>
      <w:tr>
        <w:trPr/>
        <w:tc>
          <w:tcPr>
            <w:tcW w:w="3468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Model cards and licences for M-01 … M-11</w:t>
            </w:r>
          </w:p>
        </w:tc>
        <w:tc>
          <w:tcPr>
            <w:tcW w:w="136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Per §2</w:t>
            </w:r>
          </w:p>
        </w:tc>
        <w:tc>
          <w:tcPr>
            <w:tcW w:w="164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Not held</w:t>
            </w:r>
          </w:p>
        </w:tc>
        <w:tc>
          <w:tcPr>
            <w:tcW w:w="485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Gap</w:t>
            </w:r>
            <w:r>
              <w:rPr/>
              <w:t xml:space="preserve"> — see §7</w:t>
            </w:r>
          </w:p>
        </w:tc>
      </w:tr>
      <w:tr>
        <w:trPr/>
        <w:tc>
          <w:tcPr>
            <w:tcW w:w="3468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Third-party package licences</w:t>
            </w:r>
          </w:p>
        </w:tc>
        <w:tc>
          <w:tcPr>
            <w:tcW w:w="1369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Per §5</w:t>
            </w:r>
          </w:p>
        </w:tc>
        <w:tc>
          <w:tcPr>
            <w:tcW w:w="1643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Not held</w:t>
            </w:r>
          </w:p>
        </w:tc>
        <w:tc>
          <w:tcPr>
            <w:tcW w:w="4859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Gap</w:t>
            </w:r>
            <w:r>
              <w:rPr/>
              <w:t xml:space="preserve"> — no SBOM</w:t>
            </w:r>
          </w:p>
        </w:tc>
      </w:tr>
    </w:tbl>
    <w:p>
      <w:pPr>
        <w:pStyle w:val="Heading2"/>
        <w:bidi w:val="0"/>
        <w:jc w:val="left"/>
        <w:rPr/>
      </w:pPr>
      <w:r>
        <w:rPr/>
        <w:t>7. Open actions on this register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39"/>
        <w:gridCol w:w="5898"/>
        <w:gridCol w:w="3372"/>
        <w:gridCol w:w="856"/>
        <w:gridCol w:w="774"/>
      </w:tblGrid>
      <w:tr>
        <w:trPr>
          <w:tblHeader w:val="true"/>
        </w:trPr>
        <w:tc>
          <w:tcPr>
            <w:tcW w:w="439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Ref</w:t>
            </w:r>
          </w:p>
        </w:tc>
        <w:tc>
          <w:tcPr>
            <w:tcW w:w="5898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Action</w:t>
            </w:r>
          </w:p>
        </w:tc>
        <w:tc>
          <w:tcPr>
            <w:tcW w:w="3372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Priority</w:t>
            </w:r>
          </w:p>
        </w:tc>
        <w:tc>
          <w:tcPr>
            <w:tcW w:w="856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Owner</w:t>
            </w:r>
          </w:p>
        </w:tc>
        <w:tc>
          <w:tcPr>
            <w:tcW w:w="774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Due</w:t>
            </w:r>
          </w:p>
        </w:tc>
      </w:tr>
      <w:tr>
        <w:trPr/>
        <w:tc>
          <w:tcPr>
            <w:tcW w:w="43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A-1</w:t>
            </w:r>
          </w:p>
        </w:tc>
        <w:tc>
          <w:tcPr>
            <w:tcW w:w="589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Complete the licence column for all eleven models; record each licence's commercial-use and attribution obligations</w:t>
            </w:r>
          </w:p>
        </w:tc>
        <w:tc>
          <w:tcPr>
            <w:tcW w:w="337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High</w:t>
            </w:r>
            <w:r>
              <w:rPr/>
              <w:t xml:space="preserve"> — the product is sold commercially into regulated sectors</w:t>
            </w:r>
          </w:p>
        </w:tc>
        <w:tc>
          <w:tcPr>
            <w:tcW w:w="85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</w:t>
            </w:r>
          </w:p>
        </w:tc>
        <w:tc>
          <w:tcPr>
            <w:tcW w:w="77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</w:t>
            </w:r>
          </w:p>
        </w:tc>
      </w:tr>
      <w:tr>
        <w:trPr/>
        <w:tc>
          <w:tcPr>
            <w:tcW w:w="43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A-2</w:t>
            </w:r>
          </w:p>
        </w:tc>
        <w:tc>
          <w:tcPr>
            <w:tcW w:w="589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Confirm the Nemotron gated-model terms (M-04) permit redistribution baked into a customer-delivered image</w:t>
            </w:r>
          </w:p>
        </w:tc>
        <w:tc>
          <w:tcPr>
            <w:tcW w:w="337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High</w:t>
            </w:r>
            <w:r>
              <w:rPr/>
              <w:t xml:space="preserve"> — the model is baked into images shipped to customers</w:t>
            </w:r>
          </w:p>
        </w:tc>
        <w:tc>
          <w:tcPr>
            <w:tcW w:w="85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</w:t>
            </w:r>
          </w:p>
        </w:tc>
        <w:tc>
          <w:tcPr>
            <w:tcW w:w="77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</w:t>
            </w:r>
          </w:p>
        </w:tc>
      </w:tr>
      <w:tr>
        <w:trPr/>
        <w:tc>
          <w:tcPr>
            <w:tcW w:w="43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A-3</w:t>
            </w:r>
          </w:p>
        </w:tc>
        <w:tc>
          <w:tcPr>
            <w:tcW w:w="589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Confirm SDXL-Turbo (M-11) licence terms against commercial use</w:t>
            </w:r>
          </w:p>
        </w:tc>
        <w:tc>
          <w:tcPr>
            <w:tcW w:w="337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High</w:t>
            </w:r>
          </w:p>
        </w:tc>
        <w:tc>
          <w:tcPr>
            <w:tcW w:w="85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</w:t>
            </w:r>
          </w:p>
        </w:tc>
        <w:tc>
          <w:tcPr>
            <w:tcW w:w="77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</w:t>
            </w:r>
          </w:p>
        </w:tc>
      </w:tr>
      <w:tr>
        <w:trPr/>
        <w:tc>
          <w:tcPr>
            <w:tcW w:w="43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A-4</w:t>
            </w:r>
          </w:p>
        </w:tc>
        <w:tc>
          <w:tcPr>
            <w:tcW w:w="589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Add a </w:t>
            </w:r>
            <w:r>
              <w:rPr>
                <w:rStyle w:val="SourceText"/>
              </w:rPr>
              <w:t>LICENSE</w:t>
            </w:r>
            <w:r>
              <w:rPr/>
              <w:t xml:space="preserve"> and a </w:t>
            </w:r>
            <w:r>
              <w:rPr>
                <w:rStyle w:val="SourceText"/>
              </w:rPr>
              <w:t>NOTICE</w:t>
            </w:r>
            <w:r>
              <w:rPr/>
              <w:t xml:space="preserve"> file to the repository</w:t>
            </w:r>
          </w:p>
        </w:tc>
        <w:tc>
          <w:tcPr>
            <w:tcW w:w="337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High</w:t>
            </w:r>
          </w:p>
        </w:tc>
        <w:tc>
          <w:tcPr>
            <w:tcW w:w="85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</w:t>
            </w:r>
          </w:p>
        </w:tc>
        <w:tc>
          <w:tcPr>
            <w:tcW w:w="77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</w:t>
            </w:r>
          </w:p>
        </w:tc>
      </w:tr>
      <w:tr>
        <w:trPr/>
        <w:tc>
          <w:tcPr>
            <w:tcW w:w="43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A-5</w:t>
            </w:r>
          </w:p>
        </w:tc>
        <w:tc>
          <w:tcPr>
            <w:tcW w:w="589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Generate an SBOM for backend, voice and frontend images</w:t>
            </w:r>
          </w:p>
        </w:tc>
        <w:tc>
          <w:tcPr>
            <w:tcW w:w="337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Medium</w:t>
            </w:r>
          </w:p>
        </w:tc>
        <w:tc>
          <w:tcPr>
            <w:tcW w:w="85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</w:t>
            </w:r>
          </w:p>
        </w:tc>
        <w:tc>
          <w:tcPr>
            <w:tcW w:w="77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</w:t>
            </w:r>
          </w:p>
        </w:tc>
      </w:tr>
      <w:tr>
        <w:trPr/>
        <w:tc>
          <w:tcPr>
            <w:tcW w:w="43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A-6</w:t>
            </w:r>
          </w:p>
        </w:tc>
        <w:tc>
          <w:tcPr>
            <w:tcW w:w="589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Pin </w:t>
            </w:r>
            <w:r>
              <w:rPr>
                <w:rStyle w:val="SourceText"/>
              </w:rPr>
              <w:t>nemo_toolkit</w:t>
            </w:r>
            <w:r>
              <w:rPr/>
              <w:t xml:space="preserve"> to a release or commit sha (risk R-01)</w:t>
            </w:r>
          </w:p>
        </w:tc>
        <w:tc>
          <w:tcPr>
            <w:tcW w:w="337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Critical</w:t>
            </w:r>
          </w:p>
        </w:tc>
        <w:tc>
          <w:tcPr>
            <w:tcW w:w="85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</w:t>
            </w:r>
          </w:p>
        </w:tc>
        <w:tc>
          <w:tcPr>
            <w:tcW w:w="77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</w:t>
            </w:r>
          </w:p>
        </w:tc>
      </w:tr>
      <w:tr>
        <w:trPr/>
        <w:tc>
          <w:tcPr>
            <w:tcW w:w="43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A-7</w:t>
            </w:r>
          </w:p>
        </w:tc>
        <w:tc>
          <w:tcPr>
            <w:tcW w:w="589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Pin </w:t>
            </w:r>
            <w:r>
              <w:rPr>
                <w:rStyle w:val="SourceText"/>
              </w:rPr>
              <w:t>ollama/ollama</w:t>
            </w:r>
            <w:r>
              <w:rPr/>
              <w:t xml:space="preserve"> and </w:t>
            </w:r>
            <w:r>
              <w:rPr>
                <w:rStyle w:val="SourceText"/>
              </w:rPr>
              <w:t>cloudflare/cloudflared</w:t>
            </w:r>
            <w:r>
              <w:rPr/>
              <w:t xml:space="preserve"> to digests</w:t>
            </w:r>
          </w:p>
        </w:tc>
        <w:tc>
          <w:tcPr>
            <w:tcW w:w="337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Medium</w:t>
            </w:r>
          </w:p>
        </w:tc>
        <w:tc>
          <w:tcPr>
            <w:tcW w:w="85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</w:t>
            </w:r>
          </w:p>
        </w:tc>
        <w:tc>
          <w:tcPr>
            <w:tcW w:w="77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</w:t>
            </w:r>
          </w:p>
        </w:tc>
      </w:tr>
      <w:tr>
        <w:trPr/>
        <w:tc>
          <w:tcPr>
            <w:tcW w:w="439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A-8</w:t>
            </w:r>
          </w:p>
        </w:tc>
        <w:tc>
          <w:tcPr>
            <w:tcW w:w="5898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Decide whether the MIT mirror substitution (I-06) is retained and declared, or removed</w:t>
            </w:r>
          </w:p>
        </w:tc>
        <w:tc>
          <w:tcPr>
            <w:tcW w:w="3372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Medium</w:t>
            </w:r>
          </w:p>
        </w:tc>
        <w:tc>
          <w:tcPr>
            <w:tcW w:w="856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</w:t>
            </w:r>
          </w:p>
        </w:tc>
        <w:tc>
          <w:tcPr>
            <w:tcW w:w="774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</w:t>
            </w:r>
          </w:p>
        </w:tc>
      </w:tr>
    </w:tbl>
    <w:p>
      <w:pPr>
        <w:pStyle w:val="Heading2"/>
        <w:bidi w:val="0"/>
        <w:jc w:val="left"/>
        <w:rPr/>
      </w:pPr>
      <w:r>
        <w:rPr/>
        <w:t>8. Re-evaluation</w:t>
      </w:r>
    </w:p>
    <w:p>
      <w:pPr>
        <w:pStyle w:val="BodyText"/>
        <w:bidi w:val="0"/>
        <w:jc w:val="left"/>
        <w:rPr/>
      </w:pPr>
      <w:r>
        <w:rPr/>
        <w:t>External providers are re-evaluated at each management review (SOP-15) and whenever an image is rebuilt. Performance evidence to bring to that review: build failures attributable to a provider, model behaviour changes, licence changes, and availability incidents.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3998"/>
        <w:gridCol w:w="4155"/>
        <w:gridCol w:w="3185"/>
      </w:tblGrid>
      <w:tr>
        <w:trPr>
          <w:tblHeader w:val="true"/>
        </w:trPr>
        <w:tc>
          <w:tcPr>
            <w:tcW w:w="3998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Review date</w:t>
            </w:r>
          </w:p>
        </w:tc>
        <w:tc>
          <w:tcPr>
            <w:tcW w:w="4155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Reviewed by</w:t>
            </w:r>
          </w:p>
        </w:tc>
        <w:tc>
          <w:tcPr>
            <w:tcW w:w="3185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Outcome</w:t>
            </w:r>
          </w:p>
        </w:tc>
      </w:tr>
      <w:tr>
        <w:trPr/>
        <w:tc>
          <w:tcPr>
            <w:tcW w:w="3998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</w:t>
            </w:r>
          </w:p>
        </w:tc>
        <w:tc>
          <w:tcPr>
            <w:tcW w:w="4155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</w:t>
            </w:r>
          </w:p>
        </w:tc>
        <w:tc>
          <w:tcPr>
            <w:tcW w:w="3185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/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Arial"/>
    <w:charset w:val="01"/>
    <w:family w:val="auto"/>
    <w:pitch w:val="default"/>
  </w:font>
  <w:font w:name="Noto Sans">
    <w:charset w:val="01"/>
    <w:family w:val="auto"/>
    <w:pitch w:val="variable"/>
  </w:font>
  <w:font w:name="Consolas"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;Arial" w:hAnsi="Calibri;Arial" w:eastAsia="Calibri;Arial" w:cs="Calibri;Arial"/>
      <w:color w:val="auto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color w:val="1F3A5F"/>
      <w:sz w:val="48"/>
      <w:szCs w:val="44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Consolas" w:hAnsi="Consolas" w:eastAsia="Consolas" w:cs="Consolas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>
      <w:sz w:val="18"/>
      <w:szCs w:val="18"/>
    </w:rPr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BodyText"/>
    <w:pPr/>
    <w:rPr>
      <w:rFonts w:cs="Lohit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shd w:fill="1F3A5F" w:val="clear"/>
      <w:jc w:val="center"/>
    </w:pPr>
    <w:rPr>
      <w:b/>
      <w:bCs/>
      <w:color w:val="FFFFFF"/>
      <w:sz w:val="18"/>
      <w:szCs w:val="18"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LibreOffice/24.2.7.2$Linux_AARCH64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