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left"/>
        <w:rPr/>
      </w:pPr>
      <w:r>
        <w:rPr/>
        <w:t>REG-03 — Risk and Opportunity Register</w:t>
      </w:r>
    </w:p>
    <w:tbl>
      <w:tblPr>
        <w:tblW w:w="5000" w:type="pct"/>
        <w:jc w:val="left"/>
        <w:tblInd w:w="-7" w:type="dxa"/>
        <w:tblLayout w:type="fixed"/>
        <w:tblCellMar>
          <w:top w:w="60" w:type="dxa"/>
          <w:left w:w="60" w:type="dxa"/>
          <w:bottom w:w="60" w:type="dxa"/>
          <w:right w:w="60" w:type="dxa"/>
        </w:tblCellMar>
      </w:tblPr>
      <w:tblGrid>
        <w:gridCol w:w="1472"/>
        <w:gridCol w:w="4059"/>
      </w:tblGrid>
      <w:tr>
        <w:trPr>
          <w:tblHeader w:val="true"/>
        </w:trPr>
        <w:tc>
          <w:tcPr>
            <w:tcW w:w="1472"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Field</w:t>
            </w:r>
          </w:p>
        </w:tc>
        <w:tc>
          <w:tcPr>
            <w:tcW w:w="4059"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Value</w:t>
            </w:r>
          </w:p>
        </w:tc>
      </w:tr>
      <w:tr>
        <w:trPr/>
        <w:tc>
          <w:tcPr>
            <w:tcW w:w="147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Document ID</w:t>
            </w:r>
          </w:p>
        </w:tc>
        <w:tc>
          <w:tcPr>
            <w:tcW w:w="405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REG-03</w:t>
            </w:r>
          </w:p>
        </w:tc>
      </w:tr>
      <w:tr>
        <w:trPr/>
        <w:tc>
          <w:tcPr>
            <w:tcW w:w="147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Revision</w:t>
            </w:r>
          </w:p>
        </w:tc>
        <w:tc>
          <w:tcPr>
            <w:tcW w:w="405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1.0</w:t>
            </w:r>
          </w:p>
        </w:tc>
      </w:tr>
      <w:tr>
        <w:trPr/>
        <w:tc>
          <w:tcPr>
            <w:tcW w:w="147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Status</w:t>
            </w:r>
          </w:p>
        </w:tc>
        <w:tc>
          <w:tcPr>
            <w:tcW w:w="405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LIVE REGISTER — ratings are PROPOSED and require management confirmation</w:t>
            </w:r>
          </w:p>
        </w:tc>
      </w:tr>
      <w:tr>
        <w:trPr/>
        <w:tc>
          <w:tcPr>
            <w:tcW w:w="147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Owner</w:t>
            </w:r>
          </w:p>
        </w:tc>
        <w:tc>
          <w:tcPr>
            <w:tcW w:w="405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Managing Director (Anita Johan)</w:t>
            </w:r>
          </w:p>
        </w:tc>
      </w:tr>
      <w:tr>
        <w:trPr/>
        <w:tc>
          <w:tcPr>
            <w:tcW w:w="147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ISO 9001:2015 clauses</w:t>
            </w:r>
          </w:p>
        </w:tc>
        <w:tc>
          <w:tcPr>
            <w:tcW w:w="405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6.1.1, 6.1.2, 9.3.2 e), 10.2.1 e)</w:t>
            </w:r>
          </w:p>
        </w:tc>
      </w:tr>
      <w:tr>
        <w:trPr/>
        <w:tc>
          <w:tcPr>
            <w:tcW w:w="147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Governing procedure</w:t>
            </w:r>
          </w:p>
        </w:tc>
        <w:tc>
          <w:tcPr>
            <w:tcW w:w="405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SOP-02</w:t>
            </w:r>
          </w:p>
        </w:tc>
      </w:tr>
      <w:tr>
        <w:trPr/>
        <w:tc>
          <w:tcPr>
            <w:tcW w:w="1472"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Reviewed</w:t>
            </w:r>
          </w:p>
        </w:tc>
        <w:tc>
          <w:tcPr>
            <w:tcW w:w="4059"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2026-10-07 — Alexander Peter (EchoMind Project Lead); QA Sheryl Nazareth</w:t>
            </w:r>
          </w:p>
        </w:tc>
      </w:tr>
    </w:tbl>
    <w:p>
      <w:pPr>
        <w:pStyle w:val="HorizontalLine"/>
        <w:bidi w:val="0"/>
        <w:jc w:val="left"/>
        <w:rPr/>
      </w:pPr>
      <w:r>
        <w:rPr/>
      </w:r>
    </w:p>
    <w:p>
      <w:pPr>
        <w:pStyle w:val="Heading2"/>
        <w:bidi w:val="0"/>
        <w:jc w:val="left"/>
        <w:rPr/>
      </w:pPr>
      <w:r>
        <w:rPr/>
        <w:t>How this register was populated</w:t>
      </w:r>
    </w:p>
    <w:p>
      <w:pPr>
        <w:pStyle w:val="BodyText"/>
        <w:bidi w:val="0"/>
        <w:jc w:val="left"/>
        <w:rPr/>
      </w:pPr>
      <w:r>
        <w:rPr/>
        <w:t xml:space="preserve">Every risk below is </w:t>
      </w:r>
      <w:r>
        <w:rPr>
          <w:rStyle w:val="Strong"/>
        </w:rPr>
        <w:t>derived from evidence already in the repository</w:t>
      </w:r>
      <w:r>
        <w:rPr/>
        <w:t xml:space="preserve"> — code, configuration comments, commit history or evaluation results — not from a generic risk checklist. The evidence column cites where each came from, so any entry can be checked.</w:t>
      </w:r>
    </w:p>
    <w:p>
      <w:pPr>
        <w:pStyle w:val="BodyText"/>
        <w:bidi w:val="0"/>
        <w:jc w:val="left"/>
        <w:rPr/>
      </w:pPr>
      <w:r>
        <w:rPr>
          <w:rStyle w:val="Strong"/>
        </w:rPr>
        <w:t>The likelihood and impact scores were proposed on 2026-09-21 and confirmed at approval on 2026-10-07</w:t>
      </w:r>
      <w:r>
        <w:rPr/>
        <w:t xml:space="preserve"> (</w:t>
      </w:r>
      <w:r>
        <w:rPr>
          <w:rStyle w:val="SourceText"/>
        </w:rPr>
        <w:t>records/approvals/2026-10-07_AR-2026-001_document_approval.md</w:t>
      </w:r>
      <w:r>
        <w:rPr/>
        <w:t>). They are one person's reading of the evidence and they have not been agreed by management. They are recorded so that the first management review has something concrete to challenge rather than a blank page. Confirm or change them at that review and set Revision 1.1.</w:t>
      </w:r>
    </w:p>
    <w:p>
      <w:pPr>
        <w:pStyle w:val="Heading3"/>
        <w:bidi w:val="0"/>
        <w:jc w:val="left"/>
        <w:rPr/>
      </w:pPr>
      <w:r>
        <w:rPr/>
        <w:t>Scale</w:t>
      </w:r>
    </w:p>
    <w:tbl>
      <w:tblPr>
        <w:tblW w:w="5000" w:type="pct"/>
        <w:jc w:val="left"/>
        <w:tblInd w:w="-7" w:type="dxa"/>
        <w:tblLayout w:type="fixed"/>
        <w:tblCellMar>
          <w:top w:w="60" w:type="dxa"/>
          <w:left w:w="60" w:type="dxa"/>
          <w:bottom w:w="60" w:type="dxa"/>
          <w:right w:w="60" w:type="dxa"/>
        </w:tblCellMar>
      </w:tblPr>
      <w:tblGrid>
        <w:gridCol w:w="1054"/>
        <w:gridCol w:w="1479"/>
        <w:gridCol w:w="711"/>
        <w:gridCol w:w="2287"/>
      </w:tblGrid>
      <w:tr>
        <w:trPr>
          <w:tblHeader w:val="true"/>
        </w:trPr>
        <w:tc>
          <w:tcPr>
            <w:tcW w:w="1054"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Likelihood</w:t>
            </w:r>
          </w:p>
        </w:tc>
        <w:tc>
          <w:tcPr>
            <w:tcW w:w="1479"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rPr>
                <w:sz w:val="4"/>
                <w:szCs w:val="4"/>
              </w:rPr>
            </w:pPr>
            <w:r>
              <w:rPr>
                <w:sz w:val="4"/>
                <w:szCs w:val="4"/>
              </w:rPr>
            </w:r>
          </w:p>
        </w:tc>
        <w:tc>
          <w:tcPr>
            <w:tcW w:w="711"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Impact</w:t>
            </w:r>
          </w:p>
        </w:tc>
        <w:tc>
          <w:tcPr>
            <w:tcW w:w="2287"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rPr>
                <w:sz w:val="4"/>
                <w:szCs w:val="4"/>
              </w:rPr>
            </w:pPr>
            <w:r>
              <w:rPr>
                <w:sz w:val="4"/>
                <w:szCs w:val="4"/>
              </w:rPr>
            </w:r>
          </w:p>
        </w:tc>
      </w:tr>
      <w:tr>
        <w:trPr/>
        <w:tc>
          <w:tcPr>
            <w:tcW w:w="1054"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1</w:t>
            </w:r>
          </w:p>
        </w:tc>
        <w:tc>
          <w:tcPr>
            <w:tcW w:w="147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Rare — no plausible path currently</w:t>
            </w:r>
          </w:p>
        </w:tc>
        <w:tc>
          <w:tcPr>
            <w:tcW w:w="71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1</w:t>
            </w:r>
          </w:p>
        </w:tc>
        <w:tc>
          <w:tcPr>
            <w:tcW w:w="228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Negligible — cosmetic</w:t>
            </w:r>
          </w:p>
        </w:tc>
      </w:tr>
      <w:tr>
        <w:trPr/>
        <w:tc>
          <w:tcPr>
            <w:tcW w:w="1054"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2</w:t>
            </w:r>
          </w:p>
        </w:tc>
        <w:tc>
          <w:tcPr>
            <w:tcW w:w="147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Unlikely — would need an unusual combination</w:t>
            </w:r>
          </w:p>
        </w:tc>
        <w:tc>
          <w:tcPr>
            <w:tcW w:w="71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w:t>
            </w:r>
          </w:p>
        </w:tc>
        <w:tc>
          <w:tcPr>
            <w:tcW w:w="228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Minor — inconvenience, easily corrected</w:t>
            </w:r>
          </w:p>
        </w:tc>
      </w:tr>
      <w:tr>
        <w:trPr/>
        <w:tc>
          <w:tcPr>
            <w:tcW w:w="1054"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3</w:t>
            </w:r>
          </w:p>
        </w:tc>
        <w:tc>
          <w:tcPr>
            <w:tcW w:w="147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Possible — could happen in normal operation</w:t>
            </w:r>
          </w:p>
        </w:tc>
        <w:tc>
          <w:tcPr>
            <w:tcW w:w="71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3</w:t>
            </w:r>
          </w:p>
        </w:tc>
        <w:tc>
          <w:tcPr>
            <w:tcW w:w="228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Moderate — a module degraded, effort to correct</w:t>
            </w:r>
          </w:p>
        </w:tc>
      </w:tr>
      <w:tr>
        <w:trPr/>
        <w:tc>
          <w:tcPr>
            <w:tcW w:w="1054"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4</w:t>
            </w:r>
          </w:p>
        </w:tc>
        <w:tc>
          <w:tcPr>
            <w:tcW w:w="147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Likely — expected within a year at current practice</w:t>
            </w:r>
          </w:p>
        </w:tc>
        <w:tc>
          <w:tcPr>
            <w:tcW w:w="71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4</w:t>
            </w:r>
          </w:p>
        </w:tc>
        <w:tc>
          <w:tcPr>
            <w:tcW w:w="228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Major — customer-visible failure, data at risk, or a false assertion reaching a user</w:t>
            </w:r>
          </w:p>
        </w:tc>
      </w:tr>
      <w:tr>
        <w:trPr/>
        <w:tc>
          <w:tcPr>
            <w:tcW w:w="1054"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5</w:t>
            </w:r>
          </w:p>
        </w:tc>
        <w:tc>
          <w:tcPr>
            <w:tcW w:w="1479"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Almost certain — has already happened, or will without action</w:t>
            </w:r>
          </w:p>
        </w:tc>
        <w:tc>
          <w:tcPr>
            <w:tcW w:w="711"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5</w:t>
            </w:r>
          </w:p>
        </w:tc>
        <w:tc>
          <w:tcPr>
            <w:tcW w:w="2287"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Severe — customer data lost or exposed, cross-tenant leak, or loss of customer trust in grounding</w:t>
            </w:r>
          </w:p>
        </w:tc>
      </w:tr>
    </w:tbl>
    <w:p>
      <w:pPr>
        <w:pStyle w:val="BodyText"/>
        <w:bidi w:val="0"/>
        <w:jc w:val="left"/>
        <w:rPr/>
      </w:pPr>
      <w:r>
        <w:rPr>
          <w:rStyle w:val="Strong"/>
        </w:rPr>
        <w:t>Rating = Likelihood × Impact.</w:t>
      </w:r>
      <w:r>
        <w:rPr/>
        <w:t xml:space="preserve"> 1–4 Low · 5–9 Medium · 10–14 High · 15–25 Critical.</w:t>
      </w:r>
    </w:p>
    <w:p>
      <w:pPr>
        <w:pStyle w:val="HorizontalLine"/>
        <w:bidi w:val="0"/>
        <w:jc w:val="left"/>
        <w:rPr/>
      </w:pPr>
      <w:r>
        <w:rPr/>
      </w:r>
    </w:p>
    <w:p>
      <w:pPr>
        <w:pStyle w:val="Heading2"/>
        <w:bidi w:val="0"/>
        <w:jc w:val="left"/>
        <w:rPr/>
      </w:pPr>
      <w:r>
        <w:rPr/>
        <w:t>Risks</w:t>
      </w:r>
    </w:p>
    <w:p>
      <w:pPr>
        <w:pStyle w:val="Heading3"/>
        <w:bidi w:val="0"/>
        <w:jc w:val="left"/>
        <w:rPr/>
      </w:pPr>
      <w:r>
        <w:rPr/>
        <w:t>R-01 — Production dependency installed from a moving Git branch</w:t>
      </w:r>
    </w:p>
    <w:tbl>
      <w:tblPr>
        <w:tblW w:w="5531" w:type="dxa"/>
        <w:jc w:val="left"/>
        <w:tblInd w:w="-7" w:type="dxa"/>
        <w:tblLayout w:type="fixed"/>
        <w:tblCellMar>
          <w:top w:w="60" w:type="dxa"/>
          <w:left w:w="60" w:type="dxa"/>
          <w:bottom w:w="60" w:type="dxa"/>
          <w:right w:w="60" w:type="dxa"/>
        </w:tblCellMar>
      </w:tblPr>
      <w:tblGrid>
        <w:gridCol w:w="1055"/>
        <w:gridCol w:w="4476"/>
      </w:tblGrid>
      <w:tr>
        <w:trPr>
          <w:tblHeader w:val="true"/>
        </w:trPr>
        <w:tc>
          <w:tcPr>
            <w:tcW w:w="1055"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rPr>
                <w:sz w:val="4"/>
                <w:szCs w:val="4"/>
              </w:rPr>
            </w:pPr>
            <w:r>
              <w:rPr>
                <w:sz w:val="4"/>
                <w:szCs w:val="4"/>
              </w:rPr>
            </w:r>
          </w:p>
        </w:tc>
        <w:tc>
          <w:tcPr>
            <w:tcW w:w="4476"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rPr>
                <w:sz w:val="4"/>
                <w:szCs w:val="4"/>
              </w:rPr>
            </w:pPr>
            <w:r>
              <w:rPr>
                <w:sz w:val="4"/>
                <w:szCs w:val="4"/>
              </w:rPr>
            </w:r>
          </w:p>
        </w:tc>
      </w:tr>
      <w:tr>
        <w:trPr/>
        <w:tc>
          <w:tcPr>
            <w:tcW w:w="105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Category</w:t>
            </w:r>
          </w:p>
        </w:tc>
        <w:tc>
          <w:tcPr>
            <w:tcW w:w="447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External provider / supply chain</w:t>
            </w:r>
          </w:p>
        </w:tc>
      </w:tr>
      <w:tr>
        <w:trPr/>
        <w:tc>
          <w:tcPr>
            <w:tcW w:w="105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Description</w:t>
            </w:r>
          </w:p>
        </w:tc>
        <w:tc>
          <w:tcPr>
            <w:tcW w:w="447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Until 2026-09-22 </w:t>
            </w:r>
            <w:r>
              <w:rPr>
                <w:rStyle w:val="SourceText"/>
              </w:rPr>
              <w:t>nemo_toolkit[asr]</w:t>
            </w:r>
            <w:r>
              <w:rPr/>
              <w:t xml:space="preserve"> was installed as </w:t>
            </w:r>
            <w:r>
              <w:rPr>
                <w:rStyle w:val="SourceText"/>
              </w:rPr>
              <w:t>git+https://github.com/NVIDIA/NeMo.git@main</w:t>
            </w:r>
            <w:r>
              <w:rPr/>
              <w:t xml:space="preserve"> in both the backend and voice Dockerfiles. A branch is not a release: every rebuild could pull different code, and the resulting image was not reproducible. Now pinned at </w:t>
            </w:r>
            <w:r>
              <w:rPr>
                <w:rStyle w:val="SourceText"/>
              </w:rPr>
              <w:t>backend/Dockerfile:23</w:t>
            </w:r>
            <w:r>
              <w:rPr/>
              <w:t xml:space="preserve"> and </w:t>
            </w:r>
            <w:r>
              <w:rPr>
                <w:rStyle w:val="SourceText"/>
              </w:rPr>
              <w:t>voice/Dockerfile:22</w:t>
            </w:r>
            <w:r>
              <w:rPr/>
              <w:t>.</w:t>
            </w:r>
          </w:p>
        </w:tc>
      </w:tr>
      <w:tr>
        <w:trPr/>
        <w:tc>
          <w:tcPr>
            <w:tcW w:w="105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Evidence</w:t>
            </w:r>
          </w:p>
        </w:tc>
        <w:tc>
          <w:tcPr>
            <w:tcW w:w="447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The risk has </w:t>
            </w:r>
            <w:r>
              <w:rPr>
                <w:rStyle w:val="Strong"/>
              </w:rPr>
              <w:t>already materialised</w:t>
            </w:r>
            <w:r>
              <w:rPr/>
              <w:t xml:space="preserve">: commit </w:t>
            </w:r>
            <w:r>
              <w:rPr>
                <w:rStyle w:val="SourceText"/>
              </w:rPr>
              <w:t>724fb98</w:t>
            </w:r>
            <w:r>
              <w:rPr/>
              <w:t xml:space="preserve"> (2026-09-04) records NeMo@main pulling </w:t>
            </w:r>
            <w:r>
              <w:rPr>
                <w:rStyle w:val="SourceText"/>
              </w:rPr>
              <w:t>setuptools&gt;=82</w:t>
            </w:r>
            <w:r>
              <w:rPr/>
              <w:t xml:space="preserve">, which removed </w:t>
            </w:r>
            <w:r>
              <w:rPr>
                <w:rStyle w:val="SourceText"/>
              </w:rPr>
              <w:t>pkg_resources</w:t>
            </w:r>
            <w:r>
              <w:rPr/>
              <w:t>, breaking librosa at build (backend) and webrtcvad at runtime (voice crash-loop on boot).</w:t>
            </w:r>
          </w:p>
        </w:tc>
      </w:tr>
      <w:tr>
        <w:trPr/>
        <w:tc>
          <w:tcPr>
            <w:tcW w:w="105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Likelihood / Impact / Rating</w:t>
            </w:r>
          </w:p>
        </w:tc>
        <w:tc>
          <w:tcPr>
            <w:tcW w:w="447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5 / 4 / </w:t>
            </w:r>
            <w:r>
              <w:rPr>
                <w:rStyle w:val="Strong"/>
              </w:rPr>
              <w:t>20 — Critical</w:t>
            </w:r>
            <w:r>
              <w:rPr/>
              <w:t xml:space="preserve"> (likelihood 5 because it has already occurred) — </w:t>
            </w:r>
            <w:r>
              <w:rPr>
                <w:rStyle w:val="Strong"/>
              </w:rPr>
              <w:t>residual after pinning: 1 / 4 / 4 Low</w:t>
            </w:r>
          </w:p>
        </w:tc>
      </w:tr>
      <w:tr>
        <w:trPr/>
        <w:tc>
          <w:tcPr>
            <w:tcW w:w="105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Existing controls</w:t>
            </w:r>
          </w:p>
        </w:tc>
        <w:tc>
          <w:tcPr>
            <w:tcW w:w="447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 xml:space="preserve">Pinned to commit </w:t>
            </w:r>
            <w:r>
              <w:rPr>
                <w:rStyle w:val="SourceText"/>
              </w:rPr>
              <w:t>60ce9407ef60a3327ffaf2c15931b9b3b834afc2</w:t>
            </w:r>
            <w:r>
              <w:rPr>
                <w:rStyle w:val="Strong"/>
              </w:rPr>
              <w:t xml:space="preserve"> in both Dockerfiles (2026-09-22)</w:t>
            </w:r>
            <w:r>
              <w:rPr/>
              <w:t xml:space="preserve"> — the exact build verified running in production (NeMo 3.1.0+60ce9407e). </w:t>
            </w:r>
            <w:r>
              <w:rPr>
                <w:rStyle w:val="SourceText"/>
              </w:rPr>
              <w:t>setuptools&gt;=70,&lt;82</w:t>
            </w:r>
            <w:r>
              <w:rPr/>
              <w:t xml:space="preserve"> re-pin retained as defence in depth.</w:t>
            </w:r>
          </w:p>
        </w:tc>
      </w:tr>
      <w:tr>
        <w:trPr/>
        <w:tc>
          <w:tcPr>
            <w:tcW w:w="105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Treatment</w:t>
            </w:r>
          </w:p>
        </w:tc>
        <w:tc>
          <w:tcPr>
            <w:tcW w:w="447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Treated — cause removed.</w:t>
            </w:r>
            <w:r>
              <w:rPr/>
              <w:t xml:space="preserve"> The build is now reproducible. Residual: review the pin when a NeMo upgrade is wanted, and re-verify before adopting it.</w:t>
            </w:r>
          </w:p>
        </w:tc>
      </w:tr>
      <w:tr>
        <w:trPr/>
        <w:tc>
          <w:tcPr>
            <w:tcW w:w="105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Owner / due</w:t>
            </w:r>
          </w:p>
        </w:tc>
        <w:tc>
          <w:tcPr>
            <w:tcW w:w="447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Richard Watson Stephen Amudha / Closed — pinned 2026-09-22</w:t>
            </w:r>
          </w:p>
        </w:tc>
      </w:tr>
      <w:tr>
        <w:trPr/>
        <w:tc>
          <w:tcPr>
            <w:tcW w:w="105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Residual (after treatment)</w:t>
            </w:r>
          </w:p>
        </w:tc>
        <w:tc>
          <w:tcPr>
            <w:tcW w:w="447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1 / 4 / 4 — Low</w:t>
            </w:r>
          </w:p>
        </w:tc>
      </w:tr>
      <w:tr>
        <w:trPr/>
        <w:tc>
          <w:tcPr>
            <w:tcW w:w="1055"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Linked</w:t>
            </w:r>
          </w:p>
        </w:tc>
        <w:tc>
          <w:tcPr>
            <w:tcW w:w="4476"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NC-2026-006; QO-6; SOP-09</w:t>
            </w:r>
          </w:p>
        </w:tc>
      </w:tr>
    </w:tbl>
    <w:p>
      <w:pPr>
        <w:pStyle w:val="Heading3"/>
        <w:bidi w:val="0"/>
        <w:jc w:val="left"/>
        <w:rPr/>
      </w:pPr>
      <w:r>
        <w:rPr/>
        <w:t>R-02 — No backup of the only volume containing customer data</w:t>
      </w:r>
    </w:p>
    <w:tbl>
      <w:tblPr>
        <w:tblW w:w="5000" w:type="pct"/>
        <w:jc w:val="left"/>
        <w:tblInd w:w="-7" w:type="dxa"/>
        <w:tblLayout w:type="fixed"/>
        <w:tblCellMar>
          <w:top w:w="60" w:type="dxa"/>
          <w:left w:w="60" w:type="dxa"/>
          <w:bottom w:w="60" w:type="dxa"/>
          <w:right w:w="60" w:type="dxa"/>
        </w:tblCellMar>
      </w:tblPr>
      <w:tblGrid>
        <w:gridCol w:w="1155"/>
        <w:gridCol w:w="4376"/>
      </w:tblGrid>
      <w:tr>
        <w:trPr>
          <w:tblHeader w:val="true"/>
        </w:trPr>
        <w:tc>
          <w:tcPr>
            <w:tcW w:w="1155"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rPr>
                <w:sz w:val="4"/>
                <w:szCs w:val="4"/>
              </w:rPr>
            </w:pPr>
            <w:r>
              <w:rPr>
                <w:sz w:val="4"/>
                <w:szCs w:val="4"/>
              </w:rPr>
            </w:r>
          </w:p>
        </w:tc>
        <w:tc>
          <w:tcPr>
            <w:tcW w:w="4376"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rPr>
                <w:sz w:val="4"/>
                <w:szCs w:val="4"/>
              </w:rPr>
            </w:pPr>
            <w:r>
              <w:rPr>
                <w:sz w:val="4"/>
                <w:szCs w:val="4"/>
              </w:rPr>
            </w:r>
          </w:p>
        </w:tc>
      </w:tr>
      <w:tr>
        <w:trPr/>
        <w:tc>
          <w:tcPr>
            <w:tcW w:w="115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Category</w:t>
            </w:r>
          </w:p>
        </w:tc>
        <w:tc>
          <w:tcPr>
            <w:tcW w:w="437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Customer property / data</w:t>
            </w:r>
          </w:p>
        </w:tc>
      </w:tr>
      <w:tr>
        <w:trPr/>
        <w:tc>
          <w:tcPr>
            <w:tcW w:w="115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Description</w:t>
            </w:r>
          </w:p>
        </w:tc>
        <w:tc>
          <w:tcPr>
            <w:tcW w:w="437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Docker volume </w:t>
            </w:r>
            <w:r>
              <w:rPr>
                <w:rStyle w:val="SourceText"/>
              </w:rPr>
              <w:t>echomind_data</w:t>
            </w:r>
            <w:r>
              <w:rPr/>
              <w:t xml:space="preserve"> holds the SQLite database, the FAISS indexes, uploaded source files, boardroom audio and the generated auth secret. There is </w:t>
            </w:r>
            <w:r>
              <w:rPr>
                <w:rStyle w:val="Strong"/>
              </w:rPr>
              <w:t>no backup script and no documented backup procedure</w:t>
            </w:r>
            <w:r>
              <w:rPr/>
              <w:t xml:space="preserve">. </w:t>
            </w:r>
            <w:r>
              <w:rPr>
                <w:rStyle w:val="SourceText"/>
              </w:rPr>
              <w:t>scripts/export_offline_bundle.sh</w:t>
            </w:r>
            <w:r>
              <w:rPr/>
              <w:t xml:space="preserve"> exports the two </w:t>
            </w:r>
            <w:r>
              <w:rPr>
                <w:rStyle w:val="Emphasis"/>
              </w:rPr>
              <w:t>reproducible</w:t>
            </w:r>
            <w:r>
              <w:rPr/>
              <w:t xml:space="preserve"> model volumes and deliberately skips this one. </w:t>
            </w:r>
            <w:r>
              <w:rPr>
                <w:rStyle w:val="SourceText"/>
              </w:rPr>
              <w:t>docs/USER_MANUAL.md:1158</w:t>
            </w:r>
            <w:r>
              <w:rPr/>
              <w:t xml:space="preserve"> correctly identifies </w:t>
            </w:r>
            <w:r>
              <w:rPr>
                <w:rStyle w:val="SourceText"/>
              </w:rPr>
              <w:t>echomind_data</w:t>
            </w:r>
            <w:r>
              <w:rPr/>
              <w:t xml:space="preserve"> as the operator's real backup priority but gives no procedure.</w:t>
            </w:r>
          </w:p>
        </w:tc>
      </w:tr>
      <w:tr>
        <w:trPr/>
        <w:tc>
          <w:tcPr>
            <w:tcW w:w="115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Evidence</w:t>
            </w:r>
          </w:p>
        </w:tc>
        <w:tc>
          <w:tcPr>
            <w:tcW w:w="437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Repository contains no backup tooling; the bundle script's contents; the user manual statement.</w:t>
            </w:r>
          </w:p>
        </w:tc>
      </w:tr>
      <w:tr>
        <w:trPr/>
        <w:tc>
          <w:tcPr>
            <w:tcW w:w="115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Likelihood / Impact / Rating</w:t>
            </w:r>
          </w:p>
        </w:tc>
        <w:tc>
          <w:tcPr>
            <w:tcW w:w="437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3 / 5 / </w:t>
            </w:r>
            <w:r>
              <w:rPr>
                <w:rStyle w:val="Strong"/>
              </w:rPr>
              <w:t>15 — Critical</w:t>
            </w:r>
          </w:p>
        </w:tc>
      </w:tr>
      <w:tr>
        <w:trPr/>
        <w:tc>
          <w:tcPr>
            <w:tcW w:w="115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Existing controls</w:t>
            </w:r>
          </w:p>
        </w:tc>
        <w:tc>
          <w:tcPr>
            <w:tcW w:w="437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scripts/backup_data.sh</w:t>
            </w:r>
            <w:r>
              <w:rPr>
                <w:rStyle w:val="Strong"/>
              </w:rPr>
              <w:t xml:space="preserve"> / </w:t>
            </w:r>
            <w:r>
              <w:rPr>
                <w:rStyle w:val="SourceText"/>
              </w:rPr>
              <w:t>restore_data.sh</w:t>
            </w:r>
            <w:r>
              <w:rPr>
                <w:rStyle w:val="Strong"/>
              </w:rPr>
              <w:t xml:space="preserve"> (2026-09-22).</w:t>
            </w:r>
            <w:r>
              <w:rPr/>
              <w:t xml:space="preserve"> Consistent SQLite snapshot via the online backup API; reproducible model caches excluded (351 MB rather than 23 GB); checksummed; archive verified readable. </w:t>
            </w:r>
            <w:r>
              <w:rPr>
                <w:rStyle w:val="Strong"/>
              </w:rPr>
              <w:t>Restore exercised 2026-09-22</w:t>
            </w:r>
            <w:r>
              <w:rPr/>
              <w:t xml:space="preserve"> into a throwaway volume — </w:t>
            </w:r>
            <w:r>
              <w:rPr>
                <w:rStyle w:val="SourceText"/>
              </w:rPr>
              <w:t>integrity_check</w:t>
            </w:r>
            <w:r>
              <w:rPr/>
              <w:t xml:space="preserve"> ok, 32 tables.</w:t>
            </w:r>
          </w:p>
        </w:tc>
      </w:tr>
      <w:tr>
        <w:trPr/>
        <w:tc>
          <w:tcPr>
            <w:tcW w:w="115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Treatment</w:t>
            </w:r>
          </w:p>
        </w:tc>
        <w:tc>
          <w:tcPr>
            <w:tcW w:w="437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Treated (2026-09-22).</w:t>
            </w:r>
            <w:r>
              <w:rPr/>
              <w:t xml:space="preserve"> </w:t>
            </w:r>
            <w:r>
              <w:rPr>
                <w:rStyle w:val="SourceText"/>
              </w:rPr>
              <w:t>install_backup_timer.sh</w:t>
            </w:r>
            <w:r>
              <w:rPr/>
              <w:t xml:space="preserve"> installs a nightly systemd timer; </w:t>
            </w:r>
            <w:r>
              <w:rPr>
                <w:rStyle w:val="SourceText"/>
              </w:rPr>
              <w:t>BACKUP_REMOTE</w:t>
            </w:r>
            <w:r>
              <w:rPr/>
              <w:t xml:space="preserve"> replicates off-host by rsync/scp or to a mounted share, and a failed replication aborts loudly rather than leaving a single on-host copy. Residual: the operator must set </w:t>
            </w:r>
            <w:r>
              <w:rPr>
                <w:rStyle w:val="SourceText"/>
              </w:rPr>
              <w:t>BACKUP_REMOTE</w:t>
            </w:r>
            <w:r>
              <w:rPr/>
              <w:t xml:space="preserve"> and confirm the destination. </w:t>
            </w:r>
            <w:r>
              <w:rPr>
                <w:rStyle w:val="Emphasis"/>
              </w:rPr>
              <w:t xml:space="preserve">Verified 2026-10-06: not yet installed on the reference host and </w:t>
            </w:r>
            <w:r>
              <w:rPr>
                <w:rStyle w:val="SourceText"/>
              </w:rPr>
              <w:t>BACKUP_REMOTE</w:t>
            </w:r>
            <w:r>
              <w:rPr>
                <w:rStyle w:val="Emphasis"/>
              </w:rPr>
              <w:t xml:space="preserve"> unset — the treatment exists but is not operating there.</w:t>
            </w:r>
          </w:p>
        </w:tc>
      </w:tr>
      <w:tr>
        <w:trPr/>
        <w:tc>
          <w:tcPr>
            <w:tcW w:w="115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Owner / due</w:t>
            </w:r>
          </w:p>
        </w:tc>
        <w:tc>
          <w:tcPr>
            <w:tcW w:w="437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Kishan Haravu Pradeep / 2026-10-13</w:t>
            </w:r>
          </w:p>
        </w:tc>
      </w:tr>
      <w:tr>
        <w:trPr/>
        <w:tc>
          <w:tcPr>
            <w:tcW w:w="115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Residual</w:t>
            </w:r>
          </w:p>
        </w:tc>
        <w:tc>
          <w:tcPr>
            <w:tcW w:w="437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 / 3 / 6 — Medium</w:t>
            </w:r>
          </w:p>
        </w:tc>
      </w:tr>
      <w:tr>
        <w:trPr/>
        <w:tc>
          <w:tcPr>
            <w:tcW w:w="1155"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Linked</w:t>
            </w:r>
          </w:p>
        </w:tc>
        <w:tc>
          <w:tcPr>
            <w:tcW w:w="4376"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QO-4 (highest-priority objective); SOP-11 §8</w:t>
            </w:r>
          </w:p>
        </w:tc>
      </w:tr>
    </w:tbl>
    <w:p>
      <w:pPr>
        <w:pStyle w:val="Heading3"/>
        <w:bidi w:val="0"/>
        <w:jc w:val="left"/>
        <w:rPr/>
      </w:pPr>
      <w:r>
        <w:rPr/>
        <w:t>R-03 — Single person holds the organisation's operating knowledge</w:t>
      </w:r>
    </w:p>
    <w:tbl>
      <w:tblPr>
        <w:tblW w:w="5000" w:type="pct"/>
        <w:jc w:val="left"/>
        <w:tblInd w:w="-7" w:type="dxa"/>
        <w:tblLayout w:type="fixed"/>
        <w:tblCellMar>
          <w:top w:w="60" w:type="dxa"/>
          <w:left w:w="60" w:type="dxa"/>
          <w:bottom w:w="60" w:type="dxa"/>
          <w:right w:w="60" w:type="dxa"/>
        </w:tblCellMar>
      </w:tblPr>
      <w:tblGrid>
        <w:gridCol w:w="1211"/>
        <w:gridCol w:w="4320"/>
      </w:tblGrid>
      <w:tr>
        <w:trPr>
          <w:tblHeader w:val="true"/>
        </w:trPr>
        <w:tc>
          <w:tcPr>
            <w:tcW w:w="1211"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rPr>
                <w:sz w:val="4"/>
                <w:szCs w:val="4"/>
              </w:rPr>
            </w:pPr>
            <w:r>
              <w:rPr>
                <w:sz w:val="4"/>
                <w:szCs w:val="4"/>
              </w:rPr>
            </w:r>
          </w:p>
        </w:tc>
        <w:tc>
          <w:tcPr>
            <w:tcW w:w="4320"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rPr>
                <w:sz w:val="4"/>
                <w:szCs w:val="4"/>
              </w:rPr>
            </w:pPr>
            <w:r>
              <w:rPr>
                <w:sz w:val="4"/>
                <w:szCs w:val="4"/>
              </w:rPr>
            </w:r>
          </w:p>
        </w:tc>
      </w:tr>
      <w:tr>
        <w:trPr/>
        <w:tc>
          <w:tcPr>
            <w:tcW w:w="121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Category</w:t>
            </w:r>
          </w:p>
        </w:tc>
        <w:tc>
          <w:tcPr>
            <w:tcW w:w="432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Resource / organisational knowledge</w:t>
            </w:r>
          </w:p>
        </w:tc>
      </w:tr>
      <w:tr>
        <w:trPr/>
        <w:tc>
          <w:tcPr>
            <w:tcW w:w="121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Description</w:t>
            </w:r>
          </w:p>
        </w:tc>
        <w:tc>
          <w:tcPr>
            <w:tcW w:w="432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202 commits from a single author identity and email between 2026-02-05 and 2026-09-21. Design rationale lives in that person's head, in commit bodies and in </w:t>
            </w:r>
            <w:r>
              <w:rPr>
                <w:rStyle w:val="SourceText"/>
              </w:rPr>
              <w:t>docs/</w:t>
            </w:r>
            <w:r>
              <w:rPr/>
              <w:t>. Unavailability of that person halts delivery, support and incident response. It also makes impartial internal audit impossible (ISO 9001:2015 9.2.2 c).</w:t>
            </w:r>
          </w:p>
        </w:tc>
      </w:tr>
      <w:tr>
        <w:trPr/>
        <w:tc>
          <w:tcPr>
            <w:tcW w:w="121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Evidence</w:t>
            </w:r>
          </w:p>
        </w:tc>
        <w:tc>
          <w:tcPr>
            <w:tcW w:w="432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git shortlog -sne</w:t>
            </w:r>
            <w:r>
              <w:rPr/>
              <w:t>; SOP-13 §4.</w:t>
            </w:r>
          </w:p>
        </w:tc>
      </w:tr>
      <w:tr>
        <w:trPr/>
        <w:tc>
          <w:tcPr>
            <w:tcW w:w="121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Likelihood / Impact / Rating</w:t>
            </w:r>
          </w:p>
        </w:tc>
        <w:tc>
          <w:tcPr>
            <w:tcW w:w="432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3 / 5 / </w:t>
            </w:r>
            <w:r>
              <w:rPr>
                <w:rStyle w:val="Strong"/>
              </w:rPr>
              <w:t>15 — Critical</w:t>
            </w:r>
          </w:p>
        </w:tc>
      </w:tr>
      <w:tr>
        <w:trPr/>
        <w:tc>
          <w:tcPr>
            <w:tcW w:w="121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Existing controls</w:t>
            </w:r>
          </w:p>
        </w:tc>
        <w:tc>
          <w:tcPr>
            <w:tcW w:w="432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Unusually good written rationale in commit bodies and </w:t>
            </w:r>
            <w:r>
              <w:rPr>
                <w:rStyle w:val="SourceText"/>
              </w:rPr>
              <w:t>docs/</w:t>
            </w:r>
            <w:r>
              <w:rPr/>
              <w:t xml:space="preserve"> — a genuine partial mitigation.</w:t>
            </w:r>
          </w:p>
        </w:tc>
      </w:tr>
      <w:tr>
        <w:trPr/>
        <w:tc>
          <w:tcPr>
            <w:tcW w:w="121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Treatment</w:t>
            </w:r>
          </w:p>
        </w:tc>
        <w:tc>
          <w:tcPr>
            <w:tcW w:w="432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Reduce.</w:t>
            </w:r>
            <w:r>
              <w:rPr/>
              <w:t xml:space="preserve"> Maintain the documentation discipline deliberately rather than incidentally; identify a second competent person, at minimum on contract, for audit independence and continuity.</w:t>
            </w:r>
          </w:p>
        </w:tc>
      </w:tr>
      <w:tr>
        <w:trPr/>
        <w:tc>
          <w:tcPr>
            <w:tcW w:w="121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Owner / due</w:t>
            </w:r>
          </w:p>
        </w:tc>
        <w:tc>
          <w:tcPr>
            <w:tcW w:w="432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Anita Johan / 2026-12-31</w:t>
            </w:r>
          </w:p>
        </w:tc>
      </w:tr>
      <w:tr>
        <w:trPr/>
        <w:tc>
          <w:tcPr>
            <w:tcW w:w="121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Residual</w:t>
            </w:r>
          </w:p>
        </w:tc>
        <w:tc>
          <w:tcPr>
            <w:tcW w:w="432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3 / 3 / 9 — Medium</w:t>
            </w:r>
          </w:p>
        </w:tc>
      </w:tr>
      <w:tr>
        <w:trPr/>
        <w:tc>
          <w:tcPr>
            <w:tcW w:w="1211"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Linked</w:t>
            </w:r>
          </w:p>
        </w:tc>
        <w:tc>
          <w:tcPr>
            <w:tcW w:w="4320"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SOP-03 §7; SOP-13 §4; QO-7</w:t>
            </w:r>
          </w:p>
        </w:tc>
      </w:tr>
    </w:tbl>
    <w:p>
      <w:pPr>
        <w:pStyle w:val="Heading3"/>
        <w:bidi w:val="0"/>
        <w:jc w:val="left"/>
        <w:rPr/>
      </w:pPr>
      <w:r>
        <w:rPr/>
        <w:t>R-04 — Application authentication is off by default and does not cover WebSockets</w:t>
      </w:r>
    </w:p>
    <w:tbl>
      <w:tblPr>
        <w:tblW w:w="5000" w:type="pct"/>
        <w:jc w:val="left"/>
        <w:tblInd w:w="-7" w:type="dxa"/>
        <w:tblLayout w:type="fixed"/>
        <w:tblCellMar>
          <w:top w:w="60" w:type="dxa"/>
          <w:left w:w="60" w:type="dxa"/>
          <w:bottom w:w="60" w:type="dxa"/>
          <w:right w:w="60" w:type="dxa"/>
        </w:tblCellMar>
      </w:tblPr>
      <w:tblGrid>
        <w:gridCol w:w="1118"/>
        <w:gridCol w:w="4413"/>
      </w:tblGrid>
      <w:tr>
        <w:trPr>
          <w:tblHeader w:val="true"/>
        </w:trPr>
        <w:tc>
          <w:tcPr>
            <w:tcW w:w="1118"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rPr>
                <w:sz w:val="4"/>
                <w:szCs w:val="4"/>
              </w:rPr>
            </w:pPr>
            <w:r>
              <w:rPr>
                <w:sz w:val="4"/>
                <w:szCs w:val="4"/>
              </w:rPr>
            </w:r>
          </w:p>
        </w:tc>
        <w:tc>
          <w:tcPr>
            <w:tcW w:w="4413"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rPr>
                <w:sz w:val="4"/>
                <w:szCs w:val="4"/>
              </w:rPr>
            </w:pPr>
            <w:r>
              <w:rPr>
                <w:sz w:val="4"/>
                <w:szCs w:val="4"/>
              </w:rPr>
            </w:r>
          </w:p>
        </w:tc>
      </w:tr>
      <w:tr>
        <w:trPr/>
        <w:tc>
          <w:tcPr>
            <w:tcW w:w="111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Category</w:t>
            </w:r>
          </w:p>
        </w:tc>
        <w:tc>
          <w:tcPr>
            <w:tcW w:w="441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Customer data / access control</w:t>
            </w:r>
          </w:p>
        </w:tc>
      </w:tr>
      <w:tr>
        <w:trPr/>
        <w:tc>
          <w:tcPr>
            <w:tcW w:w="111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Description</w:t>
            </w:r>
          </w:p>
        </w:tc>
        <w:tc>
          <w:tcPr>
            <w:tcW w:w="441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AUTH_ENABLED</w:t>
            </w:r>
            <w:r>
              <w:rPr/>
              <w:t xml:space="preserve"> defaults to </w:t>
            </w:r>
            <w:r>
              <w:rPr>
                <w:rStyle w:val="SourceText"/>
              </w:rPr>
              <w:t>0</w:t>
            </w:r>
            <w:r>
              <w:rPr/>
              <w:t xml:space="preserve"> (</w:t>
            </w:r>
            <w:r>
              <w:rPr>
                <w:rStyle w:val="SourceText"/>
              </w:rPr>
              <w:t>docker-compose.yml:90</w:t>
            </w:r>
            <w:r>
              <w:rPr/>
              <w:t xml:space="preserve">, </w:t>
            </w:r>
            <w:r>
              <w:rPr>
                <w:rStyle w:val="SourceText"/>
              </w:rPr>
              <w:t>backend/app/core/config.py:231</w:t>
            </w:r>
            <w:r>
              <w:rPr/>
              <w:t xml:space="preserve">). The auth middleware is HTTP-only — the code states it plainly at </w:t>
            </w:r>
            <w:r>
              <w:rPr>
                <w:rStyle w:val="SourceText"/>
              </w:rPr>
              <w:t>backend/app/main.py:157</w:t>
            </w:r>
            <w:r>
              <w:rPr/>
              <w:t xml:space="preserve">: </w:t>
            </w:r>
            <w:r>
              <w:rPr>
                <w:rStyle w:val="Emphasis"/>
              </w:rPr>
              <w:t>"WebSocket endpoints are not gated here yet."</w:t>
            </w:r>
            <w:r>
              <w:rPr/>
              <w:t xml:space="preserve"> </w:t>
            </w:r>
            <w:r>
              <w:rPr>
                <w:rStyle w:val="SourceText"/>
              </w:rPr>
              <w:t>CORS_ALLOW_ORIGINS</w:t>
            </w:r>
            <w:r>
              <w:rPr/>
              <w:t xml:space="preserve"> defaults to </w:t>
            </w:r>
            <w:r>
              <w:rPr>
                <w:rStyle w:val="SourceText"/>
              </w:rPr>
              <w:t>*</w:t>
            </w:r>
            <w:r>
              <w:rPr/>
              <w:t xml:space="preserve">; </w:t>
            </w:r>
            <w:r>
              <w:rPr>
                <w:rStyle w:val="SourceText"/>
              </w:rPr>
              <w:t>RATE_LIMIT_PER_MIN</w:t>
            </w:r>
            <w:r>
              <w:rPr/>
              <w:t xml:space="preserve"> defaults to </w:t>
            </w:r>
            <w:r>
              <w:rPr>
                <w:rStyle w:val="SourceText"/>
              </w:rPr>
              <w:t>0</w:t>
            </w:r>
            <w:r>
              <w:rPr/>
              <w:t xml:space="preserve"> (off). Critically, the tenant-isolation boundary in </w:t>
            </w:r>
            <w:r>
              <w:rPr>
                <w:rStyle w:val="SourceText"/>
              </w:rPr>
              <w:t>_effective_ns()</w:t>
            </w:r>
            <w:r>
              <w:rPr/>
              <w:t xml:space="preserve"> (</w:t>
            </w:r>
            <w:r>
              <w:rPr>
                <w:rStyle w:val="SourceText"/>
              </w:rPr>
              <w:t>backend/app/api/routes/chat.py:27-35</w:t>
            </w:r>
            <w:r>
              <w:rPr/>
              <w:t xml:space="preserve">) </w:t>
            </w:r>
            <w:r>
              <w:rPr>
                <w:rStyle w:val="Strong"/>
              </w:rPr>
              <w:t>only applies when auth is enabled</w:t>
            </w:r>
            <w:r>
              <w:rPr/>
              <w:t xml:space="preserve"> — with auth off, the knowledge-base namespace is whatever the client sends, unverified.</w:t>
            </w:r>
          </w:p>
        </w:tc>
      </w:tr>
      <w:tr>
        <w:trPr/>
        <w:tc>
          <w:tcPr>
            <w:tcW w:w="111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Evidence</w:t>
            </w:r>
          </w:p>
        </w:tc>
        <w:tc>
          <w:tcPr>
            <w:tcW w:w="441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The files cited; </w:t>
            </w:r>
            <w:r>
              <w:rPr>
                <w:rStyle w:val="SourceText"/>
              </w:rPr>
              <w:t>docs/PUBLIC_DEPLOYMENT.md</w:t>
            </w:r>
            <w:r>
              <w:rPr/>
              <w:t xml:space="preserve"> step 4 titled "Put a login wall in front (MANDATORY)".</w:t>
            </w:r>
          </w:p>
        </w:tc>
      </w:tr>
      <w:tr>
        <w:trPr/>
        <w:tc>
          <w:tcPr>
            <w:tcW w:w="111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Likelihood / Impact / Rating</w:t>
            </w:r>
          </w:p>
        </w:tc>
        <w:tc>
          <w:tcPr>
            <w:tcW w:w="441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3 / 5 / </w:t>
            </w:r>
            <w:r>
              <w:rPr>
                <w:rStyle w:val="Strong"/>
              </w:rPr>
              <w:t>15 — Critical</w:t>
            </w:r>
            <w:r>
              <w:rPr/>
              <w:t xml:space="preserve"> (as deployed on a trusted LAN the likelihood is lower; the rating reflects the default configuration)</w:t>
            </w:r>
          </w:p>
        </w:tc>
      </w:tr>
      <w:tr>
        <w:trPr/>
        <w:tc>
          <w:tcPr>
            <w:tcW w:w="111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Existing controls</w:t>
            </w:r>
          </w:p>
        </w:tc>
        <w:tc>
          <w:tcPr>
            <w:tcW w:w="441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Cloudflare Access in front of the public instance — </w:t>
            </w:r>
            <w:r>
              <w:rPr>
                <w:rStyle w:val="Strong"/>
              </w:rPr>
              <w:t>not in place</w:t>
            </w:r>
            <w:r>
              <w:rPr/>
              <w:t xml:space="preserve"> — the public instance is gated by application auth instead, which had been switched off until 2026-10-06 (NC-2026-009): this risk materialised there; the auth implementation itself is sound (PBKDF2-HMAC-SHA256, 200,000 iterations, constant-time verify). The deployment documentation is explicit that gating is mandatory.</w:t>
            </w:r>
          </w:p>
        </w:tc>
      </w:tr>
      <w:tr>
        <w:trPr/>
        <w:tc>
          <w:tcPr>
            <w:tcW w:w="111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Treatment</w:t>
            </w:r>
          </w:p>
        </w:tc>
        <w:tc>
          <w:tcPr>
            <w:tcW w:w="441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Reduce.</w:t>
            </w:r>
            <w:r>
              <w:rPr/>
              <w:t xml:space="preserve"> Extend the auth middleware to WebSocket endpoints; decide whether </w:t>
            </w:r>
            <w:r>
              <w:rPr>
                <w:rStyle w:val="SourceText"/>
              </w:rPr>
              <w:t>AUTH_ENABLED=1</w:t>
            </w:r>
            <w:r>
              <w:rPr/>
              <w:t xml:space="preserve"> should be the default for customer deployments; narrow the default CORS origin.</w:t>
            </w:r>
          </w:p>
        </w:tc>
      </w:tr>
      <w:tr>
        <w:trPr/>
        <w:tc>
          <w:tcPr>
            <w:tcW w:w="111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Owner / due</w:t>
            </w:r>
          </w:p>
        </w:tc>
        <w:tc>
          <w:tcPr>
            <w:tcW w:w="441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Kishan Haravu Pradeep / 2026-10-31</w:t>
            </w:r>
          </w:p>
        </w:tc>
      </w:tr>
      <w:tr>
        <w:trPr/>
        <w:tc>
          <w:tcPr>
            <w:tcW w:w="111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Residual</w:t>
            </w:r>
          </w:p>
        </w:tc>
        <w:tc>
          <w:tcPr>
            <w:tcW w:w="441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 / 4 / 8 — Medium</w:t>
            </w:r>
          </w:p>
        </w:tc>
      </w:tr>
      <w:tr>
        <w:trPr/>
        <w:tc>
          <w:tcPr>
            <w:tcW w:w="1118"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Linked</w:t>
            </w:r>
          </w:p>
        </w:tc>
        <w:tc>
          <w:tcPr>
            <w:tcW w:w="4413"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SOP-11 §5; NC-2026-003; NC-2026-009</w:t>
            </w:r>
          </w:p>
        </w:tc>
      </w:tr>
    </w:tbl>
    <w:p>
      <w:pPr>
        <w:pStyle w:val="Heading3"/>
        <w:bidi w:val="0"/>
        <w:jc w:val="left"/>
        <w:rPr/>
      </w:pPr>
      <w:r>
        <w:rPr/>
        <w:t>R-05 — Tenant isolation has failed twice in the same way</w:t>
      </w:r>
    </w:p>
    <w:tbl>
      <w:tblPr>
        <w:tblW w:w="5000" w:type="pct"/>
        <w:jc w:val="left"/>
        <w:tblInd w:w="-7" w:type="dxa"/>
        <w:tblLayout w:type="fixed"/>
        <w:tblCellMar>
          <w:top w:w="60" w:type="dxa"/>
          <w:left w:w="60" w:type="dxa"/>
          <w:bottom w:w="60" w:type="dxa"/>
          <w:right w:w="60" w:type="dxa"/>
        </w:tblCellMar>
      </w:tblPr>
      <w:tblGrid>
        <w:gridCol w:w="1367"/>
        <w:gridCol w:w="4164"/>
      </w:tblGrid>
      <w:tr>
        <w:trPr>
          <w:tblHeader w:val="true"/>
        </w:trPr>
        <w:tc>
          <w:tcPr>
            <w:tcW w:w="1367"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rPr>
                <w:sz w:val="4"/>
                <w:szCs w:val="4"/>
              </w:rPr>
            </w:pPr>
            <w:r>
              <w:rPr>
                <w:sz w:val="4"/>
                <w:szCs w:val="4"/>
              </w:rPr>
            </w:r>
          </w:p>
        </w:tc>
        <w:tc>
          <w:tcPr>
            <w:tcW w:w="4164"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rPr>
                <w:sz w:val="4"/>
                <w:szCs w:val="4"/>
              </w:rPr>
            </w:pPr>
            <w:r>
              <w:rPr>
                <w:sz w:val="4"/>
                <w:szCs w:val="4"/>
              </w:rPr>
            </w:r>
          </w:p>
        </w:tc>
      </w:tr>
      <w:tr>
        <w:trPr/>
        <w:tc>
          <w:tcPr>
            <w:tcW w:w="136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Category</w:t>
            </w:r>
          </w:p>
        </w:tc>
        <w:tc>
          <w:tcPr>
            <w:tcW w:w="416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Customer data / design</w:t>
            </w:r>
          </w:p>
        </w:tc>
      </w:tr>
      <w:tr>
        <w:trPr/>
        <w:tc>
          <w:tcPr>
            <w:tcW w:w="136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Description</w:t>
            </w:r>
          </w:p>
        </w:tc>
        <w:tc>
          <w:tcPr>
            <w:tcW w:w="416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Namespace isolation is enforced by a predicate applied inside each retrieval path rather than structurally. Two separate paths have bypassed it.</w:t>
            </w:r>
          </w:p>
        </w:tc>
      </w:tr>
      <w:tr>
        <w:trPr/>
        <w:tc>
          <w:tcPr>
            <w:tcW w:w="136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Evidence</w:t>
            </w:r>
          </w:p>
        </w:tc>
        <w:tc>
          <w:tcPr>
            <w:tcW w:w="416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NC-2026-001 (</w:t>
            </w:r>
            <w:r>
              <w:rPr>
                <w:rStyle w:val="SourceText"/>
              </w:rPr>
              <w:t>4e27109</w:t>
            </w:r>
            <w:r>
              <w:rPr/>
              <w:t>, sparse transcript path, 10/10 out-of-namespace chunks returned) and NC-2026-002 (</w:t>
            </w:r>
            <w:r>
              <w:rPr>
                <w:rStyle w:val="SourceText"/>
              </w:rPr>
              <w:t>ebd232f</w:t>
            </w:r>
            <w:r>
              <w:rPr/>
              <w:t>, keyword-grep fallback path).</w:t>
            </w:r>
          </w:p>
        </w:tc>
      </w:tr>
      <w:tr>
        <w:trPr/>
        <w:tc>
          <w:tcPr>
            <w:tcW w:w="136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Likelihood / Impact / Rating</w:t>
            </w:r>
          </w:p>
        </w:tc>
        <w:tc>
          <w:tcPr>
            <w:tcW w:w="416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3 / 5 / </w:t>
            </w:r>
            <w:r>
              <w:rPr>
                <w:rStyle w:val="Strong"/>
              </w:rPr>
              <w:t>15 — Critical</w:t>
            </w:r>
            <w:r>
              <w:rPr/>
              <w:t xml:space="preserve"> — a recurrence of a defect class is evidence the cause was not removed</w:t>
            </w:r>
          </w:p>
        </w:tc>
      </w:tr>
      <w:tr>
        <w:trPr/>
        <w:tc>
          <w:tcPr>
            <w:tcW w:w="136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Existing controls</w:t>
            </w:r>
          </w:p>
        </w:tc>
        <w:tc>
          <w:tcPr>
            <w:tcW w:w="416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Post-fix audit of all five retrieval paths: 0/359 out-of-namespace hits. Candidate-pool widening so namespace filtering does not starve small tenants.</w:t>
            </w:r>
          </w:p>
        </w:tc>
      </w:tr>
      <w:tr>
        <w:trPr/>
        <w:tc>
          <w:tcPr>
            <w:tcW w:w="136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Treatment</w:t>
            </w:r>
          </w:p>
        </w:tc>
        <w:tc>
          <w:tcPr>
            <w:tcW w:w="416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Reduce.</w:t>
            </w:r>
            <w:r>
              <w:rPr/>
              <w:t xml:space="preserve"> Make the filter structural so a newly added retrieval path cannot bypass it (a single enforced entry point rather than a convention).</w:t>
            </w:r>
          </w:p>
        </w:tc>
      </w:tr>
      <w:tr>
        <w:trPr/>
        <w:tc>
          <w:tcPr>
            <w:tcW w:w="136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Owner / due</w:t>
            </w:r>
          </w:p>
        </w:tc>
        <w:tc>
          <w:tcPr>
            <w:tcW w:w="416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Richard Watson Stephen Amudha / 2026-11-30</w:t>
            </w:r>
          </w:p>
        </w:tc>
      </w:tr>
      <w:tr>
        <w:trPr/>
        <w:tc>
          <w:tcPr>
            <w:tcW w:w="136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Residual</w:t>
            </w:r>
          </w:p>
        </w:tc>
        <w:tc>
          <w:tcPr>
            <w:tcW w:w="416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 / 5 / 10 — High</w:t>
            </w:r>
          </w:p>
        </w:tc>
      </w:tr>
      <w:tr>
        <w:trPr/>
        <w:tc>
          <w:tcPr>
            <w:tcW w:w="1367"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Linked</w:t>
            </w:r>
          </w:p>
        </w:tc>
        <w:tc>
          <w:tcPr>
            <w:tcW w:w="4164"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REG-04 observation O-2</w:t>
            </w:r>
          </w:p>
        </w:tc>
      </w:tr>
    </w:tbl>
    <w:p>
      <w:pPr>
        <w:pStyle w:val="Heading3"/>
        <w:bidi w:val="0"/>
        <w:jc w:val="left"/>
        <w:rPr/>
      </w:pPr>
      <w:r>
        <w:rPr/>
        <w:t>R-06 — Unbounded data growth with no retention policy</w:t>
      </w:r>
    </w:p>
    <w:tbl>
      <w:tblPr>
        <w:tblW w:w="5000" w:type="pct"/>
        <w:jc w:val="left"/>
        <w:tblInd w:w="-7" w:type="dxa"/>
        <w:tblLayout w:type="fixed"/>
        <w:tblCellMar>
          <w:top w:w="60" w:type="dxa"/>
          <w:left w:w="60" w:type="dxa"/>
          <w:bottom w:w="60" w:type="dxa"/>
          <w:right w:w="60" w:type="dxa"/>
        </w:tblCellMar>
      </w:tblPr>
      <w:tblGrid>
        <w:gridCol w:w="1212"/>
        <w:gridCol w:w="4319"/>
      </w:tblGrid>
      <w:tr>
        <w:trPr>
          <w:tblHeader w:val="true"/>
        </w:trPr>
        <w:tc>
          <w:tcPr>
            <w:tcW w:w="1212"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rPr>
                <w:sz w:val="4"/>
                <w:szCs w:val="4"/>
              </w:rPr>
            </w:pPr>
            <w:r>
              <w:rPr>
                <w:sz w:val="4"/>
                <w:szCs w:val="4"/>
              </w:rPr>
            </w:r>
          </w:p>
        </w:tc>
        <w:tc>
          <w:tcPr>
            <w:tcW w:w="4319"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rPr>
                <w:sz w:val="4"/>
                <w:szCs w:val="4"/>
              </w:rPr>
            </w:pPr>
            <w:r>
              <w:rPr>
                <w:sz w:val="4"/>
                <w:szCs w:val="4"/>
              </w:rPr>
            </w:r>
          </w:p>
        </w:tc>
      </w:tr>
      <w:tr>
        <w:trPr/>
        <w:tc>
          <w:tcPr>
            <w:tcW w:w="121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Category</w:t>
            </w:r>
          </w:p>
        </w:tc>
        <w:tc>
          <w:tcPr>
            <w:tcW w:w="431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Customer data / capacity</w:t>
            </w:r>
          </w:p>
        </w:tc>
      </w:tr>
      <w:tr>
        <w:trPr/>
        <w:tc>
          <w:tcPr>
            <w:tcW w:w="121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Description</w:t>
            </w:r>
          </w:p>
        </w:tc>
        <w:tc>
          <w:tcPr>
            <w:tcW w:w="431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AUTO_STORE_INTERVAL_SEC=60</w:t>
            </w:r>
            <w:r>
              <w:rPr/>
              <w:t xml:space="preserve"> auto-stores live transcript content into the knowledge base every 60 seconds while recording. There is no retention policy, no scheduled deletion and no pruning of the </w:t>
            </w:r>
            <w:r>
              <w:rPr>
                <w:rStyle w:val="SourceText"/>
              </w:rPr>
              <w:t>activity_log</w:t>
            </w:r>
            <w:r>
              <w:rPr/>
              <w:t xml:space="preserve"> table. Beyond storage cost, accumulated transcript dilutes retrieval quality.</w:t>
            </w:r>
          </w:p>
        </w:tc>
      </w:tr>
      <w:tr>
        <w:trPr/>
        <w:tc>
          <w:tcPr>
            <w:tcW w:w="121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Evidence</w:t>
            </w:r>
          </w:p>
        </w:tc>
        <w:tc>
          <w:tcPr>
            <w:tcW w:w="431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eval/paper/results/SUMMARY.json</w:t>
            </w:r>
            <w:r>
              <w:rPr/>
              <w:t xml:space="preserve"> (E2) records that at one point only </w:t>
            </w:r>
            <w:r>
              <w:rPr>
                <w:rStyle w:val="Strong"/>
              </w:rPr>
              <w:t>421 of 17,514 chunks were content</w:t>
            </w:r>
            <w:r>
              <w:rPr/>
              <w:t xml:space="preserve"> — roughly 97.6% of the corpus was auto-accumulated transcript. NC-2026-001 became observable </w:t>
            </w:r>
            <w:r>
              <w:rPr>
                <w:rStyle w:val="Emphasis"/>
              </w:rPr>
              <w:t>because</w:t>
            </w:r>
            <w:r>
              <w:rPr/>
              <w:t xml:space="preserve"> of this growth.</w:t>
            </w:r>
          </w:p>
        </w:tc>
      </w:tr>
      <w:tr>
        <w:trPr/>
        <w:tc>
          <w:tcPr>
            <w:tcW w:w="121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Likelihood / Impact / Rating</w:t>
            </w:r>
          </w:p>
        </w:tc>
        <w:tc>
          <w:tcPr>
            <w:tcW w:w="431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4 / 3 / </w:t>
            </w:r>
            <w:r>
              <w:rPr>
                <w:rStyle w:val="Strong"/>
              </w:rPr>
              <w:t>12 — High</w:t>
            </w:r>
          </w:p>
        </w:tc>
      </w:tr>
      <w:tr>
        <w:trPr/>
        <w:tc>
          <w:tcPr>
            <w:tcW w:w="121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Existing controls</w:t>
            </w:r>
          </w:p>
        </w:tc>
        <w:tc>
          <w:tcPr>
            <w:tcW w:w="431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Six manual delete endpoints exist.</w:t>
            </w:r>
          </w:p>
        </w:tc>
      </w:tr>
      <w:tr>
        <w:trPr/>
        <w:tc>
          <w:tcPr>
            <w:tcW w:w="121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Treatment</w:t>
            </w:r>
          </w:p>
        </w:tc>
        <w:tc>
          <w:tcPr>
            <w:tcW w:w="431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Reduce.</w:t>
            </w:r>
            <w:r>
              <w:rPr/>
              <w:t xml:space="preserve"> Define a retention policy per data class; implement scheduled deletion; prune </w:t>
            </w:r>
            <w:r>
              <w:rPr>
                <w:rStyle w:val="SourceText"/>
              </w:rPr>
              <w:t>activity_log</w:t>
            </w:r>
            <w:r>
              <w:rPr/>
              <w:t>.</w:t>
            </w:r>
          </w:p>
        </w:tc>
      </w:tr>
      <w:tr>
        <w:trPr/>
        <w:tc>
          <w:tcPr>
            <w:tcW w:w="121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Owner / due</w:t>
            </w:r>
          </w:p>
        </w:tc>
        <w:tc>
          <w:tcPr>
            <w:tcW w:w="431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Kishan Haravu Pradeep / 2026-10-31</w:t>
            </w:r>
          </w:p>
        </w:tc>
      </w:tr>
      <w:tr>
        <w:trPr/>
        <w:tc>
          <w:tcPr>
            <w:tcW w:w="121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Residual</w:t>
            </w:r>
          </w:p>
        </w:tc>
        <w:tc>
          <w:tcPr>
            <w:tcW w:w="431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 / 2 / 4 — Low</w:t>
            </w:r>
          </w:p>
        </w:tc>
      </w:tr>
      <w:tr>
        <w:trPr/>
        <w:tc>
          <w:tcPr>
            <w:tcW w:w="1212"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Linked</w:t>
            </w:r>
          </w:p>
        </w:tc>
        <w:tc>
          <w:tcPr>
            <w:tcW w:w="4319"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SOP-11 §7</w:t>
            </w:r>
          </w:p>
        </w:tc>
      </w:tr>
    </w:tbl>
    <w:p>
      <w:pPr>
        <w:pStyle w:val="Heading3"/>
        <w:bidi w:val="0"/>
        <w:jc w:val="left"/>
        <w:rPr/>
      </w:pPr>
      <w:r>
        <w:rPr/>
        <w:t>R-07 — Container logs grow without limit</w:t>
      </w:r>
    </w:p>
    <w:tbl>
      <w:tblPr>
        <w:tblW w:w="5000" w:type="pct"/>
        <w:jc w:val="left"/>
        <w:tblInd w:w="-7" w:type="dxa"/>
        <w:tblLayout w:type="fixed"/>
        <w:tblCellMar>
          <w:top w:w="60" w:type="dxa"/>
          <w:left w:w="60" w:type="dxa"/>
          <w:bottom w:w="60" w:type="dxa"/>
          <w:right w:w="60" w:type="dxa"/>
        </w:tblCellMar>
      </w:tblPr>
      <w:tblGrid>
        <w:gridCol w:w="1209"/>
        <w:gridCol w:w="4322"/>
      </w:tblGrid>
      <w:tr>
        <w:trPr>
          <w:tblHeader w:val="true"/>
        </w:trPr>
        <w:tc>
          <w:tcPr>
            <w:tcW w:w="1209"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rPr>
                <w:sz w:val="4"/>
                <w:szCs w:val="4"/>
              </w:rPr>
            </w:pPr>
            <w:r>
              <w:rPr>
                <w:sz w:val="4"/>
                <w:szCs w:val="4"/>
              </w:rPr>
            </w:r>
          </w:p>
        </w:tc>
        <w:tc>
          <w:tcPr>
            <w:tcW w:w="4322"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rPr>
                <w:sz w:val="4"/>
                <w:szCs w:val="4"/>
              </w:rPr>
            </w:pPr>
            <w:r>
              <w:rPr>
                <w:sz w:val="4"/>
                <w:szCs w:val="4"/>
              </w:rPr>
            </w:r>
          </w:p>
        </w:tc>
      </w:tr>
      <w:tr>
        <w:trPr/>
        <w:tc>
          <w:tcPr>
            <w:tcW w:w="120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Category</w:t>
            </w:r>
          </w:p>
        </w:tc>
        <w:tc>
          <w:tcPr>
            <w:tcW w:w="432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Operations</w:t>
            </w:r>
          </w:p>
        </w:tc>
      </w:tr>
      <w:tr>
        <w:trPr/>
        <w:tc>
          <w:tcPr>
            <w:tcW w:w="120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Description</w:t>
            </w:r>
          </w:p>
        </w:tc>
        <w:tc>
          <w:tcPr>
            <w:tcW w:w="432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docker-compose.yml</w:t>
            </w:r>
            <w:r>
              <w:rPr/>
              <w:t xml:space="preserve"> sets no </w:t>
            </w:r>
            <w:r>
              <w:rPr>
                <w:rStyle w:val="SourceText"/>
              </w:rPr>
              <w:t>logging:</w:t>
            </w:r>
            <w:r>
              <w:rPr/>
              <w:t xml:space="preserve"> driver or options on any service, so Docker's default </w:t>
            </w:r>
            <w:r>
              <w:rPr>
                <w:rStyle w:val="SourceText"/>
              </w:rPr>
              <w:t>json-file</w:t>
            </w:r>
            <w:r>
              <w:rPr/>
              <w:t xml:space="preserve"> driver applies with no </w:t>
            </w:r>
            <w:r>
              <w:rPr>
                <w:rStyle w:val="SourceText"/>
              </w:rPr>
              <w:t>max-size</w:t>
            </w:r>
            <w:r>
              <w:rPr/>
              <w:t xml:space="preserve"> or </w:t>
            </w:r>
            <w:r>
              <w:rPr>
                <w:rStyle w:val="SourceText"/>
              </w:rPr>
              <w:t>max-file</w:t>
            </w:r>
            <w:r>
              <w:rPr/>
              <w:t>. Logs grow until the disk fills, which would take down every service including the database.</w:t>
            </w:r>
          </w:p>
        </w:tc>
      </w:tr>
      <w:tr>
        <w:trPr/>
        <w:tc>
          <w:tcPr>
            <w:tcW w:w="120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Evidence</w:t>
            </w:r>
          </w:p>
        </w:tc>
        <w:tc>
          <w:tcPr>
            <w:tcW w:w="432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Absence of any </w:t>
            </w:r>
            <w:r>
              <w:rPr>
                <w:rStyle w:val="SourceText"/>
              </w:rPr>
              <w:t>logging:</w:t>
            </w:r>
            <w:r>
              <w:rPr/>
              <w:t xml:space="preserve"> block in </w:t>
            </w:r>
            <w:r>
              <w:rPr>
                <w:rStyle w:val="SourceText"/>
              </w:rPr>
              <w:t>docker-compose.yml</w:t>
            </w:r>
            <w:r>
              <w:rPr/>
              <w:t>.</w:t>
            </w:r>
          </w:p>
        </w:tc>
      </w:tr>
      <w:tr>
        <w:trPr/>
        <w:tc>
          <w:tcPr>
            <w:tcW w:w="120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Likelihood / Impact / Rating</w:t>
            </w:r>
          </w:p>
        </w:tc>
        <w:tc>
          <w:tcPr>
            <w:tcW w:w="432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4 / 4 / </w:t>
            </w:r>
            <w:r>
              <w:rPr>
                <w:rStyle w:val="Strong"/>
              </w:rPr>
              <w:t>16 — Critical</w:t>
            </w:r>
            <w:r>
              <w:rPr/>
              <w:t xml:space="preserve"> on a long-running deployment</w:t>
            </w:r>
          </w:p>
        </w:tc>
      </w:tr>
      <w:tr>
        <w:trPr/>
        <w:tc>
          <w:tcPr>
            <w:tcW w:w="120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Existing controls</w:t>
            </w:r>
          </w:p>
        </w:tc>
        <w:tc>
          <w:tcPr>
            <w:tcW w:w="432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Bounded logging (50 MB x 5) on all six services (2026-09-22).</w:t>
            </w:r>
            <w:r>
              <w:rPr/>
              <w:t xml:space="preserve"> Takes effect on the next </w:t>
            </w:r>
            <w:r>
              <w:rPr>
                <w:rStyle w:val="SourceText"/>
              </w:rPr>
              <w:t>docker compose up -d</w:t>
            </w:r>
            <w:r>
              <w:rPr/>
              <w:t>; running containers keep their original config until recreated.</w:t>
            </w:r>
          </w:p>
        </w:tc>
      </w:tr>
      <w:tr>
        <w:trPr/>
        <w:tc>
          <w:tcPr>
            <w:tcW w:w="120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Treatment</w:t>
            </w:r>
          </w:p>
        </w:tc>
        <w:tc>
          <w:tcPr>
            <w:tcW w:w="432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Reduced.</w:t>
            </w:r>
            <w:r>
              <w:rPr/>
              <w:t xml:space="preserve"> Residual: verify after the next recreate that the running containers carry the new LogConfig. </w:t>
            </w:r>
            <w:r>
              <w:rPr>
                <w:rStyle w:val="Emphasis"/>
              </w:rPr>
              <w:t>Applied 2026-10-06: all six containers recreated and verified to carry the 50 MB × 5 LogConfig.</w:t>
            </w:r>
          </w:p>
        </w:tc>
      </w:tr>
      <w:tr>
        <w:trPr/>
        <w:tc>
          <w:tcPr>
            <w:tcW w:w="120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Owner / due</w:t>
            </w:r>
          </w:p>
        </w:tc>
        <w:tc>
          <w:tcPr>
            <w:tcW w:w="432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Richard Watson Stephen Amudha / Closed — applied 2026-10-06</w:t>
            </w:r>
          </w:p>
        </w:tc>
      </w:tr>
      <w:tr>
        <w:trPr/>
        <w:tc>
          <w:tcPr>
            <w:tcW w:w="120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Residual</w:t>
            </w:r>
          </w:p>
        </w:tc>
        <w:tc>
          <w:tcPr>
            <w:tcW w:w="432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1 / 4 / 4 — Low</w:t>
            </w:r>
          </w:p>
        </w:tc>
      </w:tr>
      <w:tr>
        <w:trPr/>
        <w:tc>
          <w:tcPr>
            <w:tcW w:w="1209"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Linked</w:t>
            </w:r>
          </w:p>
        </w:tc>
        <w:tc>
          <w:tcPr>
            <w:tcW w:w="4322"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SOP-12 §6</w:t>
            </w:r>
          </w:p>
        </w:tc>
      </w:tr>
    </w:tbl>
    <w:p>
      <w:pPr>
        <w:pStyle w:val="Heading3"/>
        <w:bidi w:val="0"/>
        <w:jc w:val="left"/>
        <w:rPr/>
      </w:pPr>
      <w:r>
        <w:rPr/>
        <w:t>R-08 — No verification is automatically enforced</w:t>
      </w:r>
    </w:p>
    <w:tbl>
      <w:tblPr>
        <w:tblW w:w="5000" w:type="pct"/>
        <w:jc w:val="left"/>
        <w:tblInd w:w="-7" w:type="dxa"/>
        <w:tblLayout w:type="fixed"/>
        <w:tblCellMar>
          <w:top w:w="60" w:type="dxa"/>
          <w:left w:w="60" w:type="dxa"/>
          <w:bottom w:w="60" w:type="dxa"/>
          <w:right w:w="60" w:type="dxa"/>
        </w:tblCellMar>
      </w:tblPr>
      <w:tblGrid>
        <w:gridCol w:w="1239"/>
        <w:gridCol w:w="4292"/>
      </w:tblGrid>
      <w:tr>
        <w:trPr>
          <w:tblHeader w:val="true"/>
        </w:trPr>
        <w:tc>
          <w:tcPr>
            <w:tcW w:w="1239"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rPr>
                <w:sz w:val="4"/>
                <w:szCs w:val="4"/>
              </w:rPr>
            </w:pPr>
            <w:r>
              <w:rPr>
                <w:sz w:val="4"/>
                <w:szCs w:val="4"/>
              </w:rPr>
            </w:r>
          </w:p>
        </w:tc>
        <w:tc>
          <w:tcPr>
            <w:tcW w:w="4292"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rPr>
                <w:sz w:val="4"/>
                <w:szCs w:val="4"/>
              </w:rPr>
            </w:pPr>
            <w:r>
              <w:rPr>
                <w:sz w:val="4"/>
                <w:szCs w:val="4"/>
              </w:rPr>
            </w:r>
          </w:p>
        </w:tc>
      </w:tr>
      <w:tr>
        <w:trPr/>
        <w:tc>
          <w:tcPr>
            <w:tcW w:w="123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Category</w:t>
            </w:r>
          </w:p>
        </w:tc>
        <w:tc>
          <w:tcPr>
            <w:tcW w:w="429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Design and development</w:t>
            </w:r>
          </w:p>
        </w:tc>
      </w:tr>
      <w:tr>
        <w:trPr/>
        <w:tc>
          <w:tcPr>
            <w:tcW w:w="123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Description</w:t>
            </w:r>
          </w:p>
        </w:tc>
        <w:tc>
          <w:tcPr>
            <w:tcW w:w="429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There is no CI of any kind (</w:t>
            </w:r>
            <w:r>
              <w:rPr>
                <w:rStyle w:val="SourceText"/>
              </w:rPr>
              <w:t>.github/</w:t>
            </w:r>
            <w:r>
              <w:rPr/>
              <w:t xml:space="preserve"> does not exist), no pre-commit, no linting, no type checking in the build (</w:t>
            </w:r>
            <w:r>
              <w:rPr>
                <w:rStyle w:val="SourceText"/>
              </w:rPr>
              <w:t>vite build</w:t>
            </w:r>
            <w:r>
              <w:rPr/>
              <w:t xml:space="preserve"> runs without </w:t>
            </w:r>
            <w:r>
              <w:rPr>
                <w:rStyle w:val="SourceText"/>
              </w:rPr>
              <w:t>tsc</w:t>
            </w:r>
            <w:r>
              <w:rPr/>
              <w:t xml:space="preserve">, and </w:t>
            </w:r>
            <w:r>
              <w:rPr>
                <w:rStyle w:val="SourceText"/>
              </w:rPr>
              <w:t>tsconfig.json</w:t>
            </w:r>
            <w:r>
              <w:rPr/>
              <w:t xml:space="preserve"> does not set </w:t>
            </w:r>
            <w:r>
              <w:rPr>
                <w:rStyle w:val="SourceText"/>
              </w:rPr>
              <w:t>strict</w:t>
            </w:r>
            <w:r>
              <w:rPr/>
              <w:t>). Every verification step depends on a person remembering to run it.</w:t>
            </w:r>
          </w:p>
        </w:tc>
      </w:tr>
      <w:tr>
        <w:trPr/>
        <w:tc>
          <w:tcPr>
            <w:tcW w:w="123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Evidence</w:t>
            </w:r>
          </w:p>
        </w:tc>
        <w:tc>
          <w:tcPr>
            <w:tcW w:w="429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Absence of the above; </w:t>
            </w:r>
            <w:r>
              <w:rPr>
                <w:rStyle w:val="SourceText"/>
              </w:rPr>
              <w:t>frontend/package.json:8</w:t>
            </w:r>
            <w:r>
              <w:rPr/>
              <w:t>.</w:t>
            </w:r>
          </w:p>
        </w:tc>
      </w:tr>
      <w:tr>
        <w:trPr/>
        <w:tc>
          <w:tcPr>
            <w:tcW w:w="123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Likelihood / Impact / Rating</w:t>
            </w:r>
          </w:p>
        </w:tc>
        <w:tc>
          <w:tcPr>
            <w:tcW w:w="429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4 / 3 / </w:t>
            </w:r>
            <w:r>
              <w:rPr>
                <w:rStyle w:val="Strong"/>
              </w:rPr>
              <w:t>12 — High</w:t>
            </w:r>
          </w:p>
        </w:tc>
      </w:tr>
      <w:tr>
        <w:trPr/>
        <w:tc>
          <w:tcPr>
            <w:tcW w:w="123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Existing controls</w:t>
            </w:r>
          </w:p>
        </w:tc>
        <w:tc>
          <w:tcPr>
            <w:tcW w:w="429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 strong manual verification habit evidenced in commit bodies; the golden evaluation and unit suites exist and are run — just not automatically.</w:t>
            </w:r>
          </w:p>
        </w:tc>
      </w:tr>
      <w:tr>
        <w:trPr/>
        <w:tc>
          <w:tcPr>
            <w:tcW w:w="123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Treatment</w:t>
            </w:r>
          </w:p>
        </w:tc>
        <w:tc>
          <w:tcPr>
            <w:tcW w:w="429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Reduce.</w:t>
            </w:r>
            <w:r>
              <w:rPr/>
              <w:t xml:space="preserve"> Add CI running the unit suites at minimum; wire in </w:t>
            </w:r>
            <w:r>
              <w:rPr>
                <w:rStyle w:val="SourceText"/>
              </w:rPr>
              <w:t>scripts/verify_offline_readiness.sh</w:t>
            </w:r>
            <w:r>
              <w:rPr/>
              <w:t>, which already exists and is currently called by nothing.</w:t>
            </w:r>
          </w:p>
        </w:tc>
      </w:tr>
      <w:tr>
        <w:trPr/>
        <w:tc>
          <w:tcPr>
            <w:tcW w:w="123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Owner / due</w:t>
            </w:r>
          </w:p>
        </w:tc>
        <w:tc>
          <w:tcPr>
            <w:tcW w:w="429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Richard Watson Stephen Amudha / Closed — CI 2026-10-07</w:t>
            </w:r>
          </w:p>
        </w:tc>
      </w:tr>
      <w:tr>
        <w:trPr/>
        <w:tc>
          <w:tcPr>
            <w:tcW w:w="123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Residual</w:t>
            </w:r>
          </w:p>
        </w:tc>
        <w:tc>
          <w:tcPr>
            <w:tcW w:w="429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 / 3 / 6 — Medium</w:t>
            </w:r>
          </w:p>
        </w:tc>
      </w:tr>
      <w:tr>
        <w:trPr/>
        <w:tc>
          <w:tcPr>
            <w:tcW w:w="1239"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Linked</w:t>
            </w:r>
          </w:p>
        </w:tc>
        <w:tc>
          <w:tcPr>
            <w:tcW w:w="4292"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QO-2; SOP-07</w:t>
            </w:r>
          </w:p>
        </w:tc>
      </w:tr>
    </w:tbl>
    <w:p>
      <w:pPr>
        <w:pStyle w:val="Heading3"/>
        <w:bidi w:val="0"/>
        <w:jc w:val="left"/>
        <w:rPr/>
      </w:pPr>
      <w:r>
        <w:rPr/>
        <w:t>R-09 — A running instance cannot be traced to its source</w:t>
      </w:r>
    </w:p>
    <w:tbl>
      <w:tblPr>
        <w:tblW w:w="5000" w:type="pct"/>
        <w:jc w:val="left"/>
        <w:tblInd w:w="-7" w:type="dxa"/>
        <w:tblLayout w:type="fixed"/>
        <w:tblCellMar>
          <w:top w:w="60" w:type="dxa"/>
          <w:left w:w="60" w:type="dxa"/>
          <w:bottom w:w="60" w:type="dxa"/>
          <w:right w:w="60" w:type="dxa"/>
        </w:tblCellMar>
      </w:tblPr>
      <w:tblGrid>
        <w:gridCol w:w="1197"/>
        <w:gridCol w:w="4334"/>
      </w:tblGrid>
      <w:tr>
        <w:trPr>
          <w:tblHeader w:val="true"/>
        </w:trPr>
        <w:tc>
          <w:tcPr>
            <w:tcW w:w="1197"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rPr>
                <w:sz w:val="4"/>
                <w:szCs w:val="4"/>
              </w:rPr>
            </w:pPr>
            <w:r>
              <w:rPr>
                <w:sz w:val="4"/>
                <w:szCs w:val="4"/>
              </w:rPr>
            </w:r>
          </w:p>
        </w:tc>
        <w:tc>
          <w:tcPr>
            <w:tcW w:w="4334"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rPr>
                <w:sz w:val="4"/>
                <w:szCs w:val="4"/>
              </w:rPr>
            </w:pPr>
            <w:r>
              <w:rPr>
                <w:sz w:val="4"/>
                <w:szCs w:val="4"/>
              </w:rPr>
            </w:r>
          </w:p>
        </w:tc>
      </w:tr>
      <w:tr>
        <w:trPr/>
        <w:tc>
          <w:tcPr>
            <w:tcW w:w="119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Category</w:t>
            </w:r>
          </w:p>
        </w:tc>
        <w:tc>
          <w:tcPr>
            <w:tcW w:w="433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Configuration control</w:t>
            </w:r>
          </w:p>
        </w:tc>
      </w:tr>
      <w:tr>
        <w:trPr/>
        <w:tc>
          <w:tcPr>
            <w:tcW w:w="119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Description</w:t>
            </w:r>
          </w:p>
        </w:tc>
        <w:tc>
          <w:tcPr>
            <w:tcW w:w="433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As at 2026-09-21: no git tags, no changelog, </w:t>
            </w:r>
            <w:r>
              <w:rPr>
                <w:rStyle w:val="SourceText"/>
              </w:rPr>
              <w:t>frontend/package.json</w:t>
            </w:r>
            <w:r>
              <w:rPr/>
              <w:t xml:space="preserve"> was </w:t>
            </w:r>
            <w:r>
              <w:rPr>
                <w:rStyle w:val="SourceText"/>
              </w:rPr>
              <w:t>"version": "0.0.0"</w:t>
            </w:r>
            <w:r>
              <w:rPr/>
              <w:t>, backend/voice/frontend images are untagged, and no endpoint reports a build identifier. If a customer reports a defect, the exact code they are running cannot be established from the running system.</w:t>
            </w:r>
          </w:p>
        </w:tc>
      </w:tr>
      <w:tr>
        <w:trPr/>
        <w:tc>
          <w:tcPr>
            <w:tcW w:w="119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Evidence</w:t>
            </w:r>
          </w:p>
        </w:tc>
        <w:tc>
          <w:tcPr>
            <w:tcW w:w="433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As at 2026-09-21: </w:t>
            </w:r>
            <w:r>
              <w:rPr>
                <w:rStyle w:val="SourceText"/>
              </w:rPr>
              <w:t>git tag</w:t>
            </w:r>
            <w:r>
              <w:rPr/>
              <w:t xml:space="preserve"> was empty; the files cited.</w:t>
            </w:r>
          </w:p>
        </w:tc>
      </w:tr>
      <w:tr>
        <w:trPr/>
        <w:tc>
          <w:tcPr>
            <w:tcW w:w="119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Likelihood / Impact / Rating</w:t>
            </w:r>
          </w:p>
        </w:tc>
        <w:tc>
          <w:tcPr>
            <w:tcW w:w="433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4 / 3 / </w:t>
            </w:r>
            <w:r>
              <w:rPr>
                <w:rStyle w:val="Strong"/>
              </w:rPr>
              <w:t>12 — High</w:t>
            </w:r>
          </w:p>
        </w:tc>
      </w:tr>
      <w:tr>
        <w:trPr/>
        <w:tc>
          <w:tcPr>
            <w:tcW w:w="119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Existing controls</w:t>
            </w:r>
          </w:p>
        </w:tc>
        <w:tc>
          <w:tcPr>
            <w:tcW w:w="433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Since 2026-10-06: annotated tags </w:t>
            </w:r>
            <w:r>
              <w:rPr>
                <w:rStyle w:val="SourceText"/>
              </w:rPr>
              <w:t>v1.4.0</w:t>
            </w:r>
            <w:r>
              <w:rPr/>
              <w:t>/</w:t>
            </w:r>
            <w:r>
              <w:rPr>
                <w:rStyle w:val="SourceText"/>
              </w:rPr>
              <w:t>v1.4.1</w:t>
            </w:r>
            <w:r>
              <w:rPr/>
              <w:t xml:space="preserve">, </w:t>
            </w:r>
            <w:r>
              <w:rPr>
                <w:rStyle w:val="SourceText"/>
              </w:rPr>
              <w:t>CHANGELOG.md</w:t>
            </w:r>
            <w:r>
              <w:rPr/>
              <w:t xml:space="preserve">, version </w:t>
            </w:r>
            <w:r>
              <w:rPr>
                <w:rStyle w:val="SourceText"/>
              </w:rPr>
              <w:t>1.4.1</w:t>
            </w:r>
            <w:r>
              <w:rPr/>
              <w:t xml:space="preserve"> in </w:t>
            </w:r>
            <w:r>
              <w:rPr>
                <w:rStyle w:val="SourceText"/>
              </w:rPr>
              <w:t>frontend/package.json</w:t>
            </w:r>
            <w:r>
              <w:rPr/>
              <w:t xml:space="preserve">, build identity in each image and at </w:t>
            </w:r>
            <w:r>
              <w:rPr>
                <w:rStyle w:val="SourceText"/>
              </w:rPr>
              <w:t>/api/version</w:t>
            </w:r>
            <w:r>
              <w:rPr/>
              <w:t xml:space="preserve">, voice </w:t>
            </w:r>
            <w:r>
              <w:rPr>
                <w:rStyle w:val="SourceText"/>
              </w:rPr>
              <w:t>/health</w:t>
            </w:r>
            <w:r>
              <w:rPr/>
              <w:t xml:space="preserve">, </w:t>
            </w:r>
            <w:r>
              <w:rPr>
                <w:rStyle w:val="SourceText"/>
              </w:rPr>
              <w:t>/build.json</w:t>
            </w:r>
            <w:r>
              <w:rPr/>
              <w:t xml:space="preserve">; </w:t>
            </w:r>
            <w:r>
              <w:rPr>
                <w:rStyle w:val="SourceText"/>
              </w:rPr>
              <w:t>REG-08</w:t>
            </w:r>
            <w:r>
              <w:rPr/>
              <w:t>.</w:t>
            </w:r>
          </w:p>
        </w:tc>
      </w:tr>
      <w:tr>
        <w:trPr/>
        <w:tc>
          <w:tcPr>
            <w:tcW w:w="119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Treatment</w:t>
            </w:r>
          </w:p>
        </w:tc>
        <w:tc>
          <w:tcPr>
            <w:tcW w:w="433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Reduce.</w:t>
            </w:r>
            <w:r>
              <w:rPr/>
              <w:t xml:space="preserve"> Adopt the release-identification scheme in SOP-08 §6.</w:t>
            </w:r>
          </w:p>
        </w:tc>
      </w:tr>
      <w:tr>
        <w:trPr/>
        <w:tc>
          <w:tcPr>
            <w:tcW w:w="119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Owner / due</w:t>
            </w:r>
          </w:p>
        </w:tc>
        <w:tc>
          <w:tcPr>
            <w:tcW w:w="433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Richard Watson Stephen Amudha / Closed — v1.4.1 2026-10-06</w:t>
            </w:r>
          </w:p>
        </w:tc>
      </w:tr>
      <w:tr>
        <w:trPr/>
        <w:tc>
          <w:tcPr>
            <w:tcW w:w="119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Residual</w:t>
            </w:r>
          </w:p>
        </w:tc>
        <w:tc>
          <w:tcPr>
            <w:tcW w:w="433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1 / 3 / 3 — Low</w:t>
            </w:r>
          </w:p>
        </w:tc>
      </w:tr>
      <w:tr>
        <w:trPr/>
        <w:tc>
          <w:tcPr>
            <w:tcW w:w="1197"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Linked</w:t>
            </w:r>
          </w:p>
        </w:tc>
        <w:tc>
          <w:tcPr>
            <w:tcW w:w="4334"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QO-3; ISO 9001:2015 8.5.2</w:t>
            </w:r>
          </w:p>
        </w:tc>
      </w:tr>
    </w:tbl>
    <w:p>
      <w:pPr>
        <w:pStyle w:val="Heading3"/>
        <w:bidi w:val="0"/>
        <w:jc w:val="left"/>
        <w:rPr/>
      </w:pPr>
      <w:r>
        <w:rPr/>
        <w:t>R-10 — Model and dependency licence obligations are unknown</w:t>
      </w:r>
    </w:p>
    <w:tbl>
      <w:tblPr>
        <w:tblW w:w="5000" w:type="pct"/>
        <w:jc w:val="left"/>
        <w:tblInd w:w="-7" w:type="dxa"/>
        <w:tblLayout w:type="fixed"/>
        <w:tblCellMar>
          <w:top w:w="60" w:type="dxa"/>
          <w:left w:w="60" w:type="dxa"/>
          <w:bottom w:w="60" w:type="dxa"/>
          <w:right w:w="60" w:type="dxa"/>
        </w:tblCellMar>
      </w:tblPr>
      <w:tblGrid>
        <w:gridCol w:w="1180"/>
        <w:gridCol w:w="4351"/>
      </w:tblGrid>
      <w:tr>
        <w:trPr>
          <w:tblHeader w:val="true"/>
        </w:trPr>
        <w:tc>
          <w:tcPr>
            <w:tcW w:w="1180"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rPr>
                <w:sz w:val="4"/>
                <w:szCs w:val="4"/>
              </w:rPr>
            </w:pPr>
            <w:r>
              <w:rPr>
                <w:sz w:val="4"/>
                <w:szCs w:val="4"/>
              </w:rPr>
            </w:r>
          </w:p>
        </w:tc>
        <w:tc>
          <w:tcPr>
            <w:tcW w:w="4351"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rPr>
                <w:sz w:val="4"/>
                <w:szCs w:val="4"/>
              </w:rPr>
            </w:pPr>
            <w:r>
              <w:rPr>
                <w:sz w:val="4"/>
                <w:szCs w:val="4"/>
              </w:rPr>
            </w:r>
          </w:p>
        </w:tc>
      </w:tr>
      <w:tr>
        <w:trPr/>
        <w:tc>
          <w:tcPr>
            <w:tcW w:w="118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Category</w:t>
            </w:r>
          </w:p>
        </w:tc>
        <w:tc>
          <w:tcPr>
            <w:tcW w:w="435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Legal / external provider</w:t>
            </w:r>
          </w:p>
        </w:tc>
      </w:tr>
      <w:tr>
        <w:trPr/>
        <w:tc>
          <w:tcPr>
            <w:tcW w:w="118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Description</w:t>
            </w:r>
          </w:p>
        </w:tc>
        <w:tc>
          <w:tcPr>
            <w:tcW w:w="435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There is no </w:t>
            </w:r>
            <w:r>
              <w:rPr>
                <w:rStyle w:val="SourceText"/>
              </w:rPr>
              <w:t>LICENSE</w:t>
            </w:r>
            <w:r>
              <w:rPr/>
              <w:t xml:space="preserve"> or </w:t>
            </w:r>
            <w:r>
              <w:rPr>
                <w:rStyle w:val="SourceText"/>
              </w:rPr>
              <w:t>NOTICE</w:t>
            </w:r>
            <w:r>
              <w:rPr/>
              <w:t xml:space="preserve"> file, no model-licence inventory, no SBOM and no third-party attribution document. </w:t>
            </w:r>
            <w:r>
              <w:rPr>
                <w:rStyle w:val="SourceText"/>
              </w:rPr>
              <w:t>README.md</w:t>
            </w:r>
            <w:r>
              <w:rPr/>
              <w:t xml:space="preserve"> asserts the models are "all open-weight", but no licence evidence supports the claim in-repo, and the Nemotron STT model is an acceptance-gated model. The product is sold commercially into regulated sectors whose customers will ask.</w:t>
            </w:r>
          </w:p>
        </w:tc>
      </w:tr>
      <w:tr>
        <w:trPr/>
        <w:tc>
          <w:tcPr>
            <w:tcW w:w="118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Evidence</w:t>
            </w:r>
          </w:p>
        </w:tc>
        <w:tc>
          <w:tcPr>
            <w:tcW w:w="435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Absence of the files; </w:t>
            </w:r>
            <w:r>
              <w:rPr>
                <w:rStyle w:val="SourceText"/>
              </w:rPr>
              <w:t>README.md</w:t>
            </w:r>
            <w:r>
              <w:rPr/>
              <w:t>.</w:t>
            </w:r>
          </w:p>
        </w:tc>
      </w:tr>
      <w:tr>
        <w:trPr/>
        <w:tc>
          <w:tcPr>
            <w:tcW w:w="118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Likelihood / Impact / Rating</w:t>
            </w:r>
          </w:p>
        </w:tc>
        <w:tc>
          <w:tcPr>
            <w:tcW w:w="435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3 / 4 / </w:t>
            </w:r>
            <w:r>
              <w:rPr>
                <w:rStyle w:val="Strong"/>
              </w:rPr>
              <w:t>12 — High</w:t>
            </w:r>
          </w:p>
        </w:tc>
      </w:tr>
      <w:tr>
        <w:trPr/>
        <w:tc>
          <w:tcPr>
            <w:tcW w:w="118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Existing controls</w:t>
            </w:r>
          </w:p>
        </w:tc>
        <w:tc>
          <w:tcPr>
            <w:tcW w:w="435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None.</w:t>
            </w:r>
          </w:p>
        </w:tc>
      </w:tr>
      <w:tr>
        <w:trPr/>
        <w:tc>
          <w:tcPr>
            <w:tcW w:w="118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Treatment</w:t>
            </w:r>
          </w:p>
        </w:tc>
        <w:tc>
          <w:tcPr>
            <w:tcW w:w="435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Reduce.</w:t>
            </w:r>
            <w:r>
              <w:rPr/>
              <w:t xml:space="preserve"> Complete </w:t>
            </w:r>
            <w:r>
              <w:rPr>
                <w:rStyle w:val="SourceText"/>
              </w:rPr>
              <w:t>REG-02</w:t>
            </w:r>
            <w:r>
              <w:rPr/>
              <w:t xml:space="preserve">, add a </w:t>
            </w:r>
            <w:r>
              <w:rPr>
                <w:rStyle w:val="SourceText"/>
              </w:rPr>
              <w:t>NOTICE</w:t>
            </w:r>
            <w:r>
              <w:rPr/>
              <w:t xml:space="preserve"> file, generate an SBOM.</w:t>
            </w:r>
          </w:p>
        </w:tc>
      </w:tr>
      <w:tr>
        <w:trPr/>
        <w:tc>
          <w:tcPr>
            <w:tcW w:w="118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Owner / due</w:t>
            </w:r>
          </w:p>
        </w:tc>
        <w:tc>
          <w:tcPr>
            <w:tcW w:w="435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Richard Watson Stephen Amudha / 2026-10-31</w:t>
            </w:r>
          </w:p>
        </w:tc>
      </w:tr>
      <w:tr>
        <w:trPr/>
        <w:tc>
          <w:tcPr>
            <w:tcW w:w="118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Residual</w:t>
            </w:r>
          </w:p>
        </w:tc>
        <w:tc>
          <w:tcPr>
            <w:tcW w:w="435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1 / 4 / 4 — Low</w:t>
            </w:r>
          </w:p>
        </w:tc>
      </w:tr>
      <w:tr>
        <w:trPr/>
        <w:tc>
          <w:tcPr>
            <w:tcW w:w="1180"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Linked</w:t>
            </w:r>
          </w:p>
        </w:tc>
        <w:tc>
          <w:tcPr>
            <w:tcW w:w="4351"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QO-6; SOP-09 §7</w:t>
            </w:r>
          </w:p>
        </w:tc>
      </w:tr>
    </w:tbl>
    <w:p>
      <w:pPr>
        <w:pStyle w:val="Heading3"/>
        <w:bidi w:val="0"/>
        <w:jc w:val="left"/>
        <w:rPr/>
      </w:pPr>
      <w:r>
        <w:rPr/>
        <w:t>R-11 — Reranker model cannot be fetched at run time and fails over silently</w:t>
      </w:r>
    </w:p>
    <w:tbl>
      <w:tblPr>
        <w:tblW w:w="5000" w:type="pct"/>
        <w:jc w:val="left"/>
        <w:tblInd w:w="-7" w:type="dxa"/>
        <w:tblLayout w:type="fixed"/>
        <w:tblCellMar>
          <w:top w:w="60" w:type="dxa"/>
          <w:left w:w="60" w:type="dxa"/>
          <w:bottom w:w="60" w:type="dxa"/>
          <w:right w:w="60" w:type="dxa"/>
        </w:tblCellMar>
      </w:tblPr>
      <w:tblGrid>
        <w:gridCol w:w="1137"/>
        <w:gridCol w:w="4394"/>
      </w:tblGrid>
      <w:tr>
        <w:trPr>
          <w:tblHeader w:val="true"/>
        </w:trPr>
        <w:tc>
          <w:tcPr>
            <w:tcW w:w="1137"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rPr>
                <w:sz w:val="4"/>
                <w:szCs w:val="4"/>
              </w:rPr>
            </w:pPr>
            <w:r>
              <w:rPr>
                <w:sz w:val="4"/>
                <w:szCs w:val="4"/>
              </w:rPr>
            </w:r>
          </w:p>
        </w:tc>
        <w:tc>
          <w:tcPr>
            <w:tcW w:w="4394"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rPr>
                <w:sz w:val="4"/>
                <w:szCs w:val="4"/>
              </w:rPr>
            </w:pPr>
            <w:r>
              <w:rPr>
                <w:sz w:val="4"/>
                <w:szCs w:val="4"/>
              </w:rPr>
            </w:r>
          </w:p>
        </w:tc>
      </w:tr>
      <w:tr>
        <w:trPr/>
        <w:tc>
          <w:tcPr>
            <w:tcW w:w="113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Category</w:t>
            </w:r>
          </w:p>
        </w:tc>
        <w:tc>
          <w:tcPr>
            <w:tcW w:w="439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Design / external provider</w:t>
            </w:r>
          </w:p>
        </w:tc>
      </w:tr>
      <w:tr>
        <w:trPr/>
        <w:tc>
          <w:tcPr>
            <w:tcW w:w="113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Description</w:t>
            </w:r>
          </w:p>
        </w:tc>
        <w:tc>
          <w:tcPr>
            <w:tcW w:w="439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cross-encoder/ms-marco-MiniLM-L-6-v2</w:t>
            </w:r>
            <w:r>
              <w:rPr/>
              <w:t xml:space="preserve"> is documented in </w:t>
            </w:r>
            <w:r>
              <w:rPr>
                <w:rStyle w:val="SourceText"/>
              </w:rPr>
              <w:t>backend/requirements.txt</w:t>
            </w:r>
            <w:r>
              <w:rPr/>
              <w:t xml:space="preserve"> as needing pre-download into the image, but </w:t>
            </w:r>
            <w:r>
              <w:rPr>
                <w:rStyle w:val="SourceText"/>
              </w:rPr>
              <w:t>backend/Dockerfile</w:t>
            </w:r>
            <w:r>
              <w:rPr/>
              <w:t xml:space="preserve"> contains no such step. At run time </w:t>
            </w:r>
            <w:r>
              <w:rPr>
                <w:rStyle w:val="SourceText"/>
              </w:rPr>
              <w:t>HF_HUB_OFFLINE=1</w:t>
            </w:r>
            <w:r>
              <w:rPr/>
              <w:t xml:space="preserve"> and </w:t>
            </w:r>
            <w:r>
              <w:rPr>
                <w:rStyle w:val="SourceText"/>
              </w:rPr>
              <w:t>TRANSFORMERS_OFFLINE=1</w:t>
            </w:r>
            <w:r>
              <w:rPr/>
              <w:t>, so it cannot be fetched, and the code falls back to a slower LLM rerank (</w:t>
            </w:r>
            <w:r>
              <w:rPr>
                <w:rStyle w:val="SourceText"/>
              </w:rPr>
              <w:t>backend/app/rag/reranker.py:6-9</w:t>
            </w:r>
            <w:r>
              <w:rPr/>
              <w:t>). Retrieval quality and latency then differ from the tested configuration without any signal.</w:t>
            </w:r>
          </w:p>
        </w:tc>
      </w:tr>
      <w:tr>
        <w:trPr/>
        <w:tc>
          <w:tcPr>
            <w:tcW w:w="113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Evidence</w:t>
            </w:r>
          </w:p>
        </w:tc>
        <w:tc>
          <w:tcPr>
            <w:tcW w:w="439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The files cited.</w:t>
            </w:r>
          </w:p>
        </w:tc>
      </w:tr>
      <w:tr>
        <w:trPr/>
        <w:tc>
          <w:tcPr>
            <w:tcW w:w="113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Likelihood / Impact / Rating</w:t>
            </w:r>
          </w:p>
        </w:tc>
        <w:tc>
          <w:tcPr>
            <w:tcW w:w="439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4 / 3 / </w:t>
            </w:r>
            <w:r>
              <w:rPr>
                <w:rStyle w:val="Strong"/>
              </w:rPr>
              <w:t>12 — High</w:t>
            </w:r>
          </w:p>
        </w:tc>
      </w:tr>
      <w:tr>
        <w:trPr/>
        <w:tc>
          <w:tcPr>
            <w:tcW w:w="113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Existing controls</w:t>
            </w:r>
          </w:p>
        </w:tc>
        <w:tc>
          <w:tcPr>
            <w:tcW w:w="439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 functioning fallback path — which is what makes the failure silent.</w:t>
            </w:r>
          </w:p>
        </w:tc>
      </w:tr>
      <w:tr>
        <w:trPr/>
        <w:tc>
          <w:tcPr>
            <w:tcW w:w="113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Treatment</w:t>
            </w:r>
          </w:p>
        </w:tc>
        <w:tc>
          <w:tcPr>
            <w:tcW w:w="439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Reduce.</w:t>
            </w:r>
            <w:r>
              <w:rPr/>
              <w:t xml:space="preserve"> Pre-download the model in the Dockerfile; log a WARNING when the fallback engages.</w:t>
            </w:r>
          </w:p>
        </w:tc>
      </w:tr>
      <w:tr>
        <w:trPr/>
        <w:tc>
          <w:tcPr>
            <w:tcW w:w="113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Owner / due</w:t>
            </w:r>
          </w:p>
        </w:tc>
        <w:tc>
          <w:tcPr>
            <w:tcW w:w="439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Richard Watson Stephen Amudha / 2026-11-30</w:t>
            </w:r>
          </w:p>
        </w:tc>
      </w:tr>
      <w:tr>
        <w:trPr/>
        <w:tc>
          <w:tcPr>
            <w:tcW w:w="113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Residual</w:t>
            </w:r>
          </w:p>
        </w:tc>
        <w:tc>
          <w:tcPr>
            <w:tcW w:w="439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1 / 2 / 2 — Low</w:t>
            </w:r>
          </w:p>
        </w:tc>
      </w:tr>
      <w:tr>
        <w:trPr/>
        <w:tc>
          <w:tcPr>
            <w:tcW w:w="1137"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Linked</w:t>
            </w:r>
          </w:p>
        </w:tc>
        <w:tc>
          <w:tcPr>
            <w:tcW w:w="4394"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REG-04 observation O-3 (silent failure class)</w:t>
            </w:r>
          </w:p>
        </w:tc>
      </w:tr>
    </w:tbl>
    <w:p>
      <w:pPr>
        <w:pStyle w:val="Heading3"/>
        <w:bidi w:val="0"/>
        <w:jc w:val="left"/>
        <w:rPr/>
      </w:pPr>
      <w:r>
        <w:rPr/>
        <w:t>R-12 — SQLite single-writer contention is the known scaling limit</w:t>
      </w:r>
    </w:p>
    <w:tbl>
      <w:tblPr>
        <w:tblW w:w="5000" w:type="pct"/>
        <w:jc w:val="left"/>
        <w:tblInd w:w="-7" w:type="dxa"/>
        <w:tblLayout w:type="fixed"/>
        <w:tblCellMar>
          <w:top w:w="60" w:type="dxa"/>
          <w:left w:w="60" w:type="dxa"/>
          <w:bottom w:w="60" w:type="dxa"/>
          <w:right w:w="60" w:type="dxa"/>
        </w:tblCellMar>
      </w:tblPr>
      <w:tblGrid>
        <w:gridCol w:w="1261"/>
        <w:gridCol w:w="4270"/>
      </w:tblGrid>
      <w:tr>
        <w:trPr>
          <w:tblHeader w:val="true"/>
        </w:trPr>
        <w:tc>
          <w:tcPr>
            <w:tcW w:w="1261"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rPr>
                <w:sz w:val="4"/>
                <w:szCs w:val="4"/>
              </w:rPr>
            </w:pPr>
            <w:r>
              <w:rPr>
                <w:sz w:val="4"/>
                <w:szCs w:val="4"/>
              </w:rPr>
            </w:r>
          </w:p>
        </w:tc>
        <w:tc>
          <w:tcPr>
            <w:tcW w:w="4270"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rPr>
                <w:sz w:val="4"/>
                <w:szCs w:val="4"/>
              </w:rPr>
            </w:pPr>
            <w:r>
              <w:rPr>
                <w:sz w:val="4"/>
                <w:szCs w:val="4"/>
              </w:rPr>
            </w:r>
          </w:p>
        </w:tc>
      </w:tr>
      <w:tr>
        <w:trPr/>
        <w:tc>
          <w:tcPr>
            <w:tcW w:w="126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Category</w:t>
            </w:r>
          </w:p>
        </w:tc>
        <w:tc>
          <w:tcPr>
            <w:tcW w:w="427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Architecture / capacity</w:t>
            </w:r>
          </w:p>
        </w:tc>
      </w:tr>
      <w:tr>
        <w:trPr/>
        <w:tc>
          <w:tcPr>
            <w:tcW w:w="126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Description</w:t>
            </w:r>
          </w:p>
        </w:tc>
        <w:tc>
          <w:tcPr>
            <w:tcW w:w="427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All persistence is a single SQLite database. </w:t>
            </w:r>
            <w:r>
              <w:rPr>
                <w:rStyle w:val="SourceText"/>
              </w:rPr>
              <w:t>docs/POSTGRES_MIGRATION.md</w:t>
            </w:r>
            <w:r>
              <w:rPr/>
              <w:t xml:space="preserve"> records the analysis and states </w:t>
            </w:r>
            <w:r>
              <w:rPr>
                <w:rStyle w:val="Emphasis"/>
              </w:rPr>
              <w:t>"Status: planned, not executed"</w:t>
            </w:r>
            <w:r>
              <w:rPr/>
              <w:t xml:space="preserve">, with the driver that the </w:t>
            </w:r>
            <w:r>
              <w:rPr>
                <w:rStyle w:val="SourceText"/>
              </w:rPr>
              <w:t>activity_log</w:t>
            </w:r>
            <w:r>
              <w:rPr/>
              <w:t xml:space="preserve"> and chat writes now contend with RAG writes.</w:t>
            </w:r>
          </w:p>
        </w:tc>
      </w:tr>
      <w:tr>
        <w:trPr/>
        <w:tc>
          <w:tcPr>
            <w:tcW w:w="126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Evidence</w:t>
            </w:r>
          </w:p>
        </w:tc>
        <w:tc>
          <w:tcPr>
            <w:tcW w:w="427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docs/POSTGRES_MIGRATION.md</w:t>
            </w:r>
            <w:r>
              <w:rPr/>
              <w:t>.</w:t>
            </w:r>
          </w:p>
        </w:tc>
      </w:tr>
      <w:tr>
        <w:trPr/>
        <w:tc>
          <w:tcPr>
            <w:tcW w:w="126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Likelihood / Impact / Rating</w:t>
            </w:r>
          </w:p>
        </w:tc>
        <w:tc>
          <w:tcPr>
            <w:tcW w:w="427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3 / 3 / </w:t>
            </w:r>
            <w:r>
              <w:rPr>
                <w:rStyle w:val="Strong"/>
              </w:rPr>
              <w:t>9 — Medium</w:t>
            </w:r>
            <w:r>
              <w:rPr/>
              <w:t xml:space="preserve"> (rises with concurrent users per deployment)</w:t>
            </w:r>
          </w:p>
        </w:tc>
      </w:tr>
      <w:tr>
        <w:trPr/>
        <w:tc>
          <w:tcPr>
            <w:tcW w:w="126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Existing controls</w:t>
            </w:r>
          </w:p>
        </w:tc>
        <w:tc>
          <w:tcPr>
            <w:tcW w:w="427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The migration runbook is written.</w:t>
            </w:r>
          </w:p>
        </w:tc>
      </w:tr>
      <w:tr>
        <w:trPr/>
        <w:tc>
          <w:tcPr>
            <w:tcW w:w="126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Treatment</w:t>
            </w:r>
          </w:p>
        </w:tc>
        <w:tc>
          <w:tcPr>
            <w:tcW w:w="427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Accept for now, monitor.</w:t>
            </w:r>
            <w:r>
              <w:rPr/>
              <w:t xml:space="preserve"> Define the concurrency threshold that triggers execution of the migration.</w:t>
            </w:r>
          </w:p>
        </w:tc>
      </w:tr>
      <w:tr>
        <w:trPr/>
        <w:tc>
          <w:tcPr>
            <w:tcW w:w="126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Owner / due</w:t>
            </w:r>
          </w:p>
        </w:tc>
        <w:tc>
          <w:tcPr>
            <w:tcW w:w="427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Richard Watson Stephen Amudha / 2026-12-31</w:t>
            </w:r>
          </w:p>
        </w:tc>
      </w:tr>
      <w:tr>
        <w:trPr/>
        <w:tc>
          <w:tcPr>
            <w:tcW w:w="1261"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Residual</w:t>
            </w:r>
          </w:p>
        </w:tc>
        <w:tc>
          <w:tcPr>
            <w:tcW w:w="4270"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3 / 3 / 9 — Medium</w:t>
            </w:r>
          </w:p>
        </w:tc>
      </w:tr>
    </w:tbl>
    <w:p>
      <w:pPr>
        <w:pStyle w:val="Heading3"/>
        <w:bidi w:val="0"/>
        <w:jc w:val="left"/>
        <w:rPr/>
      </w:pPr>
      <w:r>
        <w:rPr/>
        <w:t>R-13 — No encryption at rest</w:t>
      </w:r>
    </w:p>
    <w:tbl>
      <w:tblPr>
        <w:tblW w:w="5000" w:type="pct"/>
        <w:jc w:val="left"/>
        <w:tblInd w:w="-7" w:type="dxa"/>
        <w:tblLayout w:type="fixed"/>
        <w:tblCellMar>
          <w:top w:w="60" w:type="dxa"/>
          <w:left w:w="60" w:type="dxa"/>
          <w:bottom w:w="60" w:type="dxa"/>
          <w:right w:w="60" w:type="dxa"/>
        </w:tblCellMar>
      </w:tblPr>
      <w:tblGrid>
        <w:gridCol w:w="1317"/>
        <w:gridCol w:w="4214"/>
      </w:tblGrid>
      <w:tr>
        <w:trPr>
          <w:tblHeader w:val="true"/>
        </w:trPr>
        <w:tc>
          <w:tcPr>
            <w:tcW w:w="1317"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rPr>
                <w:sz w:val="4"/>
                <w:szCs w:val="4"/>
              </w:rPr>
            </w:pPr>
            <w:r>
              <w:rPr>
                <w:sz w:val="4"/>
                <w:szCs w:val="4"/>
              </w:rPr>
            </w:r>
          </w:p>
        </w:tc>
        <w:tc>
          <w:tcPr>
            <w:tcW w:w="4214"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rPr>
                <w:sz w:val="4"/>
                <w:szCs w:val="4"/>
              </w:rPr>
            </w:pPr>
            <w:r>
              <w:rPr>
                <w:sz w:val="4"/>
                <w:szCs w:val="4"/>
              </w:rPr>
            </w:r>
          </w:p>
        </w:tc>
      </w:tr>
      <w:tr>
        <w:trPr/>
        <w:tc>
          <w:tcPr>
            <w:tcW w:w="131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Category</w:t>
            </w:r>
          </w:p>
        </w:tc>
        <w:tc>
          <w:tcPr>
            <w:tcW w:w="42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Customer data</w:t>
            </w:r>
          </w:p>
        </w:tc>
      </w:tr>
      <w:tr>
        <w:trPr/>
        <w:tc>
          <w:tcPr>
            <w:tcW w:w="131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Description</w:t>
            </w:r>
          </w:p>
        </w:tc>
        <w:tc>
          <w:tcPr>
            <w:tcW w:w="42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SQLite, uploaded files and FAISS indexes are all stored unencrypted in the </w:t>
            </w:r>
            <w:r>
              <w:rPr>
                <w:rStyle w:val="SourceText"/>
              </w:rPr>
              <w:t>echomind_data</w:t>
            </w:r>
            <w:r>
              <w:rPr/>
              <w:t xml:space="preserve"> volume. The indexes are derived from, and can reveal, customer source text.</w:t>
            </w:r>
          </w:p>
        </w:tc>
      </w:tr>
      <w:tr>
        <w:trPr/>
        <w:tc>
          <w:tcPr>
            <w:tcW w:w="131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Evidence</w:t>
            </w:r>
          </w:p>
        </w:tc>
        <w:tc>
          <w:tcPr>
            <w:tcW w:w="42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No encryption anywhere in the storage path.</w:t>
            </w:r>
          </w:p>
        </w:tc>
      </w:tr>
      <w:tr>
        <w:trPr/>
        <w:tc>
          <w:tcPr>
            <w:tcW w:w="131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Likelihood / Impact / Rating</w:t>
            </w:r>
          </w:p>
        </w:tc>
        <w:tc>
          <w:tcPr>
            <w:tcW w:w="42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2 / 5 / </w:t>
            </w:r>
            <w:r>
              <w:rPr>
                <w:rStyle w:val="Strong"/>
              </w:rPr>
              <w:t>10 — High</w:t>
            </w:r>
            <w:r>
              <w:rPr/>
              <w:t xml:space="preserve"> (the customer controls the host, which is the principal mitigation)</w:t>
            </w:r>
          </w:p>
        </w:tc>
      </w:tr>
      <w:tr>
        <w:trPr/>
        <w:tc>
          <w:tcPr>
            <w:tcW w:w="131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Existing controls</w:t>
            </w:r>
          </w:p>
        </w:tc>
        <w:tc>
          <w:tcPr>
            <w:tcW w:w="42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On-premises deployment on customer-controlled hardware; the customer's own disk encryption if any.</w:t>
            </w:r>
          </w:p>
        </w:tc>
      </w:tr>
      <w:tr>
        <w:trPr/>
        <w:tc>
          <w:tcPr>
            <w:tcW w:w="131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Treatment</w:t>
            </w:r>
          </w:p>
        </w:tc>
        <w:tc>
          <w:tcPr>
            <w:tcW w:w="42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Reduce / transfer.</w:t>
            </w:r>
            <w:r>
              <w:rPr/>
              <w:t xml:space="preserve"> State the position explicitly to customers so their own controls can cover it; evaluate volume-level encryption as a deployment option.</w:t>
            </w:r>
          </w:p>
        </w:tc>
      </w:tr>
      <w:tr>
        <w:trPr/>
        <w:tc>
          <w:tcPr>
            <w:tcW w:w="131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Owner / due</w:t>
            </w:r>
          </w:p>
        </w:tc>
        <w:tc>
          <w:tcPr>
            <w:tcW w:w="42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Kishan Haravu Pradeep / 2026-10-31</w:t>
            </w:r>
          </w:p>
        </w:tc>
      </w:tr>
      <w:tr>
        <w:trPr/>
        <w:tc>
          <w:tcPr>
            <w:tcW w:w="131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Residual</w:t>
            </w:r>
          </w:p>
        </w:tc>
        <w:tc>
          <w:tcPr>
            <w:tcW w:w="42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 / 3 / 6 — Medium</w:t>
            </w:r>
          </w:p>
        </w:tc>
      </w:tr>
      <w:tr>
        <w:trPr/>
        <w:tc>
          <w:tcPr>
            <w:tcW w:w="1317"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Linked</w:t>
            </w:r>
          </w:p>
        </w:tc>
        <w:tc>
          <w:tcPr>
            <w:tcW w:w="4214"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SOP-11 §6</w:t>
            </w:r>
          </w:p>
        </w:tc>
      </w:tr>
    </w:tbl>
    <w:p>
      <w:pPr>
        <w:pStyle w:val="Heading3"/>
        <w:bidi w:val="0"/>
        <w:jc w:val="left"/>
        <w:rPr/>
      </w:pPr>
      <w:r>
        <w:rPr/>
        <w:t>R-14 — Accelerator platform immaturity</w:t>
      </w:r>
    </w:p>
    <w:tbl>
      <w:tblPr>
        <w:tblW w:w="5000" w:type="pct"/>
        <w:jc w:val="left"/>
        <w:tblInd w:w="-7" w:type="dxa"/>
        <w:tblLayout w:type="fixed"/>
        <w:tblCellMar>
          <w:top w:w="60" w:type="dxa"/>
          <w:left w:w="60" w:type="dxa"/>
          <w:bottom w:w="60" w:type="dxa"/>
          <w:right w:w="60" w:type="dxa"/>
        </w:tblCellMar>
      </w:tblPr>
      <w:tblGrid>
        <w:gridCol w:w="1141"/>
        <w:gridCol w:w="4390"/>
      </w:tblGrid>
      <w:tr>
        <w:trPr>
          <w:tblHeader w:val="true"/>
        </w:trPr>
        <w:tc>
          <w:tcPr>
            <w:tcW w:w="1141"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rPr>
                <w:sz w:val="4"/>
                <w:szCs w:val="4"/>
              </w:rPr>
            </w:pPr>
            <w:r>
              <w:rPr>
                <w:sz w:val="4"/>
                <w:szCs w:val="4"/>
              </w:rPr>
            </w:r>
          </w:p>
        </w:tc>
        <w:tc>
          <w:tcPr>
            <w:tcW w:w="4390"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rPr>
                <w:sz w:val="4"/>
                <w:szCs w:val="4"/>
              </w:rPr>
            </w:pPr>
            <w:r>
              <w:rPr>
                <w:sz w:val="4"/>
                <w:szCs w:val="4"/>
              </w:rPr>
            </w:r>
          </w:p>
        </w:tc>
      </w:tr>
      <w:tr>
        <w:trPr/>
        <w:tc>
          <w:tcPr>
            <w:tcW w:w="114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Category</w:t>
            </w:r>
          </w:p>
        </w:tc>
        <w:tc>
          <w:tcPr>
            <w:tcW w:w="439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External / infrastructure</w:t>
            </w:r>
          </w:p>
        </w:tc>
      </w:tr>
      <w:tr>
        <w:trPr/>
        <w:tc>
          <w:tcPr>
            <w:tcW w:w="114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Description</w:t>
            </w:r>
          </w:p>
        </w:tc>
        <w:tc>
          <w:tcPr>
            <w:tcW w:w="439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The GB10 / Grace-Blackwell software stack is new, and real defects have originated below the application.</w:t>
            </w:r>
          </w:p>
        </w:tc>
      </w:tr>
      <w:tr>
        <w:trPr/>
        <w:tc>
          <w:tcPr>
            <w:tcW w:w="114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Evidence</w:t>
            </w:r>
          </w:p>
        </w:tc>
        <w:tc>
          <w:tcPr>
            <w:tcW w:w="439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Extensive inline rationale in </w:t>
            </w:r>
            <w:r>
              <w:rPr>
                <w:rStyle w:val="SourceText"/>
              </w:rPr>
              <w:t>docker-compose.yml:7-11</w:t>
            </w:r>
            <w:r>
              <w:rPr/>
              <w:t xml:space="preserve"> (worker-spawn CUDA bug and rollback), </w:t>
            </w:r>
            <w:r>
              <w:rPr>
                <w:rStyle w:val="SourceText"/>
              </w:rPr>
              <w:t>:41-44</w:t>
            </w:r>
            <w:r>
              <w:rPr/>
              <w:t xml:space="preserve"> (</w:t>
            </w:r>
            <w:r>
              <w:rPr>
                <w:rStyle w:val="SourceText"/>
              </w:rPr>
              <w:t>gpus: all</w:t>
            </w:r>
            <w:r>
              <w:rPr/>
              <w:t xml:space="preserve"> versus the </w:t>
            </w:r>
            <w:r>
              <w:rPr>
                <w:rStyle w:val="SourceText"/>
              </w:rPr>
              <w:t>deploy.resources</w:t>
            </w:r>
            <w:r>
              <w:rPr/>
              <w:t xml:space="preserve"> form breaking NVML — "Verified: same image works with --gpus all, fails via the deploy form"), </w:t>
            </w:r>
            <w:r>
              <w:rPr>
                <w:rStyle w:val="SourceText"/>
              </w:rPr>
              <w:t>:86-89</w:t>
            </w:r>
            <w:r>
              <w:rPr/>
              <w:t xml:space="preserve">, </w:t>
            </w:r>
            <w:r>
              <w:rPr>
                <w:rStyle w:val="SourceText"/>
              </w:rPr>
              <w:t>:164-166</w:t>
            </w:r>
            <w:r>
              <w:rPr/>
              <w:t xml:space="preserve"> (onnxruntime CUDA execution provider unavailable on ARM); plus a CUDA-graph decoder conflict diagnosed and worked around in the voice service.</w:t>
            </w:r>
          </w:p>
        </w:tc>
      </w:tr>
      <w:tr>
        <w:trPr/>
        <w:tc>
          <w:tcPr>
            <w:tcW w:w="114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Likelihood / Impact / Rating</w:t>
            </w:r>
          </w:p>
        </w:tc>
        <w:tc>
          <w:tcPr>
            <w:tcW w:w="439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4 / 3 / </w:t>
            </w:r>
            <w:r>
              <w:rPr>
                <w:rStyle w:val="Strong"/>
              </w:rPr>
              <w:t>12 — High</w:t>
            </w:r>
          </w:p>
        </w:tc>
      </w:tr>
      <w:tr>
        <w:trPr/>
        <w:tc>
          <w:tcPr>
            <w:tcW w:w="114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Existing controls</w:t>
            </w:r>
          </w:p>
        </w:tc>
        <w:tc>
          <w:tcPr>
            <w:tcW w:w="439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Health endpoints returning 503 on a fatal CUDA fault, an in-process watchdog (</w:t>
            </w:r>
            <w:r>
              <w:rPr>
                <w:rStyle w:val="SourceText"/>
              </w:rPr>
              <w:t>backend/app/main.py:108-112</w:t>
            </w:r>
            <w:r>
              <w:rPr/>
              <w:t xml:space="preserve">) and </w:t>
            </w:r>
            <w:r>
              <w:rPr>
                <w:rStyle w:val="SourceText"/>
              </w:rPr>
              <w:t>restart: unless-stopped</w:t>
            </w:r>
            <w:r>
              <w:rPr/>
              <w:t xml:space="preserve"> — an effective self-recovery design. Workarounds and their rollbacks are documented inline.</w:t>
            </w:r>
          </w:p>
        </w:tc>
      </w:tr>
      <w:tr>
        <w:trPr/>
        <w:tc>
          <w:tcPr>
            <w:tcW w:w="114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Treatment</w:t>
            </w:r>
          </w:p>
        </w:tc>
        <w:tc>
          <w:tcPr>
            <w:tcW w:w="439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Accept with controls.</w:t>
            </w:r>
            <w:r>
              <w:rPr/>
              <w:t xml:space="preserve"> Keep the inline rationale discipline; move these known issues into this register so they have owners and review dates rather than living only in configuration comments.</w:t>
            </w:r>
          </w:p>
        </w:tc>
      </w:tr>
      <w:tr>
        <w:trPr/>
        <w:tc>
          <w:tcPr>
            <w:tcW w:w="114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Owner / due</w:t>
            </w:r>
          </w:p>
        </w:tc>
        <w:tc>
          <w:tcPr>
            <w:tcW w:w="439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Richard Watson Stephen Amudha / 2026-10-31 (GPU-sharing decision)</w:t>
            </w:r>
          </w:p>
        </w:tc>
      </w:tr>
      <w:tr>
        <w:trPr/>
        <w:tc>
          <w:tcPr>
            <w:tcW w:w="1141"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Residual</w:t>
            </w:r>
          </w:p>
        </w:tc>
        <w:tc>
          <w:tcPr>
            <w:tcW w:w="4390"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4 / 2 / 8 — Medium</w:t>
            </w:r>
          </w:p>
        </w:tc>
      </w:tr>
    </w:tbl>
    <w:p>
      <w:pPr>
        <w:pStyle w:val="HorizontalLine"/>
        <w:bidi w:val="0"/>
        <w:jc w:val="left"/>
        <w:rPr/>
      </w:pPr>
      <w:r>
        <w:rPr/>
      </w:r>
    </w:p>
    <w:p>
      <w:pPr>
        <w:pStyle w:val="Heading2"/>
        <w:bidi w:val="0"/>
        <w:jc w:val="left"/>
        <w:rPr/>
      </w:pPr>
      <w:r>
        <w:rPr/>
        <w:t>Opportunities (6.1.1)</w:t>
      </w:r>
    </w:p>
    <w:tbl>
      <w:tblPr>
        <w:tblW w:w="5000" w:type="pct"/>
        <w:jc w:val="left"/>
        <w:tblInd w:w="-7" w:type="dxa"/>
        <w:tblLayout w:type="fixed"/>
        <w:tblCellMar>
          <w:top w:w="60" w:type="dxa"/>
          <w:left w:w="60" w:type="dxa"/>
          <w:bottom w:w="60" w:type="dxa"/>
          <w:right w:w="60" w:type="dxa"/>
        </w:tblCellMar>
      </w:tblPr>
      <w:tblGrid>
        <w:gridCol w:w="441"/>
        <w:gridCol w:w="1699"/>
        <w:gridCol w:w="1997"/>
        <w:gridCol w:w="1394"/>
      </w:tblGrid>
      <w:tr>
        <w:trPr>
          <w:tblHeader w:val="true"/>
        </w:trPr>
        <w:tc>
          <w:tcPr>
            <w:tcW w:w="441"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Ref</w:t>
            </w:r>
          </w:p>
        </w:tc>
        <w:tc>
          <w:tcPr>
            <w:tcW w:w="1699"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Opportunity</w:t>
            </w:r>
          </w:p>
        </w:tc>
        <w:tc>
          <w:tcPr>
            <w:tcW w:w="1997"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Rationale</w:t>
            </w:r>
          </w:p>
        </w:tc>
        <w:tc>
          <w:tcPr>
            <w:tcW w:w="1394"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Action</w:t>
            </w:r>
          </w:p>
        </w:tc>
      </w:tr>
      <w:tr>
        <w:trPr/>
        <w:tc>
          <w:tcPr>
            <w:tcW w:w="44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trong"/>
              </w:rPr>
              <w:t>O-01</w:t>
            </w:r>
          </w:p>
        </w:tc>
        <w:tc>
          <w:tcPr>
            <w:tcW w:w="169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Turn the existing evaluation harness into a certified-quality differentiator</w:t>
            </w:r>
          </w:p>
        </w:tc>
        <w:tc>
          <w:tcPr>
            <w:tcW w:w="199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Few AI vendors can show a version-controlled question set, a binary pass gate and results that contradict their own marketing. In regulated sectors that is a sales asset, not just an engineering one.</w:t>
            </w:r>
          </w:p>
        </w:tc>
        <w:tc>
          <w:tcPr>
            <w:tcW w:w="139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Retain evaluation reports as records; publish the methodology to customers</w:t>
            </w:r>
          </w:p>
        </w:tc>
      </w:tr>
      <w:tr>
        <w:trPr/>
        <w:tc>
          <w:tcPr>
            <w:tcW w:w="44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trong"/>
              </w:rPr>
              <w:t>O-02</w:t>
            </w:r>
          </w:p>
        </w:tc>
        <w:tc>
          <w:tcPr>
            <w:tcW w:w="169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Use the QMS as a procurement enabler</w:t>
            </w:r>
          </w:p>
        </w:tc>
        <w:tc>
          <w:tcPr>
            <w:tcW w:w="199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Regulated buyers increasingly require supplier quality evidence. An operating ISO 9001 system shortens procurement.</w:t>
            </w:r>
          </w:p>
        </w:tc>
        <w:tc>
          <w:tcPr>
            <w:tcW w:w="139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Complete adoption (ADOPTION_GUIDE.md)</w:t>
            </w:r>
          </w:p>
        </w:tc>
      </w:tr>
      <w:tr>
        <w:trPr/>
        <w:tc>
          <w:tcPr>
            <w:tcW w:w="44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trong"/>
              </w:rPr>
              <w:t>O-03</w:t>
            </w:r>
          </w:p>
        </w:tc>
        <w:tc>
          <w:tcPr>
            <w:tcW w:w="169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The honest-abstention behaviour is a compliance feature</w:t>
            </w:r>
          </w:p>
        </w:tc>
        <w:tc>
          <w:tcPr>
            <w:tcW w:w="199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"I could not find that" is what a regulated user needs. Market it as such and measure it.</w:t>
            </w:r>
          </w:p>
        </w:tc>
        <w:tc>
          <w:tcPr>
            <w:tcW w:w="139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Add abstention correctness to the evaluation set</w:t>
            </w:r>
          </w:p>
        </w:tc>
      </w:tr>
      <w:tr>
        <w:trPr/>
        <w:tc>
          <w:tcPr>
            <w:tcW w:w="441"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rStyle w:val="Strong"/>
              </w:rPr>
              <w:t>O-04</w:t>
            </w:r>
          </w:p>
        </w:tc>
        <w:tc>
          <w:tcPr>
            <w:tcW w:w="1699"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Pinning and SBOM work also unlocks air-gapped defence procurement</w:t>
            </w:r>
          </w:p>
        </w:tc>
        <w:tc>
          <w:tcPr>
            <w:tcW w:w="1997"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Those buyers require a bill of materials.</w:t>
            </w:r>
          </w:p>
        </w:tc>
        <w:tc>
          <w:tcPr>
            <w:tcW w:w="1394"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Bundle with R-10 treatment</w:t>
            </w:r>
          </w:p>
        </w:tc>
      </w:tr>
    </w:tbl>
    <w:p>
      <w:pPr>
        <w:pStyle w:val="HorizontalLine"/>
        <w:bidi w:val="0"/>
        <w:jc w:val="left"/>
        <w:rPr/>
      </w:pPr>
      <w:r>
        <w:rPr/>
      </w:r>
    </w:p>
    <w:p>
      <w:pPr>
        <w:pStyle w:val="Heading2"/>
        <w:bidi w:val="0"/>
        <w:jc w:val="left"/>
        <w:rPr/>
      </w:pPr>
      <w:r>
        <w:rPr/>
        <w:t>Review</w:t>
      </w:r>
    </w:p>
    <w:tbl>
      <w:tblPr>
        <w:tblW w:w="5000" w:type="pct"/>
        <w:jc w:val="left"/>
        <w:tblInd w:w="-7" w:type="dxa"/>
        <w:tblLayout w:type="fixed"/>
        <w:tblCellMar>
          <w:top w:w="60" w:type="dxa"/>
          <w:left w:w="60" w:type="dxa"/>
          <w:bottom w:w="60" w:type="dxa"/>
          <w:right w:w="60" w:type="dxa"/>
        </w:tblCellMar>
      </w:tblPr>
      <w:tblGrid>
        <w:gridCol w:w="945"/>
        <w:gridCol w:w="1077"/>
        <w:gridCol w:w="3509"/>
      </w:tblGrid>
      <w:tr>
        <w:trPr>
          <w:tblHeader w:val="true"/>
        </w:trPr>
        <w:tc>
          <w:tcPr>
            <w:tcW w:w="945"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Review date</w:t>
            </w:r>
          </w:p>
        </w:tc>
        <w:tc>
          <w:tcPr>
            <w:tcW w:w="1077"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Reviewed by</w:t>
            </w:r>
          </w:p>
        </w:tc>
        <w:tc>
          <w:tcPr>
            <w:tcW w:w="3509"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Changes</w:t>
            </w:r>
          </w:p>
        </w:tc>
      </w:tr>
      <w:tr>
        <w:trPr/>
        <w:tc>
          <w:tcPr>
            <w:tcW w:w="945"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w:t>
            </w:r>
          </w:p>
        </w:tc>
        <w:tc>
          <w:tcPr>
            <w:tcW w:w="1077"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w:t>
            </w:r>
          </w:p>
        </w:tc>
        <w:tc>
          <w:tcPr>
            <w:tcW w:w="3509"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 xml:space="preserve">Initial confirmation of proposed ratings — </w:t>
            </w:r>
            <w:r>
              <w:rPr>
                <w:rStyle w:val="Strong"/>
              </w:rPr>
              <w:t>due at the first management review</w:t>
            </w:r>
          </w:p>
        </w:tc>
      </w:tr>
    </w:tbl>
    <w:p>
      <w:pPr>
        <w:pStyle w:val="BodyText"/>
        <w:bidi w:val="0"/>
        <w:spacing w:before="0" w:after="283"/>
        <w:jc w:val="left"/>
        <w:rPr/>
      </w:pPr>
      <w:r>
        <w:rPr/>
      </w:r>
    </w:p>
    <w:sectPr>
      <w:type w:val="nextPage"/>
      <w:pgSz w:w="11906" w:h="16838"/>
      <w:pgMar w:left="1134" w:right="567" w:gutter="0" w:header="0" w:top="567" w:footer="0" w:bottom="567"/>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Arial"/>
    <w:charset w:val="01"/>
    <w:family w:val="auto"/>
    <w:pitch w:val="default"/>
  </w:font>
  <w:font w:name="Noto Sans">
    <w:charset w:val="01"/>
    <w:family w:val="auto"/>
    <w:pitch w:val="variable"/>
  </w:font>
  <w:font w:name="Consolas">
    <w:charset w:val="01"/>
    <w:family w:val="auto"/>
    <w:pitch w:val="default"/>
  </w:font>
  <w:font w:name="Liberation Sans">
    <w:altName w:val="Arial"/>
    <w:charset w:val="01"/>
    <w:family w:val="swiss"/>
    <w:pitch w:val="variable"/>
  </w:font>
</w:fonts>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Calibri;Arial" w:hAnsi="Calibri;Arial" w:eastAsia="Calibri;Arial" w:cs="Calibri;Arial"/>
      <w:color w:val="auto"/>
      <w:sz w:val="21"/>
      <w:szCs w:val="21"/>
      <w:lang w:val="en-US" w:eastAsia="zh-CN" w:bidi="hi-IN"/>
    </w:rPr>
  </w:style>
  <w:style w:type="paragraph" w:styleId="Heading1">
    <w:name w:val="Heading 1"/>
    <w:basedOn w:val="Heading"/>
    <w:next w:val="BodyText"/>
    <w:qFormat/>
    <w:pPr/>
    <w:rPr>
      <w:rFonts w:ascii="Noto Sans" w:hAnsi="Noto Sans"/>
      <w:b/>
      <w:bCs/>
      <w:color w:val="1F3A5F"/>
      <w:sz w:val="48"/>
      <w:szCs w:val="44"/>
    </w:rPr>
  </w:style>
  <w:style w:type="paragraph" w:styleId="Heading2">
    <w:name w:val="Heading 2"/>
    <w:basedOn w:val="Heading"/>
    <w:next w:val="BodyText"/>
    <w:qFormat/>
    <w:pPr>
      <w:spacing w:before="200" w:after="120"/>
      <w:outlineLvl w:val="1"/>
    </w:pPr>
    <w:rPr>
      <w:rFonts w:ascii="Liberation Serif" w:hAnsi="Liberation Serif" w:eastAsia="Noto Serif CJK SC" w:cs="Lohit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Lohit Devanagari"/>
      <w:b/>
      <w:bCs/>
      <w:sz w:val="28"/>
      <w:szCs w:val="28"/>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Consolas" w:hAnsi="Consolas" w:eastAsia="Consolas" w:cs="Consolas"/>
    </w:rPr>
  </w:style>
  <w:style w:type="character" w:styleId="Strong">
    <w:name w:val="Strong"/>
    <w:qFormat/>
    <w:rPr>
      <w:b/>
      <w:bCs/>
    </w:rPr>
  </w:style>
  <w:style w:type="character" w:styleId="Emphasis">
    <w:name w:val="Emphasis"/>
    <w:qFormat/>
    <w:rPr>
      <w:i/>
      <w:iCs/>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z w:val="18"/>
      <w:szCs w:val="18"/>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List">
    <w:name w:val="List"/>
    <w:basedOn w:val="BodyText"/>
    <w:pPr/>
    <w:rPr>
      <w:rFonts w:cs="Lohit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shd w:fill="1F3A5F" w:val="clear"/>
      <w:jc w:val="center"/>
    </w:pPr>
    <w:rPr>
      <w:b/>
      <w:bCs/>
      <w:color w:val="FFFFFF"/>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LibreOffice/24.2.7.2$Linux_AARCH64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