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REG-09 — Non-Functional Requirements Register (EchoMind Product)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710"/>
        <w:gridCol w:w="9629"/>
      </w:tblGrid>
      <w:tr>
        <w:trPr>
          <w:tblHeader w:val="true"/>
        </w:trPr>
        <w:tc>
          <w:tcPr>
            <w:tcW w:w="171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962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REG-09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Engineer, EchoMind Product (Richard Watson Stephen Amudha)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8.2.2 (determining requirements), 8.3.3 (design inputs), 8.3.4 (design controls), 9.1.1 (monitoring and measurement)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Raised in response to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AFR Stage 2 audit finding #6 (16-Oct-2025, clause 8.2.2, Minor NC)</w:t>
            </w:r>
            <w:r>
              <w:rPr/>
              <w:t xml:space="preserve"> — </w:t>
            </w:r>
            <w:r>
              <w:rPr>
                <w:rStyle w:val="Emphasis"/>
              </w:rPr>
              <w:t>"No evidence could be seen for recording and monitoring of non functional requirements"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Applies to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EchoMind Enterprise codebase in this repository (first commit 2026-02-05)</w:t>
            </w:r>
          </w:p>
        </w:tc>
      </w:tr>
      <w:tr>
        <w:trPr/>
        <w:tc>
          <w:tcPr>
            <w:tcW w:w="171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962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Why this register exists, and what it does and does not claim</w:t>
      </w:r>
    </w:p>
    <w:p>
      <w:pPr>
        <w:pStyle w:val="BodyText"/>
        <w:bidi w:val="0"/>
        <w:jc w:val="left"/>
        <w:rPr/>
      </w:pPr>
      <w:r>
        <w:rPr/>
        <w:t xml:space="preserve">The 2025 finding was that non-functional requirements were </w:t>
      </w:r>
      <w:r>
        <w:rPr>
          <w:rStyle w:val="Strong"/>
        </w:rPr>
        <w:t>discussed but not recorded as controlled records</w:t>
      </w:r>
      <w:r>
        <w:rPr/>
        <w:t xml:space="preserve">. That diagnosis was accurate and it remains the accurate diagnosis for the codebase in this repository: NFRs here are measured </w:t>
      </w:r>
      <w:r>
        <w:rPr>
          <w:rStyle w:val="Strong"/>
        </w:rPr>
        <w:t>extensively and rigorously</w:t>
      </w:r>
      <w:r>
        <w:rPr/>
        <w:t xml:space="preserve"> — latency decomposition, tenant isolation, injection resistance, grounding accuracy, barge-in responsiveness — but until this register they existed only as experiment result files and commit messages, not as a maintained NFR record with targets and status.</w:t>
      </w:r>
    </w:p>
    <w:p>
      <w:pPr>
        <w:pStyle w:val="BodyText"/>
        <w:bidi w:val="0"/>
        <w:jc w:val="left"/>
        <w:rPr/>
      </w:pPr>
      <w:r>
        <w:rPr>
          <w:rStyle w:val="Strong"/>
        </w:rPr>
        <w:t>This register therefore records measurements that already exist.</w:t>
      </w:r>
      <w:r>
        <w:rPr/>
        <w:t xml:space="preserve"> Every figure below is transcribed from a stored result file or a reproducible harness, and the source is cited so any row can be checked. Nothing here is estimated.</w:t>
      </w:r>
    </w:p>
    <w:p>
      <w:pPr>
        <w:pStyle w:val="BodyText"/>
        <w:bidi w:val="0"/>
        <w:jc w:val="left"/>
        <w:rPr/>
      </w:pPr>
      <w:r>
        <w:rPr>
          <w:rStyle w:val="Strong"/>
        </w:rPr>
        <w:t>Two honest qualifications an auditor should be told directly: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Most of these NFRs never had a formally agreed target.</w:t>
      </w:r>
      <w:r>
        <w:rPr/>
        <w:t xml:space="preserve"> They were measured, and the measurement drove engineering decisions, but no one wrote down "p95 must be under X" beforehand. Where that is the case the Target column says </w:t>
      </w:r>
      <w:r>
        <w:rPr>
          <w:rStyle w:val="SourceText"/>
        </w:rPr>
        <w:t>not formally set</w:t>
      </w:r>
      <w:r>
        <w:rPr/>
        <w:t xml:space="preserve"> rather than inventing a threshold retrospectively. Setting them is action </w:t>
      </w:r>
      <w:r>
        <w:rPr>
          <w:rStyle w:val="Strong"/>
        </w:rPr>
        <w:t>A-1</w:t>
      </w:r>
      <w:r>
        <w:rPr/>
        <w:t xml:space="preserve"> below.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2025 corrective action described a different toolchain.</w:t>
      </w:r>
      <w:r>
        <w:rPr/>
        <w:t xml:space="preserve"> It cited an NFR tracker in Confluence and metrics from </w:t>
      </w:r>
      <w:r>
        <w:rPr>
          <w:rStyle w:val="Emphasis"/>
        </w:rPr>
        <w:t>"build v1.3.27 captured automatically via Jenkins"</w:t>
      </w:r>
      <w:r>
        <w:rPr/>
        <w:t xml:space="preserve">. This repository contains no Confluence, Jira or Jenkins integration and no v1.3.x versioning. Either that evidence belongs to a predecessor codebase, or it does not describe this one. </w:t>
      </w:r>
      <w:r>
        <w:rPr>
          <w:rStyle w:val="Strong"/>
        </w:rPr>
        <w:t>This is flagged for the audit rather than papered over</w:t>
      </w:r>
      <w:r>
        <w:rPr/>
        <w:t xml:space="preserve"> — see §5.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The register</w:t>
      </w:r>
    </w:p>
    <w:p>
      <w:pPr>
        <w:pStyle w:val="BodyText"/>
        <w:bidi w:val="0"/>
        <w:jc w:val="left"/>
        <w:rPr/>
      </w:pPr>
      <w:r>
        <w:rPr/>
        <w:t xml:space="preserve">Targets approved 2026-10-07 by Anita Johan (EM26-17 §3; </w:t>
      </w:r>
      <w:r>
        <w:rPr>
          <w:rStyle w:val="SourceText"/>
        </w:rPr>
        <w:t>records/approvals/2026-10-07_AR-2026-001_document_approval.md</w:t>
      </w:r>
      <w:r>
        <w:rPr/>
        <w:t>). Latest values as recorded in EM26-17.</w:t>
      </w:r>
    </w:p>
    <w:p>
      <w:pPr>
        <w:pStyle w:val="Heading3"/>
        <w:bidi w:val="0"/>
        <w:jc w:val="left"/>
        <w:rPr/>
      </w:pPr>
      <w:r>
        <w:rPr/>
        <w:t>2.1 Performance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04"/>
        <w:gridCol w:w="1985"/>
        <w:gridCol w:w="1155"/>
        <w:gridCol w:w="2103"/>
        <w:gridCol w:w="1899"/>
        <w:gridCol w:w="653"/>
        <w:gridCol w:w="1157"/>
        <w:gridCol w:w="1483"/>
      </w:tblGrid>
      <w:tr>
        <w:trPr>
          <w:tblHeader w:val="true"/>
        </w:trPr>
        <w:tc>
          <w:tcPr>
            <w:tcW w:w="9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98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1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210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</w:t>
            </w:r>
          </w:p>
        </w:tc>
        <w:tc>
          <w:tcPr>
            <w:tcW w:w="18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 / source</w:t>
            </w:r>
          </w:p>
        </w:tc>
        <w:tc>
          <w:tcPr>
            <w:tcW w:w="65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1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148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NFR-P01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Grounded chat answer latency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≤ 4 s; p95 ≤ 16 s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3.31 s; p95 15.17 s (n=30)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Paper harness E1 — eval/paper/results/e1_latency.json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NFR-P02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Retrieval share of answer latency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 only (no target)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2.8 %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E1 decomposition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Monitored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NFR-P03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Tenant permission-filter overhead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≤ </w:t>
            </w:r>
            <w:r>
              <w:rPr/>
              <w:t>1 ms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0.08 ms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E1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NFR-P04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Voice: end of speech → first audible reply (dual-loop)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≤ 1.0 s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636 ms; p95 894 ms (n=10)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E10 ablation — e10_ablation.json; paper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NFR-P05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first reply after speculative-reply work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≤ 1.0 s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0.14–0.49 s on GPU (12 turns, 2 personas); on CPU since 2026-10-06 — to re-measure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voice_e2e session test; commit ff29843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2026-09-21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 (GPU) — re-measure on CPU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NFR-P06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 speech-to-text decode time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≤ </w:t>
            </w:r>
            <w:r>
              <w:rPr/>
              <w:t>300 ms (GPU) / ≤ 1.6 s (CPU mode)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70–130 ms on GPU; CPU mode since 2026-10-06 — to re-measure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commit ff29843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2026-09-21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Re-measure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NFR-P07</w:t>
            </w:r>
          </w:p>
        </w:tc>
        <w:tc>
          <w:tcPr>
            <w:tcW w:w="198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Barge-in: interrupt → assistant audio stops</w:t>
            </w:r>
          </w:p>
        </w:tc>
        <w:tc>
          <w:tcPr>
            <w:tcW w:w="11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≤ 1.0 s</w:t>
            </w:r>
          </w:p>
        </w:tc>
        <w:tc>
          <w:tcPr>
            <w:tcW w:w="210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median 2.13 s, success 1.00 (n=8)</w:t>
            </w:r>
          </w:p>
        </w:tc>
        <w:tc>
          <w:tcPr>
            <w:tcW w:w="18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E7 — e7_interaction.json</w:t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48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not meet — action A-17-03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2.2 Accuracy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19"/>
        <w:gridCol w:w="1793"/>
        <w:gridCol w:w="1350"/>
        <w:gridCol w:w="2524"/>
        <w:gridCol w:w="1573"/>
        <w:gridCol w:w="667"/>
        <w:gridCol w:w="1225"/>
        <w:gridCol w:w="1288"/>
      </w:tblGrid>
      <w:tr>
        <w:trPr>
          <w:tblHeader w:val="true"/>
        </w:trPr>
        <w:tc>
          <w:tcPr>
            <w:tcW w:w="91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7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35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252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</w:t>
            </w:r>
          </w:p>
        </w:tc>
        <w:tc>
          <w:tcPr>
            <w:tcW w:w="15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 / source</w:t>
            </w:r>
          </w:p>
        </w:tc>
        <w:tc>
          <w:tcPr>
            <w:tcW w:w="66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2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128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9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NFR-Q01</w:t>
            </w:r>
          </w:p>
        </w:tc>
        <w:tc>
          <w:tcPr>
            <w:tcW w:w="17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Citation precision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0.98 (set in QO-01)</w:t>
            </w:r>
          </w:p>
        </w:tc>
        <w:tc>
          <w:tcPr>
            <w:tcW w:w="252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0.979 (n=36)</w:t>
            </w:r>
          </w:p>
        </w:tc>
        <w:tc>
          <w:tcPr>
            <w:tcW w:w="15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E5 — e5_grounding.json</w:t>
            </w:r>
          </w:p>
        </w:tc>
        <w:tc>
          <w:tcPr>
            <w:tcW w:w="6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2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boundary</w:t>
            </w:r>
          </w:p>
        </w:tc>
      </w:tr>
      <w:tr>
        <w:trPr/>
        <w:tc>
          <w:tcPr>
            <w:tcW w:w="9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NFR-Q02</w:t>
            </w:r>
          </w:p>
        </w:tc>
        <w:tc>
          <w:tcPr>
            <w:tcW w:w="17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Citation recall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0.80</w:t>
            </w:r>
          </w:p>
        </w:tc>
        <w:tc>
          <w:tcPr>
            <w:tcW w:w="252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0.826 (n=43)</w:t>
            </w:r>
          </w:p>
        </w:tc>
        <w:tc>
          <w:tcPr>
            <w:tcW w:w="15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E5</w:t>
            </w:r>
          </w:p>
        </w:tc>
        <w:tc>
          <w:tcPr>
            <w:tcW w:w="6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2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NFR-Q03</w:t>
            </w:r>
          </w:p>
        </w:tc>
        <w:tc>
          <w:tcPr>
            <w:tcW w:w="17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Fact support rate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0.80</w:t>
            </w:r>
          </w:p>
        </w:tc>
        <w:tc>
          <w:tcPr>
            <w:tcW w:w="252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0.815 (75/92)</w:t>
            </w:r>
          </w:p>
        </w:tc>
        <w:tc>
          <w:tcPr>
            <w:tcW w:w="15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E5</w:t>
            </w:r>
          </w:p>
        </w:tc>
        <w:tc>
          <w:tcPr>
            <w:tcW w:w="6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2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NFR-Q04</w:t>
            </w:r>
          </w:p>
        </w:tc>
        <w:tc>
          <w:tcPr>
            <w:tcW w:w="17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Abstention when the corpus cannot answer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0.80</w:t>
            </w:r>
          </w:p>
        </w:tc>
        <w:tc>
          <w:tcPr>
            <w:tcW w:w="252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0.783 (n=23)</w:t>
            </w:r>
          </w:p>
        </w:tc>
        <w:tc>
          <w:tcPr>
            <w:tcW w:w="15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E5</w:t>
            </w:r>
          </w:p>
        </w:tc>
        <w:tc>
          <w:tcPr>
            <w:tcW w:w="6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2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not meet — action A-17-04</w:t>
            </w:r>
          </w:p>
        </w:tc>
      </w:tr>
      <w:tr>
        <w:trPr/>
        <w:tc>
          <w:tcPr>
            <w:tcW w:w="91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NFR-Q05</w:t>
            </w:r>
          </w:p>
        </w:tc>
        <w:tc>
          <w:tcPr>
            <w:tcW w:w="17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regression suite (52 questions)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49/52 (baseline 2026-08-06)</w:t>
            </w:r>
          </w:p>
        </w:tc>
        <w:tc>
          <w:tcPr>
            <w:tcW w:w="252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 — corpus absent (9/52 by construction, 2026-09-22); run now aborts with the missing list</w:t>
            </w:r>
          </w:p>
        </w:tc>
        <w:tc>
          <w:tcPr>
            <w:tcW w:w="15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eval/run_eval.py; NC-2026-008</w:t>
            </w:r>
          </w:p>
        </w:tc>
        <w:tc>
          <w:tcPr>
            <w:tcW w:w="6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2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Blocked — action A-17-05</w:t>
            </w:r>
          </w:p>
        </w:tc>
      </w:tr>
      <w:tr>
        <w:trPr/>
        <w:tc>
          <w:tcPr>
            <w:tcW w:w="91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NFR-Q06</w:t>
            </w:r>
          </w:p>
        </w:tc>
        <w:tc>
          <w:tcPr>
            <w:tcW w:w="17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Small talk answered without document citations</w:t>
            </w:r>
          </w:p>
        </w:tc>
        <w:tc>
          <w:tcPr>
            <w:tcW w:w="135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100 % of acceptance probes</w:t>
            </w:r>
          </w:p>
        </w:tc>
        <w:tc>
          <w:tcPr>
            <w:tcW w:w="252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 on v1.4.1 (after fix e0ed4d0)</w:t>
            </w:r>
          </w:p>
        </w:tc>
        <w:tc>
          <w:tcPr>
            <w:tcW w:w="15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TC-EM-RAG-103 run 4</w:t>
            </w:r>
          </w:p>
        </w:tc>
        <w:tc>
          <w:tcPr>
            <w:tcW w:w="66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2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28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 Security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04"/>
        <w:gridCol w:w="1869"/>
        <w:gridCol w:w="1691"/>
        <w:gridCol w:w="2114"/>
        <w:gridCol w:w="1896"/>
        <w:gridCol w:w="645"/>
        <w:gridCol w:w="1133"/>
        <w:gridCol w:w="1087"/>
      </w:tblGrid>
      <w:tr>
        <w:trPr>
          <w:tblHeader w:val="true"/>
        </w:trPr>
        <w:tc>
          <w:tcPr>
            <w:tcW w:w="9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8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6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211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</w:t>
            </w:r>
          </w:p>
        </w:tc>
        <w:tc>
          <w:tcPr>
            <w:tcW w:w="189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 / source</w:t>
            </w:r>
          </w:p>
        </w:tc>
        <w:tc>
          <w:tcPr>
            <w:tcW w:w="64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13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10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NFR-S01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cross-tenant leakage in answers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leaks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/ 50 probes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E3 — e3_permission.json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NFR-S02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out-of-namespace retrieval hits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hits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/ 359 (all paths) after fix 4e27109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e3b_path_isolation.json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NFR-S03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Prompt-injection success rate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≤ </w:t>
            </w:r>
            <w:r>
              <w:rPr/>
              <w:t>5 % with defences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10.2 % undefended → 5.1 % with evidence envelope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E4 — e4_injection.json; paper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boundary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NFR-S04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Injection guards in every prompt path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paths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unit tests, run by CI on every push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test_prompt_guards.py; CI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NFR-S05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instance requires login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Unauthenticated API → 401, always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401 from GitHub's network every 6 h; was off 2026-07-30 → 10-06 (NC-2026-009)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public-gate-check workflow run 37561803121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 since 2026-10-06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NFR-S06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Logout ends the session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Replayed token → 401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401 (fix e0ed4d0)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TC-EM-AUTH-101 AC-101.7 run 4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NFR-S07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supported document types accepted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Binary/unsupported → 415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415 (fix e0ed4d0)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TC-EM-DOC-102 DOC-102.5 run 4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NFR-S08</w:t>
            </w:r>
          </w:p>
        </w:tc>
        <w:tc>
          <w:tcPr>
            <w:tcW w:w="18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 gateway removes PII and keys</w:t>
            </w:r>
          </w:p>
        </w:tc>
        <w:tc>
          <w:tcPr>
            <w:tcW w:w="16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sensitive value in redacted copy</w:t>
            </w:r>
          </w:p>
        </w:tc>
        <w:tc>
          <w:tcPr>
            <w:tcW w:w="211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 incl. sk-/pk- keys (fix e0ed4d0)</w:t>
            </w:r>
          </w:p>
        </w:tc>
        <w:tc>
          <w:tcPr>
            <w:tcW w:w="189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TC-EM-EXP-108 run 4</w:t>
            </w:r>
          </w:p>
        </w:tc>
        <w:tc>
          <w:tcPr>
            <w:tcW w:w="64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13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2.4 Reliability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04"/>
        <w:gridCol w:w="1592"/>
        <w:gridCol w:w="1676"/>
        <w:gridCol w:w="2187"/>
        <w:gridCol w:w="2125"/>
        <w:gridCol w:w="647"/>
        <w:gridCol w:w="1145"/>
        <w:gridCol w:w="1063"/>
      </w:tblGrid>
      <w:tr>
        <w:trPr>
          <w:tblHeader w:val="true"/>
        </w:trPr>
        <w:tc>
          <w:tcPr>
            <w:tcW w:w="9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59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6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218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</w:t>
            </w:r>
          </w:p>
        </w:tc>
        <w:tc>
          <w:tcPr>
            <w:tcW w:w="21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 / source</w:t>
            </w:r>
          </w:p>
        </w:tc>
        <w:tc>
          <w:tcPr>
            <w:tcW w:w="6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14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106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NFR-R01</w:t>
            </w:r>
          </w:p>
        </w:tc>
        <w:tc>
          <w:tcPr>
            <w:tcW w:w="1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 checks that exercise the function</w:t>
            </w:r>
          </w:p>
        </w:tc>
        <w:tc>
          <w:tcPr>
            <w:tcW w:w="16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long-running services</w:t>
            </w:r>
          </w:p>
        </w:tc>
        <w:tc>
          <w:tcPr>
            <w:tcW w:w="21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of 6 services; Ollama check now makes a real embedding (2026-10-07); frontend/cloudflared none</w:t>
            </w:r>
          </w:p>
        </w:tc>
        <w:tc>
          <w:tcPr>
            <w:tcW w:w="21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docker-compose.yml; NC-2026-016</w:t>
            </w:r>
          </w:p>
        </w:tc>
        <w:tc>
          <w:tcPr>
            <w:tcW w:w="6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1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 — action A-17-06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NFR-R02</w:t>
            </w:r>
          </w:p>
        </w:tc>
        <w:tc>
          <w:tcPr>
            <w:tcW w:w="1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Automatic recovery from a fatal GPU fault</w:t>
            </w:r>
          </w:p>
        </w:tc>
        <w:tc>
          <w:tcPr>
            <w:tcW w:w="16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Unattended recovery</w:t>
            </w:r>
          </w:p>
        </w:tc>
        <w:tc>
          <w:tcPr>
            <w:tcW w:w="21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/health 503 + watchdog + restart policy</w:t>
            </w:r>
          </w:p>
        </w:tc>
        <w:tc>
          <w:tcPr>
            <w:tcW w:w="21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backend/app/main.py; docker-compose.yml</w:t>
            </w:r>
          </w:p>
        </w:tc>
        <w:tc>
          <w:tcPr>
            <w:tcW w:w="6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2026-09-22</w:t>
            </w:r>
          </w:p>
        </w:tc>
        <w:tc>
          <w:tcPr>
            <w:tcW w:w="11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NFR-R03</w:t>
            </w:r>
          </w:p>
        </w:tc>
        <w:tc>
          <w:tcPr>
            <w:tcW w:w="1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Bounded logs</w:t>
            </w:r>
          </w:p>
        </w:tc>
        <w:tc>
          <w:tcPr>
            <w:tcW w:w="16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 MB × 5 per service</w:t>
            </w:r>
          </w:p>
        </w:tc>
        <w:tc>
          <w:tcPr>
            <w:tcW w:w="21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Applied to all six containers</w:t>
            </w:r>
          </w:p>
        </w:tc>
        <w:tc>
          <w:tcPr>
            <w:tcW w:w="21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 inspect; REG-07</w:t>
            </w:r>
          </w:p>
        </w:tc>
        <w:tc>
          <w:tcPr>
            <w:tcW w:w="6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1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NFR-R04</w:t>
            </w:r>
          </w:p>
        </w:tc>
        <w:tc>
          <w:tcPr>
            <w:tcW w:w="1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recoverable</w:t>
            </w:r>
          </w:p>
        </w:tc>
        <w:tc>
          <w:tcPr>
            <w:tcW w:w="167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Restore tested ≤ 6 months; nightly off-site copy</w:t>
            </w:r>
          </w:p>
        </w:tc>
        <w:tc>
          <w:tcPr>
            <w:tcW w:w="218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Restore verified 2026-09-22; checksum verified 2026-10-06; off-site schedule not installed</w:t>
            </w:r>
          </w:p>
        </w:tc>
        <w:tc>
          <w:tcPr>
            <w:tcW w:w="21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TC-EM-BKP-113</w:t>
            </w:r>
          </w:p>
        </w:tc>
        <w:tc>
          <w:tcPr>
            <w:tcW w:w="6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14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0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 — action A-17-07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NFR-R05</w:t>
            </w:r>
          </w:p>
        </w:tc>
        <w:tc>
          <w:tcPr>
            <w:tcW w:w="159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Reproducible builds</w:t>
            </w:r>
          </w:p>
        </w:tc>
        <w:tc>
          <w:tcPr>
            <w:tcW w:w="16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dependencies pinned</w:t>
            </w:r>
          </w:p>
        </w:tc>
        <w:tc>
          <w:tcPr>
            <w:tcW w:w="218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NeMo pinned (60ce9407); ollama/cloudflared images unpinned</w:t>
            </w:r>
          </w:p>
        </w:tc>
        <w:tc>
          <w:tcPr>
            <w:tcW w:w="21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Dockerfiles; REG-02</w:t>
            </w:r>
          </w:p>
        </w:tc>
        <w:tc>
          <w:tcPr>
            <w:tcW w:w="6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2026-09-22</w:t>
            </w:r>
          </w:p>
        </w:tc>
        <w:tc>
          <w:tcPr>
            <w:tcW w:w="114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06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2.5 Maintainability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34"/>
        <w:gridCol w:w="1882"/>
        <w:gridCol w:w="1310"/>
        <w:gridCol w:w="2447"/>
        <w:gridCol w:w="1905"/>
        <w:gridCol w:w="715"/>
        <w:gridCol w:w="1447"/>
        <w:gridCol w:w="699"/>
      </w:tblGrid>
      <w:tr>
        <w:trPr>
          <w:tblHeader w:val="true"/>
        </w:trPr>
        <w:tc>
          <w:tcPr>
            <w:tcW w:w="93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8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31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24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</w:t>
            </w:r>
          </w:p>
        </w:tc>
        <w:tc>
          <w:tcPr>
            <w:tcW w:w="190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 / source</w:t>
            </w:r>
          </w:p>
        </w:tc>
        <w:tc>
          <w:tcPr>
            <w:tcW w:w="7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44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6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93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NFR-M01</w:t>
            </w:r>
          </w:p>
        </w:tc>
        <w:tc>
          <w:tcPr>
            <w:tcW w:w="188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Automated regression on every change</w:t>
            </w:r>
          </w:p>
        </w:tc>
        <w:tc>
          <w:tcPr>
            <w:tcW w:w="131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push</w:t>
            </w:r>
          </w:p>
        </w:tc>
        <w:tc>
          <w:tcPr>
            <w:tcW w:w="24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CI: backend 50, voice 131, type-check; proven to fail on a broken test</w:t>
            </w:r>
          </w:p>
        </w:tc>
        <w:tc>
          <w:tcPr>
            <w:tcW w:w="190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 runs 37561379960 / 37561804619</w:t>
            </w:r>
          </w:p>
        </w:tc>
        <w:tc>
          <w:tcPr>
            <w:tcW w:w="7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44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6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3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NFR-M02</w:t>
            </w:r>
          </w:p>
        </w:tc>
        <w:tc>
          <w:tcPr>
            <w:tcW w:w="18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Running instance traceable to source</w:t>
            </w:r>
          </w:p>
        </w:tc>
        <w:tc>
          <w:tcPr>
            <w:tcW w:w="131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Version + commit reported</w:t>
            </w:r>
          </w:p>
        </w:tc>
        <w:tc>
          <w:tcPr>
            <w:tcW w:w="24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1.4.1 / f1b8445 on backend, voice and front end</w:t>
            </w:r>
          </w:p>
        </w:tc>
        <w:tc>
          <w:tcPr>
            <w:tcW w:w="190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/api/version; TC-EM-REL-106</w:t>
            </w:r>
          </w:p>
        </w:tc>
        <w:tc>
          <w:tcPr>
            <w:tcW w:w="7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</w:t>
            </w:r>
          </w:p>
        </w:tc>
        <w:tc>
          <w:tcPr>
            <w:tcW w:w="144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6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2.6 Data protection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04"/>
        <w:gridCol w:w="1912"/>
        <w:gridCol w:w="1307"/>
        <w:gridCol w:w="1922"/>
        <w:gridCol w:w="2043"/>
        <w:gridCol w:w="709"/>
        <w:gridCol w:w="1184"/>
        <w:gridCol w:w="1358"/>
      </w:tblGrid>
      <w:tr>
        <w:trPr>
          <w:tblHeader w:val="true"/>
        </w:trPr>
        <w:tc>
          <w:tcPr>
            <w:tcW w:w="9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</w:t>
            </w:r>
          </w:p>
        </w:tc>
        <w:tc>
          <w:tcPr>
            <w:tcW w:w="191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</w:t>
            </w:r>
          </w:p>
        </w:tc>
        <w:tc>
          <w:tcPr>
            <w:tcW w:w="13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192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</w:t>
            </w:r>
          </w:p>
        </w:tc>
        <w:tc>
          <w:tcPr>
            <w:tcW w:w="204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 / source</w:t>
            </w:r>
          </w:p>
        </w:tc>
        <w:tc>
          <w:tcPr>
            <w:tcW w:w="7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118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135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NFR-D01</w:t>
            </w:r>
          </w:p>
        </w:tc>
        <w:tc>
          <w:tcPr>
            <w:tcW w:w="19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data never leaves the perimeter</w:t>
            </w:r>
          </w:p>
        </w:tc>
        <w:tc>
          <w:tcPr>
            <w:tcW w:w="1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Absolute</w:t>
            </w:r>
          </w:p>
        </w:tc>
        <w:tc>
          <w:tcPr>
            <w:tcW w:w="19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inference local; no cloud AI path enabled</w:t>
            </w:r>
          </w:p>
        </w:tc>
        <w:tc>
          <w:tcPr>
            <w:tcW w:w="20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docker-compose.yml; REG-02</w:t>
            </w:r>
          </w:p>
        </w:tc>
        <w:tc>
          <w:tcPr>
            <w:tcW w:w="7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1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3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Meets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NFR-D02</w:t>
            </w:r>
          </w:p>
        </w:tc>
        <w:tc>
          <w:tcPr>
            <w:tcW w:w="191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Encryption at rest</w:t>
            </w:r>
          </w:p>
        </w:tc>
        <w:tc>
          <w:tcPr>
            <w:tcW w:w="13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 required</w:t>
            </w:r>
          </w:p>
        </w:tc>
        <w:tc>
          <w:tcPr>
            <w:tcW w:w="19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 (SQLite, uploads, indexes unencrypted)</w:t>
            </w:r>
          </w:p>
        </w:tc>
        <w:tc>
          <w:tcPr>
            <w:tcW w:w="20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REG-03 R-13</w:t>
            </w:r>
          </w:p>
        </w:tc>
        <w:tc>
          <w:tcPr>
            <w:tcW w:w="70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2026-09-21</w:t>
            </w:r>
          </w:p>
        </w:tc>
        <w:tc>
          <w:tcPr>
            <w:tcW w:w="1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35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 — decision A-17-08</w:t>
            </w:r>
          </w:p>
        </w:tc>
      </w:tr>
      <w:tr>
        <w:trPr/>
        <w:tc>
          <w:tcPr>
            <w:tcW w:w="9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NFR-D03</w:t>
            </w:r>
          </w:p>
        </w:tc>
        <w:tc>
          <w:tcPr>
            <w:tcW w:w="191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Retention bounded per data class</w:t>
            </w:r>
          </w:p>
        </w:tc>
        <w:tc>
          <w:tcPr>
            <w:tcW w:w="13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class, in days (decision)</w:t>
            </w:r>
          </w:p>
        </w:tc>
        <w:tc>
          <w:tcPr>
            <w:tcW w:w="192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policy</w:t>
            </w:r>
          </w:p>
        </w:tc>
        <w:tc>
          <w:tcPr>
            <w:tcW w:w="204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REG-03 R-06</w:t>
            </w:r>
          </w:p>
        </w:tc>
        <w:tc>
          <w:tcPr>
            <w:tcW w:w="7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2026-09-21</w:t>
            </w:r>
          </w:p>
        </w:tc>
        <w:tc>
          <w:tcPr>
            <w:tcW w:w="118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35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Gap — decision A-17-08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NFRs deliberately NOT measured, and why</w:t>
      </w:r>
    </w:p>
    <w:p>
      <w:pPr>
        <w:pStyle w:val="BodyText"/>
        <w:bidi w:val="0"/>
        <w:jc w:val="left"/>
        <w:rPr/>
      </w:pPr>
      <w:r>
        <w:rPr/>
        <w:t xml:space="preserve">Recording what was </w:t>
      </w:r>
      <w:r>
        <w:rPr>
          <w:rStyle w:val="Emphasis"/>
        </w:rPr>
        <w:t>not</w:t>
      </w:r>
      <w:r>
        <w:rPr/>
        <w:t xml:space="preserve"> done, with the reason, is itself required evidence under 9.1.1. These are transcribed verbatim from the stored results rather than quietly omitted.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250"/>
        <w:gridCol w:w="822"/>
        <w:gridCol w:w="8267"/>
      </w:tblGrid>
      <w:tr>
        <w:trPr>
          <w:tblHeader w:val="true"/>
        </w:trPr>
        <w:tc>
          <w:tcPr>
            <w:tcW w:w="225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Experiment</w:t>
            </w:r>
          </w:p>
        </w:tc>
        <w:tc>
          <w:tcPr>
            <w:tcW w:w="82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Status</w:t>
            </w:r>
          </w:p>
        </w:tc>
        <w:tc>
          <w:tcPr>
            <w:tcW w:w="826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Stated reason</w:t>
            </w:r>
          </w:p>
        </w:tc>
      </w:tr>
      <w:tr>
        <w:trPr/>
        <w:tc>
          <w:tcPr>
            <w:tcW w:w="22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E2 corpus-scale retrieval sweep</w:t>
            </w:r>
          </w:p>
        </w:tc>
        <w:tc>
          <w:tcPr>
            <w:tcW w:w="8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not_run</w:t>
            </w:r>
          </w:p>
        </w:tc>
        <w:tc>
          <w:tcPr>
            <w:tcW w:w="8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421 of 17,514 chunks are content; far below the 1,000-doc / 50k-chunk scale the method requires</w:t>
            </w:r>
          </w:p>
        </w:tc>
      </w:tr>
      <w:tr>
        <w:trPr/>
        <w:tc>
          <w:tcPr>
            <w:tcW w:w="22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E6 outcome correctness</w:t>
            </w:r>
          </w:p>
        </w:tc>
        <w:tc>
          <w:tcPr>
            <w:tcW w:w="8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not_run</w:t>
            </w:r>
          </w:p>
        </w:tc>
        <w:tc>
          <w:tcPr>
            <w:tcW w:w="8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Requires two independent annotators with Cohen's kappa; no annotator panel available. An LLM-only rubric would not be a valid substitute</w:t>
            </w:r>
          </w:p>
        </w:tc>
      </w:tr>
      <w:tr>
        <w:trPr/>
        <w:tc>
          <w:tcPr>
            <w:tcW w:w="22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E8 process efficiency</w:t>
            </w:r>
          </w:p>
        </w:tc>
        <w:tc>
          <w:tcPr>
            <w:tcW w:w="82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not_run</w:t>
            </w:r>
          </w:p>
        </w:tc>
        <w:tc>
          <w:tcPr>
            <w:tcW w:w="826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Measures tool-call recovery; EchoMind has no tool-calling layer, so the metric is undefined</w:t>
            </w:r>
          </w:p>
        </w:tc>
      </w:tr>
      <w:tr>
        <w:trPr/>
        <w:tc>
          <w:tcPr>
            <w:tcW w:w="225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E9 AHP weight elicitation</w:t>
            </w:r>
          </w:p>
        </w:tc>
        <w:tc>
          <w:tcPr>
            <w:tcW w:w="82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not_run</w:t>
            </w:r>
          </w:p>
        </w:tc>
        <w:tc>
          <w:tcPr>
            <w:tcW w:w="826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Requires ≥3 panels × ≥3 practitioners; synthesising pairwise judgements would fabricate the result</w:t>
            </w:r>
          </w:p>
        </w:tc>
      </w:tr>
    </w:tbl>
    <w:p>
      <w:pPr>
        <w:pStyle w:val="BlockQuotation"/>
        <w:bidi w:val="0"/>
        <w:jc w:val="left"/>
        <w:rPr/>
      </w:pPr>
      <w:r>
        <w:rPr/>
        <w:t xml:space="preserve">This is the organisation's measurement culture working as intended, and it is worth showing the auditor: where an experiment could not be run properly it is reported as not run, never estimated. The same results file also records findings that </w:t>
      </w:r>
      <w:r>
        <w:rPr>
          <w:rStyle w:val="Strong"/>
        </w:rPr>
        <w:t>contradict the project's own published paper</w:t>
      </w:r>
      <w:r>
        <w:rPr/>
        <w:t xml:space="preserve"> (E1 retrieval share, E4 containment being silent rather than reportable).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How NFR failures have actually been caught and corrected</w:t>
      </w:r>
    </w:p>
    <w:p>
      <w:pPr>
        <w:pStyle w:val="BodyText"/>
        <w:bidi w:val="0"/>
        <w:jc w:val="left"/>
        <w:rPr/>
      </w:pPr>
      <w:r>
        <w:rPr/>
        <w:t>Evidence that NFR monitoring produces action, not just numbers: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35"/>
        <w:gridCol w:w="6397"/>
        <w:gridCol w:w="3907"/>
      </w:tblGrid>
      <w:tr>
        <w:trPr>
          <w:tblHeader w:val="true"/>
        </w:trPr>
        <w:tc>
          <w:tcPr>
            <w:tcW w:w="103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NFR</w:t>
            </w:r>
          </w:p>
        </w:tc>
        <w:tc>
          <w:tcPr>
            <w:tcW w:w="639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What happened</w:t>
            </w:r>
          </w:p>
        </w:tc>
        <w:tc>
          <w:tcPr>
            <w:tcW w:w="39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Outcome</w:t>
            </w:r>
          </w:p>
        </w:tc>
      </w:tr>
      <w:tr>
        <w:trPr/>
        <w:tc>
          <w:tcPr>
            <w:tcW w:w="10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NFR-S02</w:t>
            </w:r>
          </w:p>
        </w:tc>
        <w:tc>
          <w:tcPr>
            <w:tcW w:w="63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Golden evaluation fell 50/52 → 42/52. Root cause: one retrieval path bypassed the namespace predicate, returning 10/10 out-of-namespace chunks under a tenant-scoped query. </w:t>
            </w:r>
            <w:r>
              <w:rPr>
                <w:rStyle w:val="Strong"/>
              </w:rPr>
              <w:t>Pre-existing and latent</w:t>
            </w:r>
            <w:r>
              <w:rPr/>
              <w:t>; became visible only as the corpus grew.</w:t>
            </w:r>
          </w:p>
        </w:tc>
        <w:tc>
          <w:tcPr>
            <w:tcW w:w="3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Fixed (</w:t>
            </w:r>
            <w:r>
              <w:rPr>
                <w:rStyle w:val="SourceText"/>
              </w:rPr>
              <w:t>4e27109</w:t>
            </w:r>
            <w:r>
              <w:rPr/>
              <w:t xml:space="preserve">), all five paths audited, </w:t>
            </w:r>
            <w:r>
              <w:rPr>
                <w:rStyle w:val="Strong"/>
              </w:rPr>
              <w:t>0/359</w:t>
            </w:r>
            <w:r>
              <w:rPr/>
              <w:t xml:space="preserve"> out-of-namespace hits, suite restored to 49/52. Logged as </w:t>
            </w:r>
            <w:r>
              <w:rPr>
                <w:rStyle w:val="SourceText"/>
              </w:rPr>
              <w:t>REG-04</w:t>
            </w:r>
            <w:r>
              <w:rPr/>
              <w:t xml:space="preserve"> NC-2026-001.</w:t>
            </w:r>
          </w:p>
        </w:tc>
      </w:tr>
      <w:tr>
        <w:trPr/>
        <w:tc>
          <w:tcPr>
            <w:tcW w:w="10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NFR-Q05</w:t>
            </w:r>
          </w:p>
        </w:tc>
        <w:tc>
          <w:tcPr>
            <w:tcW w:w="63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retrieval feature measured </w:t>
            </w:r>
            <w:r>
              <w:rPr>
                <w:rStyle w:val="Emphasis"/>
              </w:rPr>
              <w:t>worse</w:t>
            </w:r>
            <w:r>
              <w:rPr/>
              <w:t xml:space="preserve"> than the baseline</w:t>
            </w:r>
          </w:p>
        </w:tc>
        <w:tc>
          <w:tcPr>
            <w:tcW w:w="3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Disabled by default (</w:t>
            </w:r>
            <w:r>
              <w:rPr>
                <w:rStyle w:val="SourceText"/>
              </w:rPr>
              <w:t>2decb99</w:t>
            </w:r>
            <w:r>
              <w:rPr/>
              <w:t>) rather than retained on expectation</w:t>
            </w:r>
          </w:p>
        </w:tc>
      </w:tr>
      <w:tr>
        <w:trPr/>
        <w:tc>
          <w:tcPr>
            <w:tcW w:w="103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NFR-R05</w:t>
            </w:r>
          </w:p>
        </w:tc>
        <w:tc>
          <w:tcPr>
            <w:tcW w:w="63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moving-branch dependency broke build and runtime</w:t>
            </w:r>
          </w:p>
        </w:tc>
        <w:tc>
          <w:tcPr>
            <w:tcW w:w="39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Root-caused, re-pinned, verified on a from-scratch rebuild (</w:t>
            </w:r>
            <w:r>
              <w:rPr>
                <w:rStyle w:val="SourceText"/>
              </w:rPr>
              <w:t>724fb98</w:t>
            </w:r>
            <w:r>
              <w:rPr/>
              <w:t>); permanently pinned 2026-09-22</w:t>
            </w:r>
          </w:p>
        </w:tc>
      </w:tr>
      <w:tr>
        <w:trPr/>
        <w:tc>
          <w:tcPr>
            <w:tcW w:w="103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NFR-P05/P06</w:t>
            </w:r>
          </w:p>
        </w:tc>
        <w:tc>
          <w:tcPr>
            <w:tcW w:w="639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first-reply latency and STT decode time</w:t>
            </w:r>
          </w:p>
        </w:tc>
        <w:tc>
          <w:tcPr>
            <w:tcW w:w="39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Re-engineered; measured improvement ~2× and ~10× respectively (</w:t>
            </w:r>
            <w:r>
              <w:rPr>
                <w:rStyle w:val="SourceText"/>
              </w:rPr>
              <w:t>ff29843</w:t>
            </w:r>
            <w:r>
              <w:rPr/>
              <w:t xml:space="preserve">, </w:t>
            </w:r>
            <w:r>
              <w:rPr>
                <w:rStyle w:val="SourceText"/>
              </w:rPr>
              <w:t>c2a6ed5</w:t>
            </w:r>
            <w:r>
              <w:rPr/>
              <w:t>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Open actions on this register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40"/>
        <w:gridCol w:w="6613"/>
        <w:gridCol w:w="1580"/>
        <w:gridCol w:w="1750"/>
        <w:gridCol w:w="756"/>
      </w:tblGrid>
      <w:tr>
        <w:trPr>
          <w:tblHeader w:val="true"/>
        </w:trPr>
        <w:tc>
          <w:tcPr>
            <w:tcW w:w="64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Ref</w:t>
            </w:r>
          </w:p>
        </w:tc>
        <w:tc>
          <w:tcPr>
            <w:tcW w:w="661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158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Priority</w:t>
            </w:r>
          </w:p>
        </w:tc>
        <w:tc>
          <w:tcPr>
            <w:tcW w:w="175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Owner</w:t>
            </w:r>
          </w:p>
        </w:tc>
        <w:tc>
          <w:tcPr>
            <w:tcW w:w="75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~~A-1~~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~~Agree a target for every NFR~~ — </w:t>
            </w:r>
            <w:r>
              <w:rPr>
                <w:rStyle w:val="Strong"/>
              </w:rPr>
              <w:t>done 2026-10-07</w:t>
            </w:r>
            <w:r>
              <w:rPr/>
              <w:t>: targets approved in EM26-17 §3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A-2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~~Re-run the golden evaluation against HEAD~~ — </w:t>
            </w:r>
            <w:r>
              <w:rPr>
                <w:rStyle w:val="Strong"/>
              </w:rPr>
              <w:t>done 2026-09-22; result 9/52, corpus absent.</w:t>
            </w:r>
            <w:r>
              <w:rPr/>
              <w:t xml:space="preserve"> Superseded by A-8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A-8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Restore the evaluation corpus and re-measure</w:t>
            </w:r>
            <w:r>
              <w:rPr/>
              <w:t xml:space="preserve"> (</w:t>
            </w:r>
            <w:r>
              <w:rPr>
                <w:rStyle w:val="SourceText"/>
              </w:rPr>
              <w:t>REG-04</w:t>
            </w:r>
            <w:r>
              <w:rPr/>
              <w:t xml:space="preserve"> NC-2026-008). Until this is done the organisation has </w:t>
            </w:r>
            <w:r>
              <w:rPr>
                <w:rStyle w:val="Strong"/>
              </w:rPr>
              <w:t>no current measurement of retrieval quality</w:t>
            </w:r>
            <w:r>
              <w:rPr/>
              <w:t xml:space="preserve"> and cannot evidence NFR-Q01–Q05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Critical — before 7 Oct dry run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2026-10-13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~~A-3~~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~~Reconcile the 2025 closure evidence~~ — </w:t>
            </w:r>
            <w:r>
              <w:rPr>
                <w:rStyle w:val="Strong"/>
              </w:rPr>
              <w:t>addressed 2026-10-07</w:t>
            </w:r>
            <w:r>
              <w:rPr/>
              <w:t>: the 2025 product is the predecessor; equivalent controls for the rebuilt product in EM26-00 §2 and EM26-17 §2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A-4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Add health checks to </w:t>
            </w:r>
            <w:r>
              <w:rPr>
                <w:rStyle w:val="SourceText"/>
              </w:rPr>
              <w:t>frontend</w:t>
            </w:r>
            <w:r>
              <w:rPr/>
              <w:t xml:space="preserve"> and </w:t>
            </w:r>
            <w:r>
              <w:rPr>
                <w:rStyle w:val="SourceText"/>
              </w:rPr>
              <w:t>cloudflared</w:t>
            </w:r>
            <w:r>
              <w:rPr/>
              <w:t xml:space="preserve"> (NFR-R01)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2026-10-31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A-5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Improve NFR-Q04 abstention accuracy (0.78) — it underwrites the product's central claim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2026-11-30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A-6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Investigate NFR-P07 barge-in stop time (~2.1 s) against a target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2026-11-30</w:t>
            </w:r>
          </w:p>
        </w:tc>
      </w:tr>
      <w:tr>
        <w:trPr/>
        <w:tc>
          <w:tcPr>
            <w:tcW w:w="64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A-7</w:t>
            </w:r>
          </w:p>
        </w:tc>
        <w:tc>
          <w:tcPr>
            <w:tcW w:w="661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 the retention policy (NFR-D03) and implement it</w:t>
            </w:r>
          </w:p>
        </w:tc>
        <w:tc>
          <w:tcPr>
            <w:tcW w:w="158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175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/ Kishan Haravu Pradeep</w:t>
            </w:r>
          </w:p>
        </w:tc>
        <w:tc>
          <w:tcPr>
            <w:tcW w:w="75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2026-10-31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Review</w:t>
      </w:r>
    </w:p>
    <w:p>
      <w:pPr>
        <w:pStyle w:val="BodyText"/>
        <w:bidi w:val="0"/>
        <w:jc w:val="left"/>
        <w:rPr/>
      </w:pPr>
      <w:r>
        <w:rPr/>
        <w:t>This register is reviewed at each release (SOP-08), at each management review (SOP-15), and whenever an NFR measurement moves outside its agreed target.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08"/>
        <w:gridCol w:w="5409"/>
        <w:gridCol w:w="4321"/>
      </w:tblGrid>
      <w:tr>
        <w:trPr>
          <w:tblHeader w:val="true"/>
        </w:trPr>
        <w:tc>
          <w:tcPr>
            <w:tcW w:w="160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Review date</w:t>
            </w:r>
          </w:p>
        </w:tc>
        <w:tc>
          <w:tcPr>
            <w:tcW w:w="540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Reviewed by</w:t>
            </w:r>
          </w:p>
        </w:tc>
        <w:tc>
          <w:tcPr>
            <w:tcW w:w="43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Changes</w:t>
            </w:r>
          </w:p>
        </w:tc>
      </w:tr>
      <w:tr>
        <w:trPr/>
        <w:tc>
          <w:tcPr>
            <w:tcW w:w="160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540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(review), Anita Johan (approval)</w:t>
            </w:r>
          </w:p>
        </w:tc>
        <w:tc>
          <w:tcPr>
            <w:tcW w:w="43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Targets set and approved — EM26-17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