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QA-FAIL-2026-07: Upload and chat return HTTP 500 after redeploy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QA-FAIL-2026-07: Upload and chat return HTTP 500 after redeploy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Open — correction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3, TC-EM-DOC-102 and TC-EM-RAG-103.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HTTP 200.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500; doc_id None; HTTP 500 in 1.6s; cites []; answer: Internal Server Error — embedding service could not create a CUDA context on the shared GPU; its healthcheck stayed green.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NC-2026-016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22:27 UTC: embeddings on CPU (REG-07 DC-2026-005). Re-test run 4: DOC-102 and RAG-103 pass. Corrective action (real healthcheck, GPU policy) open.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Open — correction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QA-FAIL-2026-07: Upload and chat return HTTP 500 after redeploy</dc:title>
  <dc:creator>Ajace Inc. — EchoMind QMS</dc:creator>
  <cp:lastModifiedBy>Un-named</cp:lastModifiedBy>
  <cp:revision>1</cp:revision>
  <dcterms:created xsi:type="dcterms:W3CDTF">2026-10-07T16:54:10.775Z</dcterms:created>
  <dcterms:modified xsi:type="dcterms:W3CDTF">2026-10-07T16:54:10.775Z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