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AJACE Non-Functional Requirements Record and Monitoring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Non-Functional Requirements Record and Monitoring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 / 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 #6 — ISO 9001:2015 8.2.2 (Minor NC)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custodian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Closure evidence for the 2025 surveillance-audit finding #6 (clause 8.2.2, Minor NC): “No evidence could be seen for recording and monitoring of non functional requirements.”</w:t>
      </w:r>
    </w:p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Record the non-functional requirements (NFRs) of EchoMind Enterprise, how each is measured and monitored, the latest measured value against a target, and the actions where a target is not met. The controlled source register is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docs/qms/registers/REG-09_NFR_Register.md</w:t>
      </w:r>
      <w:r>
        <w:t xml:space="preserve">; this document is its reviewed issue for the audit.</w:t>
      </w:r>
    </w:p>
    <w:p>
      <w:pPr>
        <w:pStyle w:val="Heading1"/>
      </w:pPr>
      <w:r>
        <w:t xml:space="preserve">2. Project context — 2025 to 2026</w:t>
      </w:r>
    </w:p>
    <w:p>
      <w:pPr>
        <w:spacing w:after="100"/>
      </w:pPr>
      <w:r>
        <w:t xml:space="preserve">In 2025 EchoMind was a live-transcript and chatbot appliance (separate services on an RTX 4090 PC). In 2026 the product was rebuilt as EchoMind Enterprise on the NVIDIA DGX Spark, which changed the non-functional requirements substantially — conversational latency, grounding accuracy, tenant isolation and offline data protection became primary. Requirement sources: banking and law-firm use cases (vertical packs Bank and Law), plus healthcare, retail and meeting rooms.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53"/>
        <w:gridCol w:w="4015"/>
        <w:gridCol w:w="2769"/>
        <w:gridCol w:w="2023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(commit, date)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NFRs driven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appliance (RTX 4090), Windows, five separate services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(Grace-Blackwell GB10, 128 GB) — Qwen3-30B-A3B NVFP4 on TensorRT-LLM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bdc12ff (2026-06-26), 80375c6 (2026-07-29)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Performance, offline operation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speech-to-speech assistant on our own dual-loop architecture (see §4)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ddbcd1f (2026-02-05) → ff29843 (2026-09-21)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naturalness, grounding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(Whisper) + embedding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+ Silent Assistant: sentence-level live checks with quoted proof for customer care, law firms and other agent roles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f75121b (2026-06-27), 7f2658a (2026-08-16), 15f3c96 (2026-09-15)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Accuracy, latency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/ knowledge base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Chatbot over uploaded documents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Hybrid retrieval, honest citations, relevance gate, namespace-isolated knowledge bases, ingestion overhaul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343117f (2026-07-29), 2dba137 (2026-06-27), 7e582e1 (2026-08-16)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Accuracy, isolation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generation from conversations and sources, on-device images, PDF/PPTX export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 (2026-06-20), 66356f9 (2026-06-27)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 (on-device)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/ verticals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(law firm, financial agent, clinical and others) and vertical packs for banking, law, health, retail and meeting rooms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c6b834d, 0dd5f82, 9992848, b9f076e (2026-06-27); 343117f (2026-07-29)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Isolation, accuracy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Speed and naturalness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Turn-based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Sentence-aligned speech, pipelined synthesis, speculative replies, hold phrases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31b7786 (2026-07-29), 1d1e3aa (2026-08-15), ff29843 (2026-09-21)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naturalness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NFR register — measured values against targets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Targets were proposed by the Lead Engineer from the measured baselines and approved by the Managing Director on 2026-10-07 (action A-17-01, AR-2026-001); they are now binding. A measurement without an agreed target shows activity, not conformity — this was the residual of the 2025 finding.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1094"/>
        <w:gridCol w:w="1823"/>
        <w:gridCol w:w="1580"/>
        <w:gridCol w:w="2066"/>
        <w:gridCol w:w="972"/>
        <w:gridCol w:w="1823"/>
        <w:gridCol w:w="1337"/>
        <w:gridCol w:w="1293"/>
      </w:tblGrid>
      <w:tr>
        <w:trPr>
          <w:tblHeader/>
        </w:trP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 (approved)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Method / evidence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harness E1 — eval/paper/results/e1_latency.json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 decomposition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E10 ablation — e10_ablation.json; paper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voice_e2e session test; commit ff29843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ff29843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E7 — e7_interaction.json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 — e5_grounding.json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eval/run_eval.py; NC-2026-008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E3 — e3_permission.json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e3b_path_isolation.json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E4 — e4_injection.json; paper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test_prompt_guards.py; CI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public-gate-check workflow run 37561803121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 AC-101.7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 DOC-102.5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docker-compose.yml; NC-2026-016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backend/app/main.py; docker-compose.yml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inspect; REG-07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Dockerfiles; REG-02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runs 37561379960 / 37561804619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/api/version; TC-EM-REL-106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docker-compose.yml; REG-02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R-13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R-06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How NFRs drove the voice design — options tried, with risk</w:t>
      </w:r>
    </w:p>
    <w:p>
      <w:pPr>
        <w:spacing w:after="100"/>
      </w:pPr>
      <w:r>
        <w:t xml:space="preserve">Conversational voice had the hardest NFRs (latency under a second, natural turn-taking, answers grounded in the customer's knowledge base). Options were tried in order, each recorded with its outcome: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691"/>
        <w:gridCol w:w="2602"/>
        <w:gridCol w:w="2862"/>
        <w:gridCol w:w="2212"/>
        <w:gridCol w:w="3073"/>
      </w:tblGrid>
      <w:tr>
        <w:trPr>
          <w:tblHeader/>
        </w:trP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against the NFRs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 → 02-23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Moshi (Kyutai) as the speech-to-speech core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Slow and below the quality bar for enterprise conversation; could not be grounded in the knowledge base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Replaced; adapter kept behind USE_MOSHI_CORE (default off)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voice/app/adapters/moshi_ws.py (4b90b36); Kyutai STT work bff6cf2, 5d7dc8f, b732dbf, 8e92aca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 (date not recorded in the repository)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PersonaPlex (full-duplex persona model)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Fast, but could not map answers to the full knowledge base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adopted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Engineering team account — Richard Watson Stephen Amudha, recorded 2026-10-07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→ 09-21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cascade: Nemotron streaming STT + Parakeet final STT + Qwen3 LLM + Piper TTS, organised as a dual-loop architecture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Met latency (636 ms median) and grounding (0.979 citation precision); published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Adopted — paper submitted to QASC 2026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 (2026-04-08), b6a70d8 (2026-06-26), paper eval cbc57d1 (2026-08-07), docs/paper/EchoMind_QASC2026_CameraReady_v4.pdf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Comparison with NVIDIA NemotronLabs VoiceChat-11B (full duplex, ~450 ms)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2-minute context, no retrieval, quality degradation, ~80 GB GPU, no support for this GPU generation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adopted; its latency idea (speculative reply) taken into our cascade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ff29843 message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The adopted architecture — a dual loop separating a bounded-latency interaction loop from an asynchronous, governed retrieval loop — is EchoMind's own design. It is described and measured in *EchoMind: Secure Full-Duplex Retrieval-Augmented Voice and Document Intelligence for Enterprise Knowledge Work* (AJACE Inc., QASC 2026): first audible response 636 ms median against 866 ms for a single loop; 0 of 50 cross-tenant probes leaked; citation precision 0.979.</w:t>
      </w:r>
    </w:p>
    <w:p>
      <w:pPr>
        <w:pStyle w:val="Heading1"/>
      </w:pPr>
      <w:r>
        <w:t xml:space="preserve">5. How NFRs are monitored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2492"/>
        <w:gridCol w:w="2353"/>
        <w:gridCol w:w="3046"/>
        <w:gridCol w:w="2023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Monitor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NFRs covered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Frequency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Mechanism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 place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and type checks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NFR-S04, NFR-M01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and pull request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 CI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suite (13 test cases)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NFR-Q06, S05–S08, M02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release; after every defect fix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— runs 1–4 on 2026-10-06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2026-10-06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(52 questions)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 (aborts if the corpus is missing)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2026-07-29; blocked since 2026-09-15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NFR-P01–P04, P07, Q01–Q04, S01–S03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study / major change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login gate check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6 hours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public-gate-check workflow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health checks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NFR-R01, R02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15–30 s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docker-compose healthchecks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Runtime-settings drift check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NFR-S05, D01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and after any configuration change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scripts/check_runtime_config.sh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 review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release and each management review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This document / REG-09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From 2026-10-07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NFR failures caught and corrected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4153"/>
        <w:gridCol w:w="3323"/>
        <w:gridCol w:w="230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NFR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monitoring caught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Correction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fell 50/52 → 42/52: one retrieval path bypassed the namespace filter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Wrapper + path audit; 0/359 verified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NC-2026-001, 4e27109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broke on a moving upstream dependency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NeMo to a verified commit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scored 9/52 — corpus absent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Pre-flight check added; corpus to restore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answered without login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 restored; external check every 6 h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NFR-S06/S07/S08, Q06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tests: logout, upload, export, small-talk defects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 in e0ed4d0 / 3feb5db; re-tested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failed while its healthcheck was green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CPU embeddings; real healthcheck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Actions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6"/>
        <w:gridCol w:w="6230"/>
        <w:gridCol w:w="2630"/>
        <w:gridCol w:w="1384"/>
        <w:gridCol w:w="1470"/>
      </w:tblGrid>
      <w:tr>
        <w:trPr>
          <w:tblHeader/>
        </w:trP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A-17-01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 the targets in §3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2026-10-07 — approved (AR-2026-001)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A-17-02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 NFR-P05/P06 in CPU mode; return voice to GPU when the GPU is not shared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A-17-03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Reduce barge-in stop time below 1.0 s (NFR-P07)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A-17-04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Raise abstention accuracy to ≥ 0.80 (NFR-Q04)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A-17-05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the evaluation corpus and re-run the golden suite (NFR-Q05, NC-2026-008)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needs the 15 source documents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A-17-06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health checks to frontend and cloudflared (NFR-R01)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A-17-07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Install the nightly off-site backup (NFR-R04)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needs the destination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A-17-08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encryption at rest and retention periods (NFR-D02, D03)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/ Kishan Haravu Pradeep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Records and retention</w:t>
      </w:r>
    </w:p>
    <w:p>
      <w:pPr>
        <w:spacing w:after="100"/>
      </w:pPr>
      <w:r>
        <w:t xml:space="preserve">Controlled in git (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docs/qms/registers/REG-09</w:t>
      </w:r>
      <w:r>
        <w:t xml:space="preserve">, this document under </w:t>
      </w:r>
      <w:r>
        <w:rPr>
          <w:rFonts w:ascii="Consolas" w:cs="Consolas" w:eastAsia="Consolas" w:hAnsi="Consolas"/>
          <w:sz w:val="19"/>
          <w:szCs w:val="19"/>
        </w:rPr>
        <w:t xml:space="preserve">docs/qms/evidence-2026/17_NFR_Register/</w:t>
      </w:r>
      <w:r>
        <w:t xml:space="preserve">); measurement files under </w:t>
      </w:r>
      <w:r>
        <w:rPr>
          <w:rFonts w:ascii="Consolas" w:cs="Consolas" w:eastAsia="Consolas" w:hAnsi="Consolas"/>
          <w:sz w:val="19"/>
          <w:szCs w:val="19"/>
        </w:rPr>
        <w:t xml:space="preserve">eval/</w:t>
      </w:r>
      <w:r>
        <w:t xml:space="preserve">; CI and check runs on GitHub Actions; tickets on the project board (#49 NFR targets). Retention: 7 years.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p>
      <w:pPr>
        <w:pStyle w:val="Heading2"/>
      </w:pPr>
      <w:r>
        <w:t xml:space="preserve">Revision history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46"/>
        <w:gridCol w:w="3600"/>
        <w:gridCol w:w="3738"/>
        <w:gridCol w:w="257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Reviewer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issue; approved AR-2026-001</w:t>
            </w:r>
          </w:p>
        </w:tc>
      </w:tr>
    </w:tbl>
    <w:p>
      <w:pPr>
        <w:spacing w:after="12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76"/>
        <w:gridCol w:w="3323"/>
        <w:gridCol w:w="2161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AJACE Non-Functional Requirements Record and Monitoring — EchoMind Enterprise</dc:title>
  <dc:creator>Ajace Inc. — EchoMind QMS</dc:creator>
  <cp:lastModifiedBy>Un-named</cp:lastModifiedBy>
  <cp:revision>1</cp:revision>
  <dcterms:created xsi:type="dcterms:W3CDTF">2026-10-07T16:53:21.628Z</dcterms:created>
  <dcterms:modified xsi:type="dcterms:W3CDTF">2026-10-07T16:53:21.629Z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