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REG-07 — Design and Change Register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39"/>
        <w:gridCol w:w="8599"/>
      </w:tblGrid>
      <w:tr>
        <w:trPr>
          <w:tblHeader w:val="true"/>
        </w:trPr>
        <w:tc>
          <w:tcPr>
            <w:tcW w:w="27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5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REG-07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LIVE REGISTER — currently empty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8.3.2, 8.3.4, 8.3.6, 8.5.6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Governing procedures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 (design), SOP-06 (change)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 — Alexander Peter (EchoMind Project Lead); QA Sheryl Nazareth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BodyText"/>
        <w:bidi w:val="0"/>
        <w:jc w:val="left"/>
        <w:rPr/>
      </w:pPr>
      <w:r>
        <w:rPr/>
        <w:t>One row per significant design item or change: what was planned, what review it received, and what verification closed it. ISO 9001:2015 requires records of design planning (8.3.2), design controls (8.3.4) and design changes (8.3.6).</w:t>
      </w:r>
    </w:p>
    <w:p>
      <w:pPr>
        <w:pStyle w:val="Heading2"/>
        <w:bidi w:val="0"/>
        <w:jc w:val="left"/>
        <w:rPr/>
      </w:pPr>
      <w:r>
        <w:rPr/>
        <w:t>2. What must be registered</w:t>
      </w:r>
    </w:p>
    <w:p>
      <w:pPr>
        <w:pStyle w:val="BodyText"/>
        <w:bidi w:val="0"/>
        <w:jc w:val="left"/>
        <w:rPr/>
      </w:pPr>
      <w:r>
        <w:rPr/>
        <w:t>Not every commit. Only changes meeting the significance criteria in SOP-06 §5 — in summary, anything that changes intended behaviour, the retrieval or generation path, the data model, the deployment topology, authentication or data handling, a model, or a customer-visible interface.</w:t>
      </w:r>
    </w:p>
    <w:p>
      <w:pPr>
        <w:pStyle w:val="BodyText"/>
        <w:bidi w:val="0"/>
        <w:jc w:val="left"/>
        <w:rPr/>
      </w:pPr>
      <w:r>
        <w:rPr/>
        <w:t>Routine changes remain controlled by Git alone; the commit is the record.</w:t>
      </w:r>
    </w:p>
    <w:p>
      <w:pPr>
        <w:pStyle w:val="Heading2"/>
        <w:bidi w:val="0"/>
        <w:jc w:val="left"/>
        <w:rPr/>
      </w:pPr>
      <w:r>
        <w:rPr/>
        <w:t>3. Register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92"/>
        <w:gridCol w:w="668"/>
        <w:gridCol w:w="1209"/>
        <w:gridCol w:w="1560"/>
        <w:gridCol w:w="1249"/>
        <w:gridCol w:w="1175"/>
        <w:gridCol w:w="1362"/>
        <w:gridCol w:w="2094"/>
        <w:gridCol w:w="1430"/>
      </w:tblGrid>
      <w:tr>
        <w:trPr>
          <w:tblHeader w:val="true"/>
        </w:trPr>
        <w:tc>
          <w:tcPr>
            <w:tcW w:w="59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Ref</w:t>
            </w:r>
          </w:p>
        </w:tc>
        <w:tc>
          <w:tcPr>
            <w:tcW w:w="66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 raised</w:t>
            </w:r>
          </w:p>
        </w:tc>
        <w:tc>
          <w:tcPr>
            <w:tcW w:w="120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Class</w:t>
            </w:r>
          </w:p>
        </w:tc>
        <w:tc>
          <w:tcPr>
            <w:tcW w:w="156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124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Design inputs / acceptance criteria</w:t>
            </w:r>
          </w:p>
        </w:tc>
        <w:tc>
          <w:tcPr>
            <w:tcW w:w="117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Review (date, FRM-01 ref)</w:t>
            </w:r>
          </w:p>
        </w:tc>
        <w:tc>
          <w:tcPr>
            <w:tcW w:w="136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Verification evidence</w:t>
            </w:r>
          </w:p>
        </w:tc>
        <w:tc>
          <w:tcPr>
            <w:tcW w:w="209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Implemented (commit)</w:t>
            </w:r>
          </w:p>
        </w:tc>
        <w:tc>
          <w:tcPr>
            <w:tcW w:w="143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</w:tr>
      <w:tr>
        <w:trPr/>
        <w:tc>
          <w:tcPr>
            <w:tcW w:w="59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DC-2026-001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2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Runtime configuration</w:t>
            </w:r>
          </w:p>
        </w:tc>
        <w:tc>
          <w:tcPr>
            <w:tcW w:w="15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Application login enabled on the reference instance (</w:t>
            </w:r>
            <w:r>
              <w:rPr>
                <w:rStyle w:val="SourceText"/>
              </w:rPr>
              <w:t>AUTH_ENABLED=1</w:t>
            </w:r>
            <w:r>
              <w:rPr/>
              <w:t xml:space="preserve">, </w:t>
            </w:r>
            <w:r>
              <w:rPr>
                <w:rStyle w:val="SourceText"/>
              </w:rPr>
              <w:t>VOICE_AUTH_ENABLED=1</w:t>
            </w:r>
            <w:r>
              <w:rPr/>
              <w:t xml:space="preserve"> in </w:t>
            </w:r>
            <w:r>
              <w:rPr>
                <w:rStyle w:val="SourceText"/>
              </w:rPr>
              <w:t>.env</w:t>
            </w:r>
            <w:r>
              <w:rPr/>
              <w:t>)</w:t>
            </w:r>
          </w:p>
        </w:tc>
        <w:tc>
          <w:tcPr>
            <w:tcW w:w="12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Correction for NC-2026-009</w:t>
            </w:r>
          </w:p>
        </w:tc>
        <w:tc>
          <w:tcPr>
            <w:tcW w:w="11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reviewed — single developer (REG-03 R-03)</w:t>
            </w:r>
          </w:p>
        </w:tc>
        <w:tc>
          <w:tcPr>
            <w:tcW w:w="13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TC-EM-AUTH-101 (external 401, voice 403/101)</w:t>
            </w:r>
          </w:p>
        </w:tc>
        <w:tc>
          <w:tcPr>
            <w:tcW w:w="20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.env</w:t>
            </w:r>
            <w:r>
              <w:rPr/>
              <w:t xml:space="preserve"> (untracked)</w:t>
            </w:r>
          </w:p>
        </w:tc>
        <w:tc>
          <w:tcPr>
            <w:tcW w:w="1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59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DC-2026-002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2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Code — defect fixes</w:t>
            </w:r>
          </w:p>
        </w:tc>
        <w:tc>
          <w:tcPr>
            <w:tcW w:w="15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Fixes for NC-2026-012…015 (token revocation, upload allow-list, small-talk routing, export key formats)</w:t>
            </w:r>
          </w:p>
        </w:tc>
        <w:tc>
          <w:tcPr>
            <w:tcW w:w="12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Acceptance criteria AC-101.7, DOC-102.5, RAG-103.3, EXP-108.2</w:t>
            </w:r>
          </w:p>
        </w:tc>
        <w:tc>
          <w:tcPr>
            <w:tcW w:w="11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reviewed — single developer</w:t>
            </w:r>
          </w:p>
        </w:tc>
        <w:tc>
          <w:tcPr>
            <w:tcW w:w="13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50/50, voice 131/131, tsc 0; acceptance run 4 all pass</w:t>
            </w:r>
          </w:p>
        </w:tc>
        <w:tc>
          <w:tcPr>
            <w:tcW w:w="20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e0ed4d0</w:t>
            </w:r>
            <w:r>
              <w:rPr/>
              <w:t xml:space="preserve">, </w:t>
            </w:r>
            <w:r>
              <w:rPr>
                <w:rStyle w:val="SourceText"/>
              </w:rPr>
              <w:t>3feb5db</w:t>
            </w:r>
          </w:p>
        </w:tc>
        <w:tc>
          <w:tcPr>
            <w:tcW w:w="1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59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DC-2026-003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2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</w:t>
            </w:r>
          </w:p>
        </w:tc>
        <w:tc>
          <w:tcPr>
            <w:tcW w:w="15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Release v1.4.1 (tag on </w:t>
            </w:r>
            <w:r>
              <w:rPr>
                <w:rStyle w:val="SourceText"/>
              </w:rPr>
              <w:t>f1b8445</w:t>
            </w:r>
            <w:r>
              <w:rPr/>
              <w:t>)</w:t>
            </w:r>
          </w:p>
        </w:tc>
        <w:tc>
          <w:tcPr>
            <w:tcW w:w="12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FRM-03 §3 checks</w:t>
            </w:r>
          </w:p>
        </w:tc>
        <w:tc>
          <w:tcPr>
            <w:tcW w:w="11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FRM-03 authorisation pending</w:t>
            </w:r>
          </w:p>
        </w:tc>
        <w:tc>
          <w:tcPr>
            <w:tcW w:w="13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records/releases/2026-10-06_v1.4.1.md</w:t>
            </w:r>
          </w:p>
        </w:tc>
        <w:tc>
          <w:tcPr>
            <w:tcW w:w="20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f1b8445</w:t>
            </w:r>
          </w:p>
        </w:tc>
        <w:tc>
          <w:tcPr>
            <w:tcW w:w="1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Released — authorisation pending</w:t>
            </w:r>
          </w:p>
        </w:tc>
      </w:tr>
      <w:tr>
        <w:trPr/>
        <w:tc>
          <w:tcPr>
            <w:tcW w:w="59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DC-2026-004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2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Runtime configuration</w:t>
            </w:r>
          </w:p>
        </w:tc>
        <w:tc>
          <w:tcPr>
            <w:tcW w:w="15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speech recognition moved to the CPU (</w:t>
            </w:r>
            <w:r>
              <w:rPr>
                <w:rStyle w:val="SourceText"/>
              </w:rPr>
              <w:t>VOICE_CUDA_VISIBLE_DEVICES=</w:t>
            </w:r>
            <w:r>
              <w:rPr/>
              <w:t xml:space="preserve">, </w:t>
            </w:r>
            <w:r>
              <w:rPr>
                <w:rStyle w:val="SourceText"/>
              </w:rPr>
              <w:t>VOICE_ASR_DEVICE=cpu</w:t>
            </w:r>
            <w:r>
              <w:rPr/>
              <w:t xml:space="preserve">, </w:t>
            </w:r>
            <w:r>
              <w:rPr>
                <w:rStyle w:val="SourceText"/>
              </w:rPr>
              <w:t>VOICE_ASR_REQUIRE_CUDA=0</w:t>
            </w:r>
            <w:r>
              <w:rPr/>
              <w:t>)</w:t>
            </w:r>
          </w:p>
        </w:tc>
        <w:tc>
          <w:tcPr>
            <w:tcW w:w="12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GPU shared with another stack; voice could not create a CUDA context (22 restarts)</w:t>
            </w:r>
          </w:p>
        </w:tc>
        <w:tc>
          <w:tcPr>
            <w:tcW w:w="11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reviewed</w:t>
            </w:r>
          </w:p>
        </w:tc>
        <w:tc>
          <w:tcPr>
            <w:tcW w:w="13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healthy first attempt; AC-101.9 pass</w:t>
            </w:r>
          </w:p>
        </w:tc>
        <w:tc>
          <w:tcPr>
            <w:tcW w:w="20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.env</w:t>
            </w:r>
            <w:r>
              <w:rPr/>
              <w:t xml:space="preserve"> (untracked)</w:t>
            </w:r>
          </w:p>
        </w:tc>
        <w:tc>
          <w:tcPr>
            <w:tcW w:w="1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 — revert when the GPU is not shared</w:t>
            </w:r>
          </w:p>
        </w:tc>
      </w:tr>
      <w:tr>
        <w:trPr/>
        <w:tc>
          <w:tcPr>
            <w:tcW w:w="59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DC-2026-005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2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Configuration</w:t>
            </w:r>
          </w:p>
        </w:tc>
        <w:tc>
          <w:tcPr>
            <w:tcW w:w="15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Ollama embeddings on the CPU (</w:t>
            </w:r>
            <w:r>
              <w:rPr>
                <w:rStyle w:val="SourceText"/>
              </w:rPr>
              <w:t>OLLAMA_CUDA_VISIBLE_DEVICES</w:t>
            </w:r>
            <w:r>
              <w:rPr/>
              <w:t xml:space="preserve"> in compose; empty in </w:t>
            </w:r>
            <w:r>
              <w:rPr>
                <w:rStyle w:val="SourceText"/>
              </w:rPr>
              <w:t>.env</w:t>
            </w:r>
            <w:r>
              <w:rPr/>
              <w:t>)</w:t>
            </w:r>
          </w:p>
        </w:tc>
        <w:tc>
          <w:tcPr>
            <w:tcW w:w="12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Correction for NC-2026-016</w:t>
            </w:r>
          </w:p>
        </w:tc>
        <w:tc>
          <w:tcPr>
            <w:tcW w:w="11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reviewed</w:t>
            </w:r>
          </w:p>
        </w:tc>
        <w:tc>
          <w:tcPr>
            <w:tcW w:w="13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Embedding call 200 (768 dims); acceptance run 4 all pass</w:t>
            </w:r>
          </w:p>
        </w:tc>
        <w:tc>
          <w:tcPr>
            <w:tcW w:w="20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docker-compose.yml</w:t>
            </w:r>
            <w:r>
              <w:rPr/>
              <w:t xml:space="preserve"> + </w:t>
            </w:r>
            <w:r>
              <w:rPr>
                <w:rStyle w:val="SourceText"/>
              </w:rPr>
              <w:t>.env</w:t>
            </w:r>
          </w:p>
        </w:tc>
        <w:tc>
          <w:tcPr>
            <w:tcW w:w="1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 — revert when the GPU is not shared</w:t>
            </w:r>
          </w:p>
        </w:tc>
      </w:tr>
      <w:tr>
        <w:trPr/>
        <w:tc>
          <w:tcPr>
            <w:tcW w:w="59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DC-2026-007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12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Process / tooling</w:t>
            </w:r>
          </w:p>
        </w:tc>
        <w:tc>
          <w:tcPr>
            <w:tcW w:w="15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Runtime-settings baseline, drift check (</w:t>
            </w:r>
            <w:r>
              <w:rPr>
                <w:rStyle w:val="SourceText"/>
              </w:rPr>
              <w:t>scripts/check_runtime_config.sh</w:t>
            </w:r>
            <w:r>
              <w:rPr/>
              <w:t>), SOP-06 §10.1; CI and external login check workflows; evaluation corpus pre-flight; real Ollama healthcheck</w:t>
            </w:r>
          </w:p>
        </w:tc>
        <w:tc>
          <w:tcPr>
            <w:tcW w:w="12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Corrective actions for NC-2026-008, -009, -010, -016</w:t>
            </w:r>
          </w:p>
        </w:tc>
        <w:tc>
          <w:tcPr>
            <w:tcW w:w="11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reviewed — single developer</w:t>
            </w:r>
          </w:p>
        </w:tc>
        <w:tc>
          <w:tcPr>
            <w:tcW w:w="13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Drift check: match → exit 0, simulated login-off → exit 1; pre-flight aborted listing 15 missing documents; healthcheck exit 0 / broken model exit 1; CI and gate-check runs on GitHub</w:t>
            </w:r>
          </w:p>
        </w:tc>
        <w:tc>
          <w:tcPr>
            <w:tcW w:w="209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this commit</w:t>
            </w:r>
          </w:p>
        </w:tc>
        <w:tc>
          <w:tcPr>
            <w:tcW w:w="1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59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DC-2026-006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20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identification</w:t>
            </w:r>
          </w:p>
        </w:tc>
        <w:tc>
          <w:tcPr>
            <w:tcW w:w="156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BUILD_VERSION</w:t>
            </w:r>
            <w:r>
              <w:rPr/>
              <w:t>/</w:t>
            </w:r>
            <w:r>
              <w:rPr>
                <w:rStyle w:val="SourceText"/>
              </w:rPr>
              <w:t>BUILD_COMMIT</w:t>
            </w:r>
            <w:r>
              <w:rPr/>
              <w:t>/</w:t>
            </w:r>
            <w:r>
              <w:rPr>
                <w:rStyle w:val="SourceText"/>
              </w:rPr>
              <w:t>BUILD_DATE</w:t>
            </w:r>
            <w:r>
              <w:rPr/>
              <w:t xml:space="preserve"> held in </w:t>
            </w:r>
            <w:r>
              <w:rPr>
                <w:rStyle w:val="SourceText"/>
              </w:rPr>
              <w:t>.env</w:t>
            </w:r>
            <w:r>
              <w:rPr/>
              <w:t xml:space="preserve"> for the running images</w:t>
            </w:r>
          </w:p>
        </w:tc>
        <w:tc>
          <w:tcPr>
            <w:tcW w:w="124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8.5.2</w:t>
            </w:r>
          </w:p>
        </w:tc>
        <w:tc>
          <w:tcPr>
            <w:tcW w:w="117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reviewed</w:t>
            </w:r>
          </w:p>
        </w:tc>
        <w:tc>
          <w:tcPr>
            <w:tcW w:w="136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TC-EM-REL-106</w:t>
            </w:r>
          </w:p>
        </w:tc>
        <w:tc>
          <w:tcPr>
            <w:tcW w:w="209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.env</w:t>
            </w:r>
            <w:r>
              <w:rPr/>
              <w:t xml:space="preserve"> (untracked)</w:t>
            </w:r>
          </w:p>
        </w:tc>
        <w:tc>
          <w:tcPr>
            <w:tcW w:w="143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Use </w:t>
      </w:r>
      <w:r>
        <w:rPr>
          <w:rStyle w:val="SourceText"/>
        </w:rPr>
        <w:t>forms/FRM-01_Design_Review_Record.md</w:t>
      </w:r>
      <w:r>
        <w:rPr/>
        <w:t xml:space="preserve"> for the review and </w:t>
      </w:r>
      <w:r>
        <w:rPr>
          <w:rStyle w:val="SourceText"/>
        </w:rPr>
        <w:t>forms/FRM-02_Change_Request.md</w:t>
      </w:r>
      <w:r>
        <w:rPr/>
        <w:t xml:space="preserve"> for the change, then summarise here.</w:t>
      </w:r>
    </w:p>
    <w:p>
      <w:pPr>
        <w:pStyle w:val="Heading2"/>
        <w:bidi w:val="0"/>
        <w:jc w:val="left"/>
        <w:rPr/>
      </w:pPr>
      <w:r>
        <w:rPr/>
        <w:t>4. Current state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Empty. Historically, design and change control has been exercised through Git alone — and the commit bodies are unusually good, several recording rationale, root cause and verification. What they do not record is a design review as a distinct act with participants and a decision, or acceptance criteria agreed </w:t>
      </w:r>
      <w:r>
        <w:rPr>
          <w:rStyle w:val="Emphasis"/>
        </w:rPr>
        <w:t>before</w:t>
      </w:r>
      <w:r>
        <w:rPr/>
        <w:t xml:space="preserve"> the work. That is the gap this register closes (Gap Analysis G-16, G-18).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