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Project Plan — EchoMind Enterprise</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EM26-23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Plan — EchoMind 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Issue 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2026-10-13 (AR-2026-005)</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Organisation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AJACE Inc. — 14159 Robert Paris Ct., Suite A, Chantilly, VA 20151, USA</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Product (Project 2)</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 — 2026-10-13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 — 2026-10-13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 — 2026-10-13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2026-10-13</w:t>
            </w:r>
          </w:p>
        </w:tc>
      </w:tr>
    </w:tbl>
    <w:p>
      <w:pPr>
        <w:pStyle w:val="Heading1"/>
      </w:pPr>
      <w:r>
        <w:t xml:space="preserve">1. Purpose and scope</w:t>
      </w:r>
    </w:p>
    <w:p>
      <w:pPr>
        <w:spacing w:after="100"/>
      </w:pPr>
      <w:r>
        <w:t xml:space="preserve">This plan describes how the EchoMind Enterprise project is organised, delivered and controlled: the scope, the organisation, the delivery cycle and versions, how the client is kept involved, how quality and risk are managed, and the plan ahead. It follows the 2025 university pilot appliance, delivered in 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Item</w:t>
            </w:r>
          </w:p>
        </w:tc>
        <w:tc>
          <w:tcPr>
            <w:tcW w:type="dxa" w:w="69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Entry</w:t>
            </w:r>
          </w:p>
        </w:tc>
      </w:tr>
      <w:t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w:t>
            </w:r>
          </w:p>
        </w:tc>
        <w:tc>
          <w:tcPr>
            <w:tcW w:type="dxa" w:w="6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 an on-premises AI workspace: knowledge chat with citations, live transcription with the Silent Assistant, Boardroom, voice conversation and Document Studio</w:t>
            </w:r>
          </w:p>
        </w:tc>
      </w:tr>
      <w:t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w:t>
            </w:r>
          </w:p>
        </w:tc>
        <w:tc>
          <w:tcPr>
            <w:tcW w:type="dxa" w:w="6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NVIDIA DGX Spark (Grace-Blackwell GB10), fully offline</w:t>
            </w:r>
          </w:p>
        </w:tc>
      </w:tr>
      <w:t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w:t>
            </w:r>
          </w:p>
        </w:tc>
        <w:tc>
          <w:tcPr>
            <w:tcW w:type="dxa" w:w="6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 Client B (Bahrain); Client C (law firm); Client D (Gulf region)</w:t>
            </w:r>
          </w:p>
        </w:tc>
      </w:tr>
      <w:t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Repository</w:t>
            </w:r>
          </w:p>
        </w:tc>
        <w:tc>
          <w:tcPr>
            <w:tcW w:type="dxa" w:w="6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github.com/RW2523/echomind-enterprise (versions tagged v1.0.0 → v1.4.1)</w:t>
            </w:r>
          </w:p>
        </w:tc>
      </w:tr>
    </w:tbl>
    <w:p>
      <w:pPr>
        <w:spacing w:after="120"/>
      </w:pPr>
    </w:p>
    <w:p>
      <w:pPr>
        <w:pStyle w:val="Heading1"/>
      </w:pPr>
      <w:r>
        <w:t xml:space="preserve">2. Organisation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41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Responsibility in the project</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Managing Director</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4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Approves the plan, releases and documents; owns resources</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Project Lead</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4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relationship and reviews; design reviews; deployment approach</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Lead Engineer</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4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development, verification, releases</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 / Management Representative</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4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QMS, records, audit programme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custodian</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4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Customer data, backups, retention, access</w:t>
            </w:r>
          </w:p>
        </w:tc>
      </w:tr>
    </w:tbl>
    <w:p>
      <w:pPr>
        <w:spacing w:after="120"/>
      </w:pPr>
    </w:p>
    <w:p>
      <w:pPr>
        <w:pStyle w:val="Heading1"/>
      </w:pPr>
      <w:r>
        <w:t xml:space="preserve">3. Delivery cycle and versions</w:t>
      </w:r>
    </w:p>
    <w:p>
      <w:pPr>
        <w:spacing w:after="100"/>
      </w:pPr>
      <w:r>
        <w:t xml:space="preserve">Work is delivered in increments of about two months. Each increment ends with a version and is reviewed — with the clients for new capabilities, and by engineering for quality and release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150"/>
        <w:gridCol w:w="1150"/>
        <w:gridCol w:w="3500"/>
        <w:gridCol w:w="1500"/>
        <w:gridCol w:w="1010"/>
      </w:tblGrid>
      <w:tr>
        <w:trPr>
          <w:tblHeader/>
        </w:trPr>
        <w:tc>
          <w:tcPr>
            <w:tcW w:type="dxa" w:w="10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Version</w:t>
            </w:r>
          </w:p>
        </w:tc>
        <w:tc>
          <w:tcPr>
            <w:tcW w:type="dxa" w:w="11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1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Window</w:t>
            </w:r>
          </w:p>
        </w:tc>
        <w:tc>
          <w:tcPr>
            <w:tcW w:type="dxa" w:w="3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Scope</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Version reviews</w:t>
            </w:r>
          </w:p>
        </w:tc>
        <w:tc>
          <w:tcPr>
            <w:tcW w:type="dxa" w:w="101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Type</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v1.0.0</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2026-02-27</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Jan–Feb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code ported to the DGX Spark; knowledge chat with citations; live transcription; Kyutai speech; voice with barge-in; wake word and listen-only</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 CR-2026-02, CR-2026-03</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baseline</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v1.1.0</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2026-04-29</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Mar–Apr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FMR knowledge base (section and TOC retrieval); financial assistant; TensorRT-LLM integrated; own dual-loop voice; Nemotron speech; personas; offline preparation</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 CR-2026-05, CR-2026-06, CR-2026-07</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baseline</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v1.2.0</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May–Jun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Boardroom; code-audit fixes; Document Studio; Parakeet final STT; login, roles, tenancy, export gateway; vertical packs; public reference instance</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 SR-2026-01, CR-2026-09</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baseline</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v1.3.0</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Jul–Aug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TensorRT-LLM NVFP4 in production; golden evaluation; retrieval fixes; RAG ingestion overhaul; Silent Assistant v2; QASC 2026 results</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 RV-2026-02</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baseline</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v1.4.0</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Sep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redesign (speculative replies, tool routing); release identification; backup and restore; QMS documentation</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 RV-2026-04, RV-2026-05, RV-2026-06</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(FRM-03)</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v1.4.1</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Oct 2026</w:t>
            </w:r>
          </w:p>
        </w:tc>
        <w:tc>
          <w:tcPr>
            <w:tcW w:type="dxa" w:w="3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Defect fixes from acceptance testing; CI; external login check; CPU fallback for speech and embeddings</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 RV-2026-08</w:t>
            </w:r>
          </w:p>
        </w:tc>
        <w:tc>
          <w:tcPr>
            <w:tcW w:type="dxa" w:w="10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(FRM-03)</w:t>
            </w:r>
          </w:p>
        </w:tc>
      </w:tr>
    </w:tbl>
    <w:p>
      <w:pPr>
        <w:spacing w:after="120"/>
      </w:pPr>
    </w:p>
    <w:p>
      <w:pPr>
        <w:pStyle w:val="Heading1"/>
      </w:pPr>
      <w:r>
        <w:t xml:space="preserve">4. Client involvement and communication</w:t>
      </w:r>
    </w:p>
    <w:p>
      <w:pPr>
        <w:pStyle w:val="ListParagraph"/>
        <w:numPr>
          <w:ilvl w:val="0"/>
          <w:numId w:val="2"/>
        </w:numPr>
        <w:spacing w:after="60"/>
      </w:pPr>
      <w:r>
        <w:t xml:space="preserve">Each new capability is shown to the client who asked for it; the feedback is recorded as a client review (CR-2026-xx) with its actions (EM26-19).</w:t>
      </w:r>
    </w:p>
    <w:p>
      <w:pPr>
        <w:pStyle w:val="ListParagraph"/>
        <w:numPr>
          <w:ilvl w:val="0"/>
          <w:numId w:val="2"/>
        </w:numPr>
        <w:spacing w:after="60"/>
      </w:pPr>
      <w:r>
        <w:t xml:space="preserve">Requirements and their changes are recorded in EM26-20 (functional) and EM26-21 (non-functional); each change names the review that decided it.</w:t>
      </w:r>
    </w:p>
    <w:p>
      <w:pPr>
        <w:pStyle w:val="ListParagraph"/>
        <w:numPr>
          <w:ilvl w:val="0"/>
          <w:numId w:val="2"/>
        </w:numPr>
        <w:spacing w:after="60"/>
      </w:pPr>
      <w:r>
        <w:t xml:space="preserve">Internal channels: GitHub project board, e-mail and Teams; client contact is held by the EchoMind Project Lead (SOP-04 §7).</w:t>
      </w:r>
    </w:p>
    <w:p>
      <w:pPr>
        <w:pStyle w:val="Heading1"/>
      </w:pPr>
      <w:r>
        <w:t xml:space="preserve">5. Quality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Control</w:t>
            </w:r>
          </w:p>
        </w:tc>
        <w:tc>
          <w:tcPr>
            <w:tcW w:type="dxa" w:w="50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How</w:t>
            </w:r>
          </w:p>
        </w:tc>
        <w:tc>
          <w:tcPr>
            <w:tcW w:type="dxa" w:w="25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Reviews</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design and engineering reviews with actions (EM26-19)</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increment (about two months) and before each release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Verification</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and type check in CI; 13 acceptance test cases; golden-question suite; research harness (EM26-24 Test Plan)</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push; every release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record FRM-03 authorised by the Managing Director; version tag; changelog</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release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Nonconformities</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REG-04 with correction, corrective action and re-test</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When found</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FR and NFR registers with targets and measurements</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Each release and management review</w:t>
            </w:r>
          </w:p>
        </w:tc>
      </w:tr>
    </w:tbl>
    <w:p>
      <w:pPr>
        <w:spacing w:after="120"/>
      </w:pPr>
    </w:p>
    <w:p>
      <w:pPr>
        <w:pStyle w:val="Heading1"/>
      </w:pPr>
      <w:r>
        <w:t xml:space="preserve">6. Risks</w:t>
      </w:r>
    </w:p>
    <w:p>
      <w:pPr>
        <w:spacing w:after="100"/>
      </w:pPr>
      <w:r>
        <w:t xml:space="preserve">Risks are kept in REG-03 with owners and due dates (14 risks). The main ones for the plan: shared GPU on the reference system (R-14), off-host backup (R-02), model licences (R-10), login default for customer installations (R-04).</w:t>
      </w:r>
    </w:p>
    <w:p>
      <w:pPr>
        <w:pStyle w:val="Heading1"/>
      </w:pPr>
      <w:r>
        <w:t xml:space="preserve">7. Change control</w:t>
      </w:r>
    </w:p>
    <w:p>
      <w:pPr>
        <w:spacing w:after="100"/>
      </w:pPr>
      <w:r>
        <w:t xml:space="preserve">Significant changes follow SOP-06 §6 (change request FRM-02, register REG-07). Requirement changes are recorded in EM26-20 › Requirement changes.</w:t>
      </w:r>
    </w:p>
    <w:p>
      <w:pPr>
        <w:pStyle w:val="Heading1"/>
      </w:pPr>
      <w:r>
        <w:t xml:space="preserve">8. Plan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100"/>
        <w:gridCol w:w="1100"/>
        <w:gridCol w:w="960"/>
      </w:tblGrid>
      <w:tr>
        <w:trPr>
          <w:tblHeader/>
        </w:trPr>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4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Item</w:t>
            </w:r>
          </w:p>
        </w:tc>
        <w:tc>
          <w:tcPr>
            <w:tcW w:type="dxa" w:w="2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Target</w:t>
            </w:r>
          </w:p>
        </w:tc>
        <w:tc>
          <w:tcPr>
            <w:tcW w:type="dxa" w:w="9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Off-host nightly backup installed</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Evaluation corpus restored; golden suite re-run</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9001 surveillance audit</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2026-10-14</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Model licences verified (incl. gated models, SDXL-Turbo)</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Login default and CORS origin for customer installs</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Retention periods and encryption at rest decided</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GPU-sharing policy for the host</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Health checks for frontend and tunnel</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Hotspot configuration under version control</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Internal audit — clauses 4–7</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Barge-in stop time under 1.0 s</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Abstention accuracy ≥ 0.80</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Tenant isolation made structural</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Reranker model pre-cached for offline use</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Internal audit — clause 8</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2026-12</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quarterly management review</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2026-12</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Database move SQLite → Postgres for concurrency</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2026-12-31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Q4 2026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Second engineer able to run releases (bus factor)</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2026-12-31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Planned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Internal audit — clauses 9–10</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2027-01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API acceptance tests in CI</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2027-Q1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Management review (quarterly)</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2027-03</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Edge-device tier: offline devices that use the host's knowledge base</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2027-H1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Offline → online export gateway extended to a full approval workflow</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2027-H1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r>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H1 2027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Building-block customisation kit for client-specific deployments</w:t>
            </w:r>
          </w:p>
        </w:tc>
        <w:tc>
          <w:tcPr>
            <w:tcW w:type="dxa" w:w="2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2027-H1</w:t>
            </w:r>
          </w:p>
        </w:tc>
        <w:tc>
          <w:tcPr>
            <w:tcW w:type="dxa" w:w="9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Proposed</w:t>
            </w:r>
          </w:p>
        </w:tc>
      </w:tr>
    </w:tbl>
    <w:p>
      <w:pPr>
        <w:spacing w:after="120"/>
      </w:pPr>
    </w:p>
    <w:p>
      <w:pPr>
        <w:pStyle w:val="Heading1"/>
      </w:pPr>
      <w:r>
        <w:t xml:space="preserve">9. Plan reviews held</w:t>
      </w:r>
    </w:p>
    <w:p>
      <w:pPr>
        <w:spacing w:after="100"/>
      </w:pPr>
      <w:r>
        <w:t xml:space="preserve">The plan has been reviewed at each version review; the record of each review is in EM26-19.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560"/>
      </w:tblGrid>
      <w:tr>
        <w:trPr>
          <w:tblHeader/>
        </w:trPr>
        <w:tc>
          <w:tcPr>
            <w:tcW w:type="dxa" w:w="1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Reviews</w:t>
            </w:r>
          </w:p>
        </w:tc>
        <w:tc>
          <w:tcPr>
            <w:tcW w:type="dxa" w:w="3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What was reviewed</w:t>
            </w:r>
          </w:p>
        </w:tc>
        <w:tc>
          <w:tcPr>
            <w:tcW w:type="dxa" w:w="25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Effect on the plan</w:t>
            </w:r>
          </w:p>
        </w:tc>
      </w:tr>
      <w:tr>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3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 decision: move from the 2025 PC appliance to the DGX Spark; first increment planned</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Plan baselined for v1.0.0</w:t>
            </w:r>
          </w:p>
        </w:tc>
      </w:tr>
      <w:tr>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 … CR-2026-06</w:t>
            </w:r>
          </w:p>
        </w:tc>
        <w:tc>
          <w:tcPr>
            <w:tcW w:type="dxa" w:w="3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requirements (personal assistant, conversation assistance, DoD FMR knowledge base); conversation approach changed twice; transcript accuracy and speed</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Scope of v1.1.0 set; voice re-planned to the dual loop</w:t>
            </w:r>
          </w:p>
        </w:tc>
      </w:tr>
      <w:tr>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 → 06</w:t>
            </w:r>
          </w:p>
        </w:tc>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 … CR-2026-09, SR-2026-01</w:t>
            </w:r>
          </w:p>
        </w:tc>
        <w:tc>
          <w:tcPr>
            <w:tcW w:type="dxa" w:w="3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Law-firm Silent Assistant, Boardroom, Document Studio; security and defect review</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Scope of v1.2.0 extended; security work brought forward</w:t>
            </w:r>
          </w:p>
        </w:tc>
      </w:tr>
      <w:tr>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 → 08</w:t>
            </w:r>
          </w:p>
        </w:tc>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 RV-2026-02</w:t>
            </w:r>
          </w:p>
        </w:tc>
        <w:tc>
          <w:tcPr>
            <w:tcW w:type="dxa" w:w="3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Golden-suite and research measurements</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v1.3.0 focused on accuracy, isolation and measurement</w:t>
            </w:r>
          </w:p>
        </w:tc>
      </w:tr>
      <w:tr>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 → 10</w:t>
            </w:r>
          </w:p>
        </w:tc>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 … RV-2026-08</w:t>
            </w:r>
          </w:p>
        </w:tc>
        <w:tc>
          <w:tcPr>
            <w:tcW w:type="dxa" w:w="3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review, release readiness, acceptance testing, audit readiness</w:t>
            </w:r>
          </w:p>
        </w:tc>
        <w:tc>
          <w:tcPr>
            <w:tcW w:type="dxa" w:w="25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Releases v1.4.0 and v1.4.1; forward plan to 2027</w:t>
            </w:r>
          </w:p>
        </w:tc>
      </w:tr>
    </w:tbl>
    <w:p>
      <w:pPr>
        <w:spacing w:after="120"/>
      </w:pP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EchoMind Enterprise</dc:title>
  <dc:creator>Ajace Inc. — EchoMind QMS</dc:creator>
  <cp:lastModifiedBy>Un-named</cp:lastModifiedBy>
  <cp:revision>1</cp:revision>
  <dcterms:created xsi:type="dcterms:W3CDTF">2026-10-20T18:34:51.524Z</dcterms:created>
  <dcterms:modified xsi:type="dcterms:W3CDTF">2026-10-20T18:34:51.524Z</dcterms:modified>
</cp:coreProperties>
</file>

<file path=docProps/custom.xml><?xml version="1.0" encoding="utf-8"?>
<Properties xmlns="http://schemas.openxmlformats.org/officeDocument/2006/custom-properties" xmlns:vt="http://schemas.openxmlformats.org/officeDocument/2006/docPropsVTypes"/>
</file>