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Requirement Change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Change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rev 1.1 2026-10-20 (AR-2026-007); rev 1.0 approved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§6; SOP-06; form FRM-02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 (functional), EM26-21 (non-functional)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Every change to the agreed requirements — what changed, why, who asked, the meeting where it was decided and where that meeting is recorded, the impact, how it was implemented and how it was verified.</w:t>
      </w:r>
    </w:p>
    <w:p>
      <w:pPr>
        <w:pStyle w:val="Heading1"/>
      </w:pPr>
      <w:r>
        <w:t xml:space="preserve">2. Change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50"/>
        <w:gridCol w:w="1050"/>
        <w:gridCol w:w="1751"/>
        <w:gridCol w:w="1050"/>
        <w:gridCol w:w="1050"/>
        <w:gridCol w:w="1351"/>
        <w:gridCol w:w="1000"/>
        <w:gridCol w:w="850"/>
        <w:gridCol w:w="1200"/>
        <w:gridCol w:w="1000"/>
        <w:gridCol w:w="958"/>
      </w:tblGrid>
      <w:tr>
        <w:trPr>
          <w:tblHeader/>
        </w:trP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Reason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 (commit — version)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RC-2025-01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fixed in the signed SOW: offline on-premises system, BYOA pilot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review record DR-2025-09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Baseline for the 2025 appliance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RC-2026-01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FR-PL-01; NFR-D01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changed from a single RTX 4090 PC to the DGX Spark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Capacity and portability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CR-2026-01; review record CR-2026-01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services ported; new platform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4b90b36, c751d79 — v1.0.0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RC-2026-02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FR-VC-01; NFR-P04, NFR-P07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engine: Kyutai Unmute → NVIDIA PersonaPlex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not natural, too slow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engine replaced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Trial (compared in the QASC 2026 paper)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review CR-2026-04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Superseded by RC-2026-03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RC-2026-03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engine: PersonaPlex → own dual-loop flow grounded in the client's knowledge base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must use the client's large data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voice architecture; Nemotron speech recognition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 — v1.1.0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E4/E7: 636 ms median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RC-2026-04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FR-KC-04; NFR-Q01 … Q05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retrieval: BookRAG and PageIndex tried; hierarchical section → chunk retrieval kept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7,300-page regulation; performance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design; BookRAG switched off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 — v1.1.0; 2decb99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(BookRAG 43/52)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RC-2026-05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NFR-P01, NFR-P06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transcript: better speech model with fallback; chat from Ollama to TensorRT-LLM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accuracy and speed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recognition and LLM serving changed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 — v1.1.0; b6a70d8 — v1.2.0; 80375c6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acceptance run 4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RC-2026-06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requirement: listen-only Silent Assistant that puts data on screen and never replies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request after the demonstration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module beside live transcription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 — v1.2.0; 7f2658a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RC-2026-07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requirement: Document Studio — PPT and PDF locally, with and without a template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requirement (mediator contract)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module; on-device image model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2d23f40, 66356f9 — v1.2.0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Requirements added from internal reviews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"/>
        <w:gridCol w:w="4352"/>
        <w:gridCol w:w="1644"/>
        <w:gridCol w:w="2321"/>
        <w:gridCol w:w="2224"/>
        <w:gridCol w:w="1549"/>
      </w:tblGrid>
      <w:tr>
        <w:trPr>
          <w:tblHeader/>
        </w:trP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by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 — reach a deployed unit with no network (boot-time hotspot and landing page)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 unit; configuration to version control (AC-26)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 — group discussions with speaker separation and a meeting report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f540976, cf463aa, e1a337b — v1.2.0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 (run 4)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Requested, not yet accepted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"/>
        <w:gridCol w:w="4835"/>
        <w:gridCol w:w="2321"/>
        <w:gridCol w:w="2514"/>
        <w:gridCol w:w="2420"/>
      </w:tblGrid>
      <w:tr>
        <w:trPr>
          <w:tblHeader/>
        </w:trP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4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2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24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4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sensors; vehicle inspection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2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  <w:tc>
          <w:tcPr>
            <w:tcW w:type="dxa" w:w="24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How a change is handled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Raised in a client or design meeting; the meeting is recorded as a review in EM26-19 with the decision and actions.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on scope, design and schedule assessed; significant changes use FRM-02 and the change register REG-07 (SOP-06 §6).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registers EM26-20 / EM26-21 updated; delivered in the next version; verified by its test.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Change Record — EchoMind (Project 2)</dc:title>
  <dc:creator>Ajace Inc. — EchoMind QMS</dc:creator>
  <cp:lastModifiedBy>Un-named</cp:lastModifiedBy>
  <cp:revision>1</cp:revision>
  <dcterms:created xsi:type="dcterms:W3CDTF">2026-10-20T18:34:51.709Z</dcterms:created>
  <dcterms:modified xsi:type="dcterms:W3CDTF">2026-10-20T18:34:51.709Z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