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5000" w:type="pct"/>
        <w:jc w:val="left"/>
        <w:tblInd w:w="-7" w:type="dxa"/>
        <w:tblLayout w:type="fixed"/>
        <w:tblCellMar>
          <w:top w:w="60" w:type="dxa"/>
          <w:left w:w="60" w:type="dxa"/>
          <w:bottom w:w="60" w:type="dxa"/>
          <w:right w:w="60" w:type="dxa"/>
        </w:tblCellMar>
      </w:tblPr>
      <w:tblGrid>
        <w:gridCol w:w="1894"/>
        <w:gridCol w:w="6028"/>
      </w:tblGrid>
      <w:tr>
        <w:trPr>
          <w:tblHeader w:val="true"/>
        </w:trPr>
        <w:tc>
          <w:tcPr>
            <w:tcW w:w="18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REG-04</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(Sheryl Nazareth)</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8.7.2, 10.2.2</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(nonconforming output), SOP-14 (corrective action)</w:t>
            </w:r>
          </w:p>
        </w:tc>
      </w:tr>
      <w:tr>
        <w:trPr/>
        <w:tc>
          <w:tcPr>
            <w:tcW w:w="18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6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5000" w:type="pct"/>
        <w:jc w:val="left"/>
        <w:tblInd w:w="-7" w:type="dxa"/>
        <w:tblLayout w:type="fixed"/>
        <w:tblCellMar>
          <w:top w:w="60" w:type="dxa"/>
          <w:left w:w="60" w:type="dxa"/>
          <w:bottom w:w="60" w:type="dxa"/>
          <w:right w:w="60" w:type="dxa"/>
        </w:tblCellMar>
      </w:tblPr>
      <w:tblGrid>
        <w:gridCol w:w="844"/>
        <w:gridCol w:w="70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7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Loss of a module or service, or customer data placed at risk</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incorrect internal state, or a control that is silently not working</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7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5000" w:type="pct"/>
        <w:jc w:val="left"/>
        <w:tblInd w:w="-7" w:type="dxa"/>
        <w:tblLayout w:type="fixed"/>
        <w:tblCellMar>
          <w:top w:w="60" w:type="dxa"/>
          <w:left w:w="60" w:type="dxa"/>
          <w:bottom w:w="60" w:type="dxa"/>
          <w:right w:w="60" w:type="dxa"/>
        </w:tblCellMar>
      </w:tblPr>
      <w:tblGrid>
        <w:gridCol w:w="1460"/>
        <w:gridCol w:w="646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regression (50/52 → 42/52) during the paper experiment campaign</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separately; fixed 2026-08-07</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five retrieval paths audited for the same class of defect.</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 / notification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was affected at the time (pre-commercial); no notification made.</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5000" w:type="pct"/>
        <w:jc w:val="left"/>
        <w:tblInd w:w="-7" w:type="dxa"/>
        <w:tblLayout w:type="fixed"/>
        <w:tblCellMar>
          <w:top w:w="60" w:type="dxa"/>
          <w:left w:w="60" w:type="dxa"/>
          <w:bottom w:w="60" w:type="dxa"/>
          <w:right w:w="60" w:type="dxa"/>
        </w:tblCellMar>
      </w:tblPr>
      <w:tblGrid>
        <w:gridCol w:w="1671"/>
        <w:gridCol w:w="6251"/>
      </w:tblGrid>
      <w:tr>
        <w:trPr>
          <w:tblHeader w:val="true"/>
        </w:trPr>
        <w:tc>
          <w:tcPr>
            <w:tcW w:w="16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in one commit.</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5000" w:type="pct"/>
        <w:jc w:val="left"/>
        <w:tblInd w:w="-7" w:type="dxa"/>
        <w:tblLayout w:type="fixed"/>
        <w:tblCellMar>
          <w:top w:w="60" w:type="dxa"/>
          <w:left w:w="60" w:type="dxa"/>
          <w:bottom w:w="60" w:type="dxa"/>
          <w:right w:w="60" w:type="dxa"/>
        </w:tblCellMar>
      </w:tblPr>
      <w:tblGrid>
        <w:gridCol w:w="1482"/>
        <w:gridCol w:w="6440"/>
      </w:tblGrid>
      <w:tr>
        <w:trPr>
          <w:tblHeader w:val="true"/>
        </w:trPr>
        <w:tc>
          <w:tcPr>
            <w:tcW w:w="14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docker-compose.yml:157-159</w:t>
            </w:r>
            <w:r>
              <w:rPr/>
              <w:t>.</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as an explicit verification step.</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5000" w:type="pct"/>
        <w:jc w:val="left"/>
        <w:tblInd w:w="-7" w:type="dxa"/>
        <w:tblLayout w:type="fixed"/>
        <w:tblCellMar>
          <w:top w:w="60" w:type="dxa"/>
          <w:left w:w="60" w:type="dxa"/>
          <w:bottom w:w="60" w:type="dxa"/>
          <w:right w:w="60" w:type="dxa"/>
        </w:tblCellMar>
      </w:tblPr>
      <w:tblGrid>
        <w:gridCol w:w="1398"/>
        <w:gridCol w:w="6524"/>
      </w:tblGrid>
      <w:tr>
        <w:trPr>
          <w:tblHeader w:val="true"/>
        </w:trPr>
        <w:tc>
          <w:tcPr>
            <w:tcW w:w="13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(feature did not work;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5000" w:type="pct"/>
        <w:jc w:val="left"/>
        <w:tblInd w:w="-7" w:type="dxa"/>
        <w:tblLayout w:type="fixed"/>
        <w:tblCellMar>
          <w:top w:w="60" w:type="dxa"/>
          <w:left w:w="60" w:type="dxa"/>
          <w:bottom w:w="60" w:type="dxa"/>
          <w:right w:w="60" w:type="dxa"/>
        </w:tblCellMar>
      </w:tblPr>
      <w:tblGrid>
        <w:gridCol w:w="1819"/>
        <w:gridCol w:w="6103"/>
      </w:tblGrid>
      <w:tr>
        <w:trPr>
          <w:tblHeader w:val="true"/>
        </w:trPr>
        <w:tc>
          <w:tcPr>
            <w:tcW w:w="18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1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addressed 2026-07-30</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feature was enabled on expectation rather than 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measurement that prompted the change is the evidence.</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8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1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5000" w:type="pct"/>
        <w:jc w:val="left"/>
        <w:tblInd w:w="-7" w:type="dxa"/>
        <w:tblLayout w:type="fixed"/>
        <w:tblCellMar>
          <w:top w:w="60" w:type="dxa"/>
          <w:left w:w="60" w:type="dxa"/>
          <w:bottom w:w="60" w:type="dxa"/>
          <w:right w:w="60" w:type="dxa"/>
        </w:tblCellMar>
      </w:tblPr>
      <w:tblGrid>
        <w:gridCol w:w="1351"/>
        <w:gridCol w:w="6571"/>
      </w:tblGrid>
      <w:tr>
        <w:trPr>
          <w:tblHeader w:val="true"/>
        </w:trPr>
        <w:tc>
          <w:tcPr>
            <w:tcW w:w="13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a from-scratch rebuild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2026-09-04</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was mitigated at the time and </w:t>
            </w:r>
            <w:r>
              <w:rPr>
                <w:rStyle w:val="Strong"/>
              </w:rPr>
              <w:t>removed on 2026-09-22</w:t>
            </w:r>
            <w:r>
              <w:rPr/>
              <w:t xml:space="preserve">: both Dockerfiles now pin NeMo to commit </w:t>
            </w:r>
            <w:r>
              <w:rPr>
                <w:rStyle w:val="SourceText"/>
              </w:rPr>
              <w:t>60ce9407</w:t>
            </w:r>
            <w:r>
              <w:rPr/>
              <w:t xml:space="preserve"> (commit </w:t>
            </w:r>
            <w:r>
              <w:rPr>
                <w:rStyle w:val="SourceText"/>
              </w:rPr>
              <w:t>51fd3bc</w:t>
            </w:r>
            <w:r>
              <w:rPr/>
              <w:t xml:space="preserve">; risk R-01 in </w:t>
            </w:r>
            <w:r>
              <w:rPr>
                <w:rStyle w:val="SourceText"/>
              </w:rPr>
              <w:t>REG-03</w:t>
            </w:r>
            <w:r>
              <w:rPr/>
              <w:t xml:space="preserve"> closed).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Latent condition exposed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 the three defects on 2026-09-04; the root supplier risk on 2026-09-22 (REG-03 R-01)</w:t>
            </w:r>
          </w:p>
        </w:tc>
      </w:tr>
    </w:tbl>
    <w:p>
      <w:pPr>
        <w:pStyle w:val="Heading3"/>
        <w:bidi w:val="0"/>
        <w:jc w:val="left"/>
        <w:rPr/>
      </w:pPr>
      <w:r>
        <w:rPr/>
        <w:t>NC-2026-007 (R) — Published claims contradicted by the organisation's own measurements</w:t>
      </w:r>
    </w:p>
    <w:tbl>
      <w:tblPr>
        <w:tblW w:w="5000" w:type="pct"/>
        <w:jc w:val="left"/>
        <w:tblInd w:w="-7" w:type="dxa"/>
        <w:tblLayout w:type="fixed"/>
        <w:tblCellMar>
          <w:top w:w="60" w:type="dxa"/>
          <w:left w:w="60" w:type="dxa"/>
          <w:bottom w:w="60" w:type="dxa"/>
          <w:right w:w="60" w:type="dxa"/>
        </w:tblCellMar>
      </w:tblPr>
      <w:tblGrid>
        <w:gridCol w:w="1340"/>
        <w:gridCol w:w="6582"/>
      </w:tblGrid>
      <w:tr>
        <w:trPr>
          <w:tblHeader w:val="true"/>
        </w:trPr>
        <w:tc>
          <w:tcPr>
            <w:tcW w:w="13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were reasoned rather than measured at the time of writing.</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findings are recorded verbatim in the results file, including the contradictions.</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3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5000" w:type="pct"/>
        <w:jc w:val="left"/>
        <w:tblInd w:w="-7" w:type="dxa"/>
        <w:tblLayout w:type="fixed"/>
        <w:tblCellMar>
          <w:top w:w="60" w:type="dxa"/>
          <w:left w:w="60" w:type="dxa"/>
          <w:bottom w:w="60" w:type="dxa"/>
          <w:right w:w="60" w:type="dxa"/>
        </w:tblCellMar>
      </w:tblPr>
      <w:tblGrid>
        <w:gridCol w:w="1367"/>
        <w:gridCol w:w="6555"/>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re-running the evaluation for audit evidence)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Scheduled measurement ahead of the October surveillance audit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Further investigation (2026-10-07)</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activity log shows 46 document deletions on 2026-09-15 03:31–05:47 UTC, minutes after commit </w:t>
            </w:r>
            <w:r>
              <w:rPr>
                <w:rStyle w:val="SourceText"/>
              </w:rPr>
              <w:t>15f3c96</w:t>
            </w:r>
            <w:r>
              <w:rPr/>
              <w:t>, while the Meridian Bank demo set was loaded — the probable point at which the evaluation corpus left the knowledge base (</w:t>
            </w:r>
            <w:r>
              <w:rPr>
                <w:rStyle w:val="SourceText"/>
              </w:rPr>
              <w:t>records/capa/2026-10-07_NC-2026-009_access_log_review.md</w:t>
            </w:r>
            <w:r>
              <w:rPr/>
              <w:t xml:space="preserve"> §3).</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yet — the source documents must be recovered or re-obtained. Corrective action (b) implemented 2026-10-07: </w:t>
            </w:r>
            <w:r>
              <w:rPr>
                <w:rStyle w:val="SourceText"/>
              </w:rPr>
              <w:t>run_eval.py</w:t>
            </w:r>
            <w:r>
              <w:rPr/>
              <w:t xml:space="preserve"> now aborts, listing the missing documents (verified: 15 listed, exit code 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This is an internal measurement capability; no customer deployment is affected.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5000" w:type="pct"/>
        <w:jc w:val="left"/>
        <w:tblInd w:w="-7" w:type="dxa"/>
        <w:tblLayout w:type="fixed"/>
        <w:tblCellMar>
          <w:top w:w="60" w:type="dxa"/>
          <w:left w:w="60" w:type="dxa"/>
          <w:bottom w:w="60" w:type="dxa"/>
          <w:right w:w="60" w:type="dxa"/>
        </w:tblCellMar>
      </w:tblPr>
      <w:tblGrid>
        <w:gridCol w:w="1337"/>
        <w:gridCol w:w="6585"/>
      </w:tblGrid>
      <w:tr>
        <w:trPr>
          <w:tblHeader w:val="true"/>
        </w:trPr>
        <w:tc>
          <w:tcPr>
            <w:tcW w:w="1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(first observed 2026-09-28)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 of the running system; re-verified while preparing the audit pack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 was enforced on 2026-07-30 (</w:t>
            </w:r>
            <w:r>
              <w:rPr>
                <w:rStyle w:val="SourceText"/>
              </w:rPr>
              <w:t>9810e98</w:t>
            </w:r>
            <w:r>
              <w:rPr/>
              <w:t xml:space="preserve">, </w:t>
            </w:r>
            <w:r>
              <w:rPr>
                <w:rStyle w:val="SourceText"/>
              </w:rPr>
              <w:t>73f0b4f</w:t>
            </w:r>
            <w:r>
              <w:rPr/>
              <w:t xml:space="preserve">) and was the only gate on the public URL. </w:t>
            </w:r>
            <w:r>
              <w:rPr>
                <w:rStyle w:val="Strong"/>
              </w:rPr>
              <w:t>The access-log review (2026-10-07) shows it was enforced for about 1¼ hours: unauthenticated calls succeeded again from 2026-07-30 02:56 UTC until 2026-10-06 ~20:00 UTC — about 68 days.</w:t>
            </w:r>
            <w:r>
              <w:rPr/>
              <w:t xml:space="preserve"> Who switched it off and why is not recorded (</w:t>
            </w:r>
            <w:r>
              <w:rPr>
                <w:rStyle w:val="SourceText"/>
              </w:rPr>
              <w:t>.env</w:t>
            </w:r>
            <w:r>
              <w:rPr/>
              <w:t xml:space="preserve"> is untracked). The review found 64 automated internet-scanner probes in that period (all 404) and no data change outside recorded engineering work — </w:t>
            </w:r>
            <w:r>
              <w:rPr>
                <w:rStyle w:val="SourceText"/>
              </w:rPr>
              <w:t>records/capa/2026-10-07_NC-2026-009_access_log_review.md</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actions implemented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(b) </w:t>
            </w:r>
            <w:r>
              <w:rPr>
                <w:rStyle w:val="SourceText"/>
              </w:rPr>
              <w:t>.github/workflows/public-gate-check.yml</w:t>
            </w:r>
            <w:r>
              <w:rPr/>
              <w:t xml:space="preserve"> checks the public URL from outside every 6 hours; (c) SOP-06 §10.1 + </w:t>
            </w:r>
            <w:r>
              <w:rPr>
                <w:rStyle w:val="SourceText"/>
              </w:rPr>
              <w:t>scripts/check_runtime_config.sh</w:t>
            </w:r>
            <w:r>
              <w:rPr/>
              <w:t xml:space="preserve"> + recorded baseline make runtime-setting changes visible and require a REG-07 entry; (d) access-log review done (record above).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First external check 2026-10-07 from GitHub's network: </w:t>
            </w:r>
            <w:r>
              <w:rPr>
                <w:rStyle w:val="SourceText"/>
              </w:rPr>
              <w:t>/api/docs/list</w:t>
            </w:r>
            <w:r>
              <w:rPr/>
              <w:t xml:space="preserve"> → 401, </w:t>
            </w:r>
            <w:r>
              <w:rPr>
                <w:rStyle w:val="SourceText"/>
              </w:rPr>
              <w:t>auth_enabled: true</w:t>
            </w:r>
            <w:r>
              <w:rPr/>
              <w:t xml:space="preserve"> (run 37561803121). Pending — the check must keep passing over the coming weeks, and any </w:t>
            </w:r>
            <w:r>
              <w:rPr>
                <w:rStyle w:val="SourceText"/>
              </w:rPr>
              <w:t>.env</w:t>
            </w:r>
            <w:r>
              <w:rPr/>
              <w:t xml:space="preserve"> drift must surface in the check before it reaches production.</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implemented 2026-10-07; effectiveness under observation</w:t>
            </w:r>
          </w:p>
        </w:tc>
      </w:tr>
      <w:tr>
        <w:trPr/>
        <w:tc>
          <w:tcPr>
            <w:tcW w:w="1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5000" w:type="pct"/>
        <w:jc w:val="left"/>
        <w:tblInd w:w="-7" w:type="dxa"/>
        <w:tblLayout w:type="fixed"/>
        <w:tblCellMar>
          <w:top w:w="60" w:type="dxa"/>
          <w:left w:w="60" w:type="dxa"/>
          <w:bottom w:w="60" w:type="dxa"/>
          <w:right w:w="60" w:type="dxa"/>
        </w:tblCellMar>
      </w:tblPr>
      <w:tblGrid>
        <w:gridCol w:w="1437"/>
        <w:gridCol w:w="6485"/>
      </w:tblGrid>
      <w:tr>
        <w:trPr>
          <w:tblHeader w:val="true"/>
        </w:trPr>
        <w:tc>
          <w:tcPr>
            <w:tcW w:w="14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(detected and corrected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implemented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w:t>
            </w:r>
            <w:r>
              <w:rPr>
                <w:rStyle w:val="SourceText"/>
              </w:rPr>
              <w:t>.github/workflows/ci.yml</w:t>
            </w:r>
            <w:r>
              <w:rPr/>
              <w:t xml:space="preserve"> runs the backend and voice unit suites and the front-end type-check on every push and pull request (recipe proven in clean environments: 50/50, 131/131).</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Verified 2026-10-07.</w:t>
            </w:r>
            <w:r>
              <w:rPr/>
              <w:t xml:space="preserve"> First CI run on </w:t>
            </w:r>
            <w:r>
              <w:rPr>
                <w:rStyle w:val="SourceText"/>
              </w:rPr>
              <w:t>main</w:t>
            </w:r>
            <w:r>
              <w:rPr/>
              <w:t xml:space="preserve"> passed all three jobs (run 37561379960). A deliberately failing test pushed to a throwaway branch turned CI red — backend job failed, "1 failed, 50 passed" (run 37561804619); the branch was then deleted.</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4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2026-10-07 — correction and corrective action verified</w:t>
            </w:r>
          </w:p>
        </w:tc>
      </w:tr>
    </w:tbl>
    <w:p>
      <w:pPr>
        <w:pStyle w:val="Heading3"/>
        <w:bidi w:val="0"/>
        <w:jc w:val="left"/>
        <w:rPr/>
      </w:pPr>
      <w:r>
        <w:rPr/>
        <w:t>NC-2026-011 — Deployed code existed only in container writable layers (deployment drift)</w:t>
      </w:r>
    </w:p>
    <w:tbl>
      <w:tblPr>
        <w:tblW w:w="5000" w:type="pct"/>
        <w:jc w:val="left"/>
        <w:tblInd w:w="-7" w:type="dxa"/>
        <w:tblLayout w:type="fixed"/>
        <w:tblCellMar>
          <w:top w:w="60" w:type="dxa"/>
          <w:left w:w="60" w:type="dxa"/>
          <w:bottom w:w="60" w:type="dxa"/>
          <w:right w:w="60" w:type="dxa"/>
        </w:tblCellMar>
      </w:tblPr>
      <w:tblGrid>
        <w:gridCol w:w="1451"/>
        <w:gridCol w:w="6471"/>
      </w:tblGrid>
      <w:tr>
        <w:trPr>
          <w:tblHeader w:val="true"/>
        </w:trPr>
        <w:tc>
          <w:tcPr>
            <w:tcW w:w="14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Richard Watson Stephen Amudha (Lead Engineer) (detected by a pre-restart </w:t>
            </w:r>
            <w:r>
              <w:rPr>
                <w:rStyle w:val="SourceText"/>
              </w:rPr>
              <w:t>docker diff</w:t>
            </w:r>
            <w:r>
              <w:rPr/>
              <w:t xml:space="preserve"> check)</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 before restarting services</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next deployment must come from a built, tagged image.</w:t>
            </w:r>
          </w:p>
        </w:tc>
      </w:tr>
      <w:tr>
        <w:trPr/>
        <w:tc>
          <w:tcPr>
            <w:tcW w:w="14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5000" w:type="pct"/>
        <w:jc w:val="left"/>
        <w:tblInd w:w="-7" w:type="dxa"/>
        <w:tblLayout w:type="fixed"/>
        <w:tblCellMar>
          <w:top w:w="60" w:type="dxa"/>
          <w:left w:w="60" w:type="dxa"/>
          <w:bottom w:w="60" w:type="dxa"/>
          <w:right w:w="60" w:type="dxa"/>
        </w:tblCellMar>
      </w:tblPr>
      <w:tblGrid>
        <w:gridCol w:w="1418"/>
        <w:gridCol w:w="6504"/>
      </w:tblGrid>
      <w:tr>
        <w:trPr>
          <w:tblHeader w:val="true"/>
        </w:trPr>
        <w:tc>
          <w:tcPr>
            <w:tcW w:w="14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TC-EM-AUTH-101</w:t>
            </w:r>
            <w:r>
              <w:rPr/>
              <w:t xml:space="preserve"> step AC-101.7</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Stateless JWT with no server-side revocation; logout only clears the browser cookie.</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4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5000" w:type="pct"/>
        <w:jc w:val="left"/>
        <w:tblInd w:w="-7" w:type="dxa"/>
        <w:tblLayout w:type="fixed"/>
        <w:tblCellMar>
          <w:top w:w="60" w:type="dxa"/>
          <w:left w:w="60" w:type="dxa"/>
          <w:bottom w:w="60" w:type="dxa"/>
          <w:right w:w="60" w:type="dxa"/>
        </w:tblCellMar>
      </w:tblPr>
      <w:tblGrid>
        <w:gridCol w:w="1525"/>
        <w:gridCol w:w="6397"/>
      </w:tblGrid>
      <w:tr>
        <w:trPr>
          <w:tblHeader w:val="true"/>
        </w:trPr>
        <w:tc>
          <w:tcPr>
            <w:tcW w:w="15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step DOC-102.5</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allow-list of file types; unknown types fall through to text extraction.</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5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5000" w:type="pct"/>
        <w:jc w:val="left"/>
        <w:tblInd w:w="-7" w:type="dxa"/>
        <w:tblLayout w:type="fixed"/>
        <w:tblCellMar>
          <w:top w:w="60" w:type="dxa"/>
          <w:left w:w="60" w:type="dxa"/>
          <w:bottom w:w="60" w:type="dxa"/>
          <w:right w:w="60" w:type="dxa"/>
        </w:tblCellMar>
      </w:tblPr>
      <w:tblGrid>
        <w:gridCol w:w="1383"/>
        <w:gridCol w:w="6539"/>
      </w:tblGrid>
      <w:tr>
        <w:trPr>
          <w:tblHeader w:val="true"/>
        </w:trPr>
        <w:tc>
          <w:tcPr>
            <w:tcW w:w="138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8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5000" w:type="pct"/>
        <w:jc w:val="left"/>
        <w:tblInd w:w="-7" w:type="dxa"/>
        <w:tblLayout w:type="fixed"/>
        <w:tblCellMar>
          <w:top w:w="60" w:type="dxa"/>
          <w:left w:w="60" w:type="dxa"/>
          <w:bottom w:w="60" w:type="dxa"/>
          <w:right w:w="60" w:type="dxa"/>
        </w:tblCellMar>
      </w:tblPr>
      <w:tblGrid>
        <w:gridCol w:w="1550"/>
        <w:gridCol w:w="6372"/>
      </w:tblGrid>
      <w:tr>
        <w:trPr>
          <w:tblHeader w:val="true"/>
        </w:trPr>
        <w:tc>
          <w:tcPr>
            <w:tcW w:w="15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TC-EM-EXP-108</w:t>
            </w:r>
            <w:r>
              <w:rPr/>
              <w:t xml:space="preserve"> step EXP-108.2</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secret patterns do not cover this key format.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5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5000" w:type="pct"/>
        <w:jc w:val="left"/>
        <w:tblInd w:w="-7" w:type="dxa"/>
        <w:tblLayout w:type="fixed"/>
        <w:tblCellMar>
          <w:top w:w="60" w:type="dxa"/>
          <w:left w:w="60" w:type="dxa"/>
          <w:bottom w:w="60" w:type="dxa"/>
          <w:right w:w="60" w:type="dxa"/>
        </w:tblCellMar>
      </w:tblPr>
      <w:tblGrid>
        <w:gridCol w:w="1492"/>
        <w:gridCol w:w="6430"/>
      </w:tblGrid>
      <w:tr>
        <w:trPr>
          <w:tblHeader w:val="true"/>
        </w:trPr>
        <w:tc>
          <w:tcPr>
            <w:tcW w:w="14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acceptance run 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run 4 (22:28 UTC): DOC-102 and RAG-103 pass.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(a) implemented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the Ollama healthcheck makes a real embedding call (</w:t>
            </w:r>
            <w:r>
              <w:rPr>
                <w:rStyle w:val="SourceText"/>
              </w:rPr>
              <w:t>docker-compose.yml</w:t>
            </w:r>
            <w:r>
              <w:rPr/>
              <w:t>); verified healthy, and the same probe returns exit 1 when embedding fails.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(b) — GPU-sharing policy.</w:t>
            </w:r>
          </w:p>
        </w:tc>
      </w:tr>
      <w:tr>
        <w:trPr/>
        <w:tc>
          <w:tcPr>
            <w:tcW w:w="14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922" w:type="dxa"/>
        <w:jc w:val="left"/>
        <w:tblInd w:w="-7" w:type="dxa"/>
        <w:tblLayout w:type="fixed"/>
        <w:tblCellMar>
          <w:top w:w="60" w:type="dxa"/>
          <w:left w:w="60" w:type="dxa"/>
          <w:bottom w:w="60" w:type="dxa"/>
          <w:right w:w="60" w:type="dxa"/>
        </w:tblCellMar>
      </w:tblPr>
      <w:tblGrid>
        <w:gridCol w:w="590"/>
        <w:gridCol w:w="666"/>
        <w:gridCol w:w="1296"/>
        <w:gridCol w:w="831"/>
        <w:gridCol w:w="1206"/>
        <w:gridCol w:w="816"/>
        <w:gridCol w:w="1161"/>
        <w:gridCol w:w="1356"/>
      </w:tblGrid>
      <w:tr>
        <w:trPr>
          <w:tblHeader w:val="true"/>
        </w:trPr>
        <w:tc>
          <w:tcPr>
            <w:tcW w:w="5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NC ID</w:t>
            </w:r>
          </w:p>
        </w:tc>
        <w:tc>
          <w:tcPr>
            <w:tcW w:w="6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raised</w:t>
            </w:r>
          </w:p>
        </w:tc>
        <w:tc>
          <w:tcPr>
            <w:tcW w:w="12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8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11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NC-2026-008</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corpus absent — instrument inoperable</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NC-2026-009</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actions pending</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NC-2026-010</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(CI proven to fail on a broken test)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NC-2026-011</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Deployed code only in container writable layers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NC-2026-012</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TC-EM-AUTH-101</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Logout does not revoke the session token</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NC-2026-013</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TC-EM-DOC-102</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 accepts binary executables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NC-2026-014</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TC-EM-RAG-103</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Small-talk / not-found answers carry citations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NC-2026-015</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TC-EM-EXP-108</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Export gateway misses an API-key format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NC-2026-016</w:t>
            </w:r>
          </w:p>
        </w:tc>
        <w:tc>
          <w:tcPr>
            <w:tcW w:w="6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Test run 3</w:t>
            </w:r>
          </w:p>
        </w:tc>
        <w:tc>
          <w:tcPr>
            <w:tcW w:w="8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Embedding service down while healthcheck green</w:t>
            </w:r>
          </w:p>
        </w:tc>
        <w:tc>
          <w:tcPr>
            <w:tcW w:w="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5000" w:type="pct"/>
        <w:jc w:val="left"/>
        <w:tblInd w:w="-7" w:type="dxa"/>
        <w:tblLayout w:type="fixed"/>
        <w:tblCellMar>
          <w:top w:w="60" w:type="dxa"/>
          <w:left w:w="60" w:type="dxa"/>
          <w:bottom w:w="60" w:type="dxa"/>
          <w:right w:w="60" w:type="dxa"/>
        </w:tblCellMar>
      </w:tblPr>
      <w:tblGrid>
        <w:gridCol w:w="439"/>
        <w:gridCol w:w="4438"/>
        <w:gridCol w:w="3045"/>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4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30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O-3</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O-4</w:t>
            </w:r>
          </w:p>
        </w:tc>
        <w:tc>
          <w:tcPr>
            <w:tcW w:w="4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30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Section D — External audit findings</w:t>
      </w:r>
    </w:p>
    <w:p>
      <w:pPr>
        <w:pStyle w:val="BodyText"/>
        <w:bidi w:val="0"/>
        <w:jc w:val="left"/>
        <w:rPr/>
      </w:pPr>
      <w:r>
        <w:rPr/>
        <w:t>Findings raised by the certification body. An opportunity for improvement (OFI) is not a nonconformity; it is recorded here so that the response, the action and its effectiveness are tracked in the same way.</w:t>
      </w:r>
    </w:p>
    <w:p>
      <w:pPr>
        <w:pStyle w:val="Heading3"/>
        <w:bidi w:val="0"/>
        <w:jc w:val="left"/>
        <w:rPr/>
      </w:pPr>
      <w:r>
        <w:rPr/>
        <w:t>OFI-2026-06 — No AI impact assessment during development</w:t>
      </w:r>
    </w:p>
    <w:tbl>
      <w:tblPr>
        <w:tblW w:w="5000" w:type="pct"/>
        <w:jc w:val="left"/>
        <w:tblInd w:w="-7" w:type="dxa"/>
        <w:tblLayout w:type="fixed"/>
        <w:tblCellMar>
          <w:top w:w="60" w:type="dxa"/>
          <w:left w:w="60" w:type="dxa"/>
          <w:bottom w:w="60" w:type="dxa"/>
          <w:right w:w="60" w:type="dxa"/>
        </w:tblCellMar>
      </w:tblPr>
      <w:tblGrid>
        <w:gridCol w:w="1494"/>
        <w:gridCol w:w="6428"/>
      </w:tblGrid>
      <w:tr>
        <w:trPr>
          <w:tblHeader w:val="true"/>
        </w:trPr>
        <w:tc>
          <w:tcPr>
            <w:tcW w:w="14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2026-10-14</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Certification body auditor (SY) — surveillance audit 2026-10-14, finding 6; auditee Alexander Peter (EchoMind Project Lead)</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Type</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Opportunity for improvement</w:t>
            </w:r>
            <w:r>
              <w:rPr/>
              <w:t xml:space="preserve"> — ISO 9001:2015 clause 6.1.1</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 EchoMind, evidence of an AI impact assessment during development was not available to demonstrate that relevant impacts, including governance and ethical considerations, had been systematically evaluated."</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 required functional, non-functional, security and data-protection inputs, but no consolidated AI impact assessment. Ethical and governance impacts were handled through individual controls (offline processing, export redaction, citations, tenant isolation, human release authorisation) without one documented, systematic evaluation.</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2026-10-20: AI Impact Assessment EM26-35 prepared for EchoMind v1.4.1 and every use case in EM26-26 — 15 impact areas, 13 use-case screenings, 9 actions with owners. Approved 2026-10-20 (AR-2026-008).</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SOP-05 revision 1.2, §7a: an AI impact assessment at the design-input stage and before every release, new use case, new model and new client sector — approved 2026-10-20 (AR-2026-008). (b) AI risks R-15 … R-18 and opportunity O-05 added to </w:t>
            </w:r>
            <w:r>
              <w:rPr>
                <w:rStyle w:val="SourceText"/>
              </w:rPr>
              <w:t>REG-03</w:t>
            </w:r>
            <w:r>
              <w:rPr/>
              <w:t>. (c) EM26-35 actions AIA-01 … AIA-09 tracked to closure; first priority AIA-01 (recording notice and consent guidance, due 2026-11-30).</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Response to the certification body</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sheet columns J–M — due 2026-10-22 (</w:t>
            </w:r>
            <w:r>
              <w:rPr>
                <w:rStyle w:val="SourceText"/>
              </w:rPr>
              <w:t>evidence-2026/20_AI_Impact_Assessment/OFI-2026-06_Response_Finding_6.docx</w:t>
            </w:r>
            <w:r>
              <w:rPr/>
              <w:t>)</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At the internal audit, 9–13 Nov 2026: EM26-35 approved; the release record of the next release states the assessment is current; AIA actions on schedule.</w:t>
            </w:r>
          </w:p>
        </w:tc>
      </w:tr>
      <w:tr>
        <w:trPr/>
        <w:tc>
          <w:tcPr>
            <w:tcW w:w="14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4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verification Sheryl Nazareth (QA / MR)</w:t>
            </w:r>
          </w:p>
        </w:tc>
      </w:tr>
      <w:tr>
        <w:trPr/>
        <w:tc>
          <w:tcPr>
            <w:tcW w:w="14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and procedure approved 2026-10-20 (AR-2026-008); response due 2026-10-22; effectiveness to be verified</w:t>
            </w:r>
          </w:p>
        </w:tc>
      </w:tr>
    </w:tbl>
    <w:p>
      <w:pPr>
        <w:pStyle w:val="HorizontalLine"/>
        <w:bidi w:val="0"/>
        <w:jc w:val="left"/>
        <w:rPr/>
      </w:pPr>
      <w:r>
        <w:rPr/>
      </w:r>
    </w:p>
    <w:p>
      <w:pPr>
        <w:pStyle w:val="Heading2"/>
        <w:bidi w:val="0"/>
        <w:jc w:val="left"/>
        <w:rPr/>
      </w:pPr>
      <w:r>
        <w:rPr/>
        <w:t>Statistics</w:t>
      </w:r>
    </w:p>
    <w:tbl>
      <w:tblPr>
        <w:tblW w:w="5000" w:type="pct"/>
        <w:jc w:val="left"/>
        <w:tblInd w:w="-7" w:type="dxa"/>
        <w:tblLayout w:type="fixed"/>
        <w:tblCellMar>
          <w:top w:w="60" w:type="dxa"/>
          <w:left w:w="60" w:type="dxa"/>
          <w:bottom w:w="60" w:type="dxa"/>
          <w:right w:w="60" w:type="dxa"/>
        </w:tblCellMar>
      </w:tblPr>
      <w:tblGrid>
        <w:gridCol w:w="2285"/>
        <w:gridCol w:w="4281"/>
        <w:gridCol w:w="1356"/>
      </w:tblGrid>
      <w:tr>
        <w:trPr>
          <w:tblHeader w:val="true"/>
        </w:trPr>
        <w:tc>
          <w:tcPr>
            <w:tcW w:w="228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4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 at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on </w:t>
            </w:r>
            <w:r>
              <w:rPr>
                <w:rStyle w:val="SourceText"/>
              </w:rPr>
              <w:t>main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 (</w:t>
            </w:r>
            <w:r>
              <w:rPr>
                <w:rStyle w:val="SourceText"/>
              </w:rPr>
              <w:t>ff29843</w:t>
            </w:r>
            <w:r>
              <w:rPr/>
              <w: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prefixed </w:t>
            </w:r>
            <w:r>
              <w:rPr>
                <w:rStyle w:val="SourceText"/>
              </w:rPr>
              <w:t>fix:</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Retrospective NCs recorded here</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 which S1</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Closed with effectiveness verified</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(NC-2026-007, 008, 009, 011, 016); NC-2026-010 closed 2026-10-07, NC-2026-012 to 015 closed 2026-10-06</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28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External audit findings recorded (Section D)</w:t>
            </w:r>
          </w:p>
        </w:tc>
        <w:tc>
          <w:tcPr>
            <w:tcW w:w="4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 — OFI-2026-06, open</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2026-10-20</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