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Requirement Change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 Change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2026-10-14 (AR-2026-006)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§6; SOP-06; form FRM-02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2026-10-14</w:t>
            </w:r>
          </w:p>
        </w:tc>
      </w:tr>
    </w:tbl>
    <w:p>
      <w:pPr>
        <w:pStyle w:val="Heading1"/>
      </w:pPr>
      <w:r>
        <w:t xml:space="preserve">1. Purpose</w:t>
      </w:r>
    </w:p>
    <w:p>
      <w:pPr>
        <w:spacing w:after="100"/>
      </w:pPr>
      <w:r>
        <w:t xml:space="preserve">Every change to the agreed requirements: what changed, why, who asked, the review that decided it, how it was implemented and verified.</w:t>
      </w:r>
    </w:p>
    <w:p>
      <w:pPr>
        <w:pStyle w:val="Heading1"/>
      </w:pPr>
      <w:r>
        <w:t xml:space="preserve">2. Change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1212"/>
        <w:gridCol w:w="3543"/>
        <w:gridCol w:w="1491"/>
        <w:gridCol w:w="1025"/>
        <w:gridCol w:w="2237"/>
        <w:gridCol w:w="1588"/>
      </w:tblGrid>
      <w:tr>
        <w:trPr>
          <w:tblHeader/>
        </w:trP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Change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Requested by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Decided in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Implemented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RC-2025-01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fixed in the signed SOW (offline on-premises system, BYOA pilot)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customer; AJACE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DR-2025-09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2025-08-05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test on delivery (2025-09)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RC-2026-01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changed from a single RTX 4090 PC to a DGX Spark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4b90b36, c751d79 (2026-02-05)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RC-2026-02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be natural and fast — Unmute stack replaced by PersonaPlex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CR-2026-03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Trial (QASC 2026 paper)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review CR-2026-04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RC-2026-03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must use the customer's large knowledge base — own dual-loop architecture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Clients A and B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ddc0aa3, d89aeda (2026-04-08)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Research harness E4/E7 (2026-08-07)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RC-2026-04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07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DoD FMR retrieval: BookRAG and PageIndex tried; section-based retrieval kept; BookRAG switched off as it measured worse (43/52 vs 50/52)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team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18715c7 (2026-03-05); 2decb99 (2026-07-30)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RC-2026-05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Transcript accuracy and speed: Whisper → Nemotron; Parakeet final with fallback; chat Ollama → TensorRT-LLM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CR-2026-06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d89aeda (04-08); b6a70d8 (06-26); 80375c6 (07-29)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end-to-end test; acceptance run 4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RC-2026-06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FR-SA-01…03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listen-only mode that never replies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ec9b180 (05-11); f75121b (06-27); 7f2658a (08-16)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Scenario harness</w:t>
            </w:r>
          </w:p>
        </w:tc>
      </w:tr>
      <w:tr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RC-2026-07</w:t>
            </w:r>
          </w:p>
        </w:tc>
        <w:tc>
          <w:tcPr>
            <w:tcW w:type="dxa" w:w="93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21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FR-DS-01…04</w:t>
            </w:r>
          </w:p>
        </w:tc>
        <w:tc>
          <w:tcPr>
            <w:tcW w:type="dxa" w:w="354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document studio with and without templates</w:t>
            </w:r>
          </w:p>
        </w:tc>
        <w:tc>
          <w:tcPr>
            <w:tcW w:type="dxa" w:w="149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</w:t>
            </w:r>
          </w:p>
        </w:tc>
        <w:tc>
          <w:tcPr>
            <w:tcW w:type="dxa" w:w="102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237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2d23f40 (06-20); 66356f9 (06-27)</w:t>
            </w:r>
          </w:p>
        </w:tc>
        <w:tc>
          <w:tcPr>
            <w:tcW w:type="dxa" w:w="15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(run 4)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How a change is handled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request is raised in a client or design review and recorded in EM26-19.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on scope, schedule and other requirements is assessed; significant changes use FRM-02 and REG-07 (SOP-06 §6).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requirement registers (EM26-20, EM26-21) are updated; the change is delivered in the next version and verified by its test.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Requirement Change Record — EchoMind (Project 2)</dc:title>
  <dc:creator>Ajace Inc. — EchoMind QMS</dc:creator>
  <cp:lastModifiedBy>Un-named</cp:lastModifiedBy>
  <cp:revision>1</cp:revision>
  <dcterms:created xsi:type="dcterms:W3CDTF">2026-10-14T06:15:32.156Z</dcterms:created>
  <dcterms:modified xsi:type="dcterms:W3CDTF">2026-10-14T06:15:32.156Z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