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Design and Development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 Record — EchoMind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2026-10-14 (AR-2026-006)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2026-10-14</w:t>
            </w:r>
          </w:p>
        </w:tc>
      </w:tr>
    </w:tbl>
    <w:p>
      <w:pPr>
        <w:pStyle w:val="Heading1"/>
      </w:pPr>
      <w:r>
        <w:t xml:space="preserve">1. Design and development planning (8.3.2)</w:t>
      </w:r>
    </w:p>
    <w:p>
      <w:pPr>
        <w:spacing w:after="100"/>
      </w:pPr>
      <w:r>
        <w:t xml:space="preserve">Development runs in increments of about two months, each ending with a version and a review (EM26-23 §3). Responsibilities: Lead Engineer designs and verifies; Project Lead reviews with the clients; Managing Director authorises release.</w:t>
      </w:r>
    </w:p>
    <w:p>
      <w:pPr>
        <w:pStyle w:val="Heading1"/>
      </w:pPr>
      <w:r>
        <w:t xml:space="preserve">2. Design inputs (8.3.3)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Input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Functional requirements (39)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EM26-29 §3; EM26-20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Non-functional requirements (31)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EM26-29 §4; EM26-21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requirements and feedback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Reviews CR-2026-02 … 09 (EM26-19)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Statutory and data protection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Fully offline operation; tenant isolation; export redaction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from 2025</w:t>
            </w:r>
          </w:p>
        </w:tc>
        <w:tc>
          <w:tcPr>
            <w:tcW w:type="dxa" w:w="5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log CR-2025-01 … 04; EM26-16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Design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Compose services on the DGX Spark: TensorRT-LLM (chat), backend, voice, front end, Ollama (embeddings), tunnel for the reference site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Hybrid retrieval (dense + BM25), section and table-of-contents routing, re-ranking, cited answers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Own dual-loop architecture: a fast interaction loop and a separate retrieval loop; Nemotron streaming STT, Parakeet final STT, Piper TTS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Streaming transcript; the Silent Assistant checks each sentence against the documents and shows quoted proof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Recorded meeting → diarised transcript → report (PDF/PPTX)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Plan → write → illustrate (on-device SDXL-Turbo) → PDF/PPTX, with or without a template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 and roles, tenant isolation, prompt-injection fencing, export redaction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Design reviews (8.3.4)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3500"/>
        <w:gridCol w:w="32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Design question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2025-05-15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DR-2025-01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system architecture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with minor corrections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2025-05-18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DR-2025-02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Architecture against the planned hardware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Accepted; prototype fast-tracked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04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design after PersonaPlex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Own dual-loop architecture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CR-2026-05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Reaching a deployed unit without a network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Boot-time hotspot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Group discussions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with diarisation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2026-06-18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SR-2026-01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 and defect review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Four fixes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change set (40 findings)</w:t>
            </w:r>
          </w:p>
        </w:tc>
        <w:tc>
          <w:tcPr>
            <w:tcW w:type="dxa" w:w="32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 fixed, 18 refuted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Design verification and validation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Verification: unit tests in CI; 13 acceptance test cases; golden-question suite; research harness E1–E10 (EM26-24).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Validation: each capability demonstrated to the client who asked for it; feedback recorded as a client review (CR-2026-03, 04, 06, 07, 09).</w:t>
      </w:r>
    </w:p>
    <w:p>
      <w:pPr>
        <w:pStyle w:val="Heading1"/>
      </w:pPr>
      <w:r>
        <w:t xml:space="preserve">6. Design outputs (8.3.5)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code and version tags v1.0.0 → v1.4.1 (github.com/RW2523/echomind-enterprise).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CAPABILITIES.md and the user manual.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notes EM26-25 and release records (FRM-03).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QASC 2026 paper: the dual-loop design and its measurements.</w:t>
      </w:r>
    </w:p>
    <w:p>
      <w:pPr>
        <w:pStyle w:val="Heading1"/>
      </w:pPr>
      <w:r>
        <w:t xml:space="preserve">7. Design changes (8.3.6)</w:t>
      </w:r>
    </w:p>
    <w:p>
      <w:pPr>
        <w:spacing w:after="100"/>
      </w:pPr>
      <w:r>
        <w:t xml:space="preserve">Design changes follow the requirement changes in EM26-30 and the change register REG-07.</w:t>
      </w:r>
    </w:p>
    <w:p>
      <w:pPr>
        <w:pStyle w:val="Heading1"/>
      </w:pPr>
      <w:r>
        <w:t xml:space="preserve">8. 2025 university appliance</w:t>
      </w:r>
    </w:p>
    <w:p>
      <w:pPr>
        <w:spacing w:after="100"/>
      </w:pPr>
      <w:r>
        <w:t xml:space="preserve">Design inputs: offline RAG system. Design outputs: assembled appliance (RTX 4090, 64 GB, 2 TB), five containerised services, technical documentation. Reviews: DR-2025-01, DR-2025-02, DR-2025-05.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and Development Record — EchoMind (Project 2)</dc:title>
  <dc:creator>Ajace Inc. — EchoMind QMS</dc:creator>
  <cp:lastModifiedBy>Un-named</cp:lastModifiedBy>
  <cp:revision>1</cp:revision>
  <dcterms:created xsi:type="dcterms:W3CDTF">2026-10-14T06:15:32.171Z</dcterms:created>
  <dcterms:modified xsi:type="dcterms:W3CDTF">2026-10-14T06:15:32.171Z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