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FRM-06 — Internal Audit Report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FRM-06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9.2.2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For every audit event in the programme at </w:t>
      </w:r>
      <w:r>
        <w:rPr>
          <w:rStyle w:val="SourceText"/>
        </w:rPr>
        <w:t>SOP-13</w:t>
      </w:r>
      <w:r>
        <w:rPr/>
        <w:t xml:space="preserve"> §4.1, and for any unscheduled audit. Issued to the Managing Director within 10 working days of the closing meeting. Also used for an interim </w:t>
      </w:r>
      <w:r>
        <w:rPr>
          <w:rStyle w:val="Strong"/>
        </w:rPr>
        <w:t>self-assessment</w:t>
      </w:r>
      <w:r>
        <w:rPr/>
        <w:t xml:space="preserve">, which is titled as such in §1 and is not a conforming internal audit — see </w:t>
      </w:r>
      <w:r>
        <w:rPr>
          <w:rStyle w:val="SourceText"/>
        </w:rPr>
        <w:t>SOP-13</w:t>
      </w:r>
      <w:r>
        <w:rPr/>
        <w:t xml:space="preserve"> §5.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Audit report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29"/>
        <w:gridCol w:w="9409"/>
      </w:tblGrid>
      <w:tr>
        <w:trPr>
          <w:tblHeader w:val="true"/>
        </w:trPr>
        <w:tc>
          <w:tcPr>
            <w:tcW w:w="192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4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92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ID</w:t>
            </w:r>
          </w:p>
        </w:tc>
        <w:tc>
          <w:tcPr>
            <w:tcW w:w="94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AUD-________-____</w:t>
            </w:r>
          </w:p>
        </w:tc>
      </w:tr>
      <w:tr>
        <w:trPr/>
        <w:tc>
          <w:tcPr>
            <w:tcW w:w="192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title</w:t>
            </w:r>
          </w:p>
        </w:tc>
        <w:tc>
          <w:tcPr>
            <w:tcW w:w="94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Internal audit report ☐ </w:t>
            </w:r>
            <w:r>
              <w:rPr>
                <w:rStyle w:val="Strong"/>
              </w:rPr>
              <w:t>Self-assessment</w:t>
            </w:r>
            <w:r>
              <w:rPr/>
              <w:t xml:space="preserve"> (not a conforming internal audit)</w:t>
            </w:r>
          </w:p>
        </w:tc>
      </w:tr>
      <w:tr>
        <w:trPr/>
        <w:tc>
          <w:tcPr>
            <w:tcW w:w="192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dates</w:t>
            </w:r>
          </w:p>
        </w:tc>
        <w:tc>
          <w:tcPr>
            <w:tcW w:w="94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  <w:r>
              <w:rPr/>
              <w:t xml:space="preserve"> to </w:t>
            </w: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192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issued</w:t>
            </w:r>
          </w:p>
        </w:tc>
        <w:tc>
          <w:tcPr>
            <w:tcW w:w="94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Auditor and independence statement (9.2.2 c)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28"/>
        <w:gridCol w:w="6710"/>
      </w:tblGrid>
      <w:tr>
        <w:trPr>
          <w:tblHeader w:val="true"/>
        </w:trPr>
        <w:tc>
          <w:tcPr>
            <w:tcW w:w="462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71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6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Auditor (name and organisation)</w:t>
            </w:r>
          </w:p>
        </w:tc>
        <w:tc>
          <w:tcPr>
            <w:tcW w:w="67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6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Auditor competence evidence</w:t>
            </w:r>
          </w:p>
        </w:tc>
        <w:tc>
          <w:tcPr>
            <w:tcW w:w="67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6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Auditee (role)</w:t>
            </w:r>
          </w:p>
        </w:tc>
        <w:tc>
          <w:tcPr>
            <w:tcW w:w="67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6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Did the auditor audit their own work?</w:t>
            </w:r>
          </w:p>
        </w:tc>
        <w:tc>
          <w:tcPr>
            <w:tcW w:w="67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 ☐ </w:t>
            </w:r>
            <w:r>
              <w:rPr>
                <w:rStyle w:val="Strong"/>
              </w:rPr>
              <w:t>Yes</w:t>
            </w:r>
          </w:p>
        </w:tc>
      </w:tr>
      <w:tr>
        <w:trPr/>
        <w:tc>
          <w:tcPr>
            <w:tcW w:w="462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Independence statement</w:t>
            </w:r>
          </w:p>
        </w:tc>
        <w:tc>
          <w:tcPr>
            <w:tcW w:w="671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Where the answer above is </w:t>
      </w:r>
      <w:r>
        <w:rPr>
          <w:rStyle w:val="Strong"/>
        </w:rPr>
        <w:t>Yes</w:t>
      </w:r>
      <w:r>
        <w:rPr/>
        <w:t xml:space="preserve">, this exercise does not satisfy ISO 9001:2015 9.2.2 c. It is recorded as a self-assessment and the absence of an independent internal audit remains an open nonconformity in </w:t>
      </w:r>
      <w:r>
        <w:rPr>
          <w:rStyle w:val="SourceText"/>
        </w:rPr>
        <w:t>registers/REG-04_Nonconformity_and_CAPA_Log.md</w:t>
      </w:r>
      <w:r>
        <w:rPr/>
        <w:t>. Delete this note only when the answer is No.</w:t>
      </w:r>
    </w:p>
    <w:p>
      <w:pPr>
        <w:pStyle w:val="Heading3"/>
        <w:bidi w:val="0"/>
        <w:jc w:val="left"/>
        <w:rPr/>
      </w:pPr>
      <w:r>
        <w:rPr/>
        <w:t>2. Scope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76"/>
        <w:gridCol w:w="7162"/>
      </w:tblGrid>
      <w:tr>
        <w:trPr>
          <w:tblHeader w:val="true"/>
        </w:trPr>
        <w:tc>
          <w:tcPr>
            <w:tcW w:w="417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16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Exclusions and why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Locations / systems examined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Clauses and processes audited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80"/>
        <w:gridCol w:w="5555"/>
        <w:gridCol w:w="1703"/>
      </w:tblGrid>
      <w:tr>
        <w:trPr>
          <w:tblHeader w:val="true"/>
        </w:trPr>
        <w:tc>
          <w:tcPr>
            <w:tcW w:w="408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ISO 9001:2015 clause</w:t>
            </w:r>
          </w:p>
        </w:tc>
        <w:tc>
          <w:tcPr>
            <w:tcW w:w="55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Process / procedure</w:t>
            </w:r>
          </w:p>
        </w:tc>
        <w:tc>
          <w:tcPr>
            <w:tcW w:w="170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Audited</w:t>
            </w:r>
          </w:p>
        </w:tc>
      </w:tr>
      <w:tr>
        <w:trPr/>
        <w:tc>
          <w:tcPr>
            <w:tcW w:w="408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55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17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08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55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17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08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55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17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08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55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170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Audit criteria</w:t>
      </w:r>
    </w:p>
    <w:p>
      <w:pPr>
        <w:pStyle w:val="BodyText"/>
        <w:bidi w:val="0"/>
        <w:jc w:val="left"/>
        <w:rPr/>
      </w:pPr>
      <w:r>
        <w:rPr/>
        <w:t xml:space="preserve">☐ </w:t>
      </w:r>
      <w:r>
        <w:rPr/>
        <w:t xml:space="preserve">ISO 9001:2015 — clauses listed in §3 ☐ Ajace AI QMS documents at revision in force on </w:t>
      </w:r>
      <w:r>
        <w:rPr>
          <w:rStyle w:val="SourceText"/>
        </w:rPr>
        <w:t>____/____/________</w:t>
      </w:r>
      <w:r>
        <w:rPr/>
        <w:t xml:space="preserve"> ☐ Customer and statutory requirements identified under </w:t>
      </w:r>
      <w:r>
        <w:rPr>
          <w:rStyle w:val="SourceText"/>
        </w:rPr>
        <w:t>SOP-04</w:t>
      </w:r>
      <w:r>
        <w:rPr/>
        <w:t xml:space="preserve"> ☐ Quality objectives in </w:t>
      </w:r>
      <w:r>
        <w:rPr>
          <w:rStyle w:val="SourceText"/>
        </w:rPr>
        <w:t>QO-01</w:t>
      </w:r>
      <w:r>
        <w:rPr/>
        <w:t xml:space="preserve"> ☐ Other: </w:t>
      </w:r>
      <w:r>
        <w:rPr>
          <w:rStyle w:val="SourceText"/>
        </w:rPr>
        <w:t>________________________________________</w:t>
      </w:r>
    </w:p>
    <w:p>
      <w:pPr>
        <w:pStyle w:val="Heading3"/>
        <w:bidi w:val="0"/>
        <w:jc w:val="left"/>
        <w:rPr/>
      </w:pPr>
      <w:r>
        <w:rPr/>
        <w:t>5. Evidence examined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97"/>
        <w:gridCol w:w="4321"/>
        <w:gridCol w:w="4321"/>
        <w:gridCol w:w="2299"/>
      </w:tblGrid>
      <w:tr>
        <w:trPr>
          <w:tblHeader w:val="true"/>
        </w:trPr>
        <w:tc>
          <w:tcPr>
            <w:tcW w:w="39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  <w:tc>
          <w:tcPr>
            <w:tcW w:w="4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 / identifier</w:t>
            </w:r>
          </w:p>
        </w:tc>
        <w:tc>
          <w:tcPr>
            <w:tcW w:w="22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Sample taken</w:t>
            </w:r>
          </w:p>
        </w:tc>
      </w:tr>
      <w:tr>
        <w:trPr/>
        <w:tc>
          <w:tcPr>
            <w:tcW w:w="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9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2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9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2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People interviewed (role): </w:t>
      </w:r>
      <w:r>
        <w:rPr>
          <w:rStyle w:val="SourceText"/>
        </w:rPr>
        <w:t>________________________________________</w:t>
      </w:r>
    </w:p>
    <w:p>
      <w:pPr>
        <w:pStyle w:val="Heading3"/>
        <w:bidi w:val="0"/>
        <w:jc w:val="left"/>
        <w:rPr/>
      </w:pPr>
      <w:r>
        <w:rPr/>
        <w:t>6. Findings</w:t>
      </w:r>
    </w:p>
    <w:p>
      <w:pPr>
        <w:pStyle w:val="BodyText"/>
        <w:bidi w:val="0"/>
        <w:jc w:val="left"/>
        <w:rPr/>
      </w:pPr>
      <w:r>
        <w:rPr/>
        <w:t>Each finding is written as requirement / evidence examined / discrepancy.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50"/>
        <w:gridCol w:w="937"/>
        <w:gridCol w:w="2954"/>
        <w:gridCol w:w="3634"/>
        <w:gridCol w:w="1696"/>
        <w:gridCol w:w="1568"/>
      </w:tblGrid>
      <w:tr>
        <w:trPr>
          <w:tblHeader w:val="true"/>
        </w:trPr>
        <w:tc>
          <w:tcPr>
            <w:tcW w:w="55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9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Clause</w:t>
            </w:r>
          </w:p>
        </w:tc>
        <w:tc>
          <w:tcPr>
            <w:tcW w:w="29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Classification</w:t>
            </w:r>
          </w:p>
        </w:tc>
        <w:tc>
          <w:tcPr>
            <w:tcW w:w="36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Finding — requirement, evidence, discrepancy</w:t>
            </w:r>
          </w:p>
        </w:tc>
        <w:tc>
          <w:tcPr>
            <w:tcW w:w="16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Auditee agrees facts</w:t>
            </w:r>
          </w:p>
        </w:tc>
        <w:tc>
          <w:tcPr>
            <w:tcW w:w="15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NC raised (</w:t>
            </w:r>
            <w:r>
              <w:rPr>
                <w:rStyle w:val="SourceText"/>
                <w:color w:val="FFFFFF"/>
              </w:rPr>
              <w:t>FRM-05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5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F-01</w:t>
            </w:r>
          </w:p>
        </w:tc>
        <w:tc>
          <w:tcPr>
            <w:tcW w:w="9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9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Major ☐ Minor ☐ Observation ☐ OFI</w:t>
            </w:r>
          </w:p>
        </w:tc>
        <w:tc>
          <w:tcPr>
            <w:tcW w:w="3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6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F-02</w:t>
            </w:r>
          </w:p>
        </w:tc>
        <w:tc>
          <w:tcPr>
            <w:tcW w:w="9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9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Major ☐ Minor ☐ Observation ☐ OFI</w:t>
            </w:r>
          </w:p>
        </w:tc>
        <w:tc>
          <w:tcPr>
            <w:tcW w:w="3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6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F-03</w:t>
            </w:r>
          </w:p>
        </w:tc>
        <w:tc>
          <w:tcPr>
            <w:tcW w:w="9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9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Major ☐ Minor ☐ Observation ☐ OFI</w:t>
            </w:r>
          </w:p>
        </w:tc>
        <w:tc>
          <w:tcPr>
            <w:tcW w:w="36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6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5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55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F-04</w:t>
            </w:r>
          </w:p>
        </w:tc>
        <w:tc>
          <w:tcPr>
            <w:tcW w:w="9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9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Major ☐ Minor ☐ Observation ☐ OFI</w:t>
            </w:r>
          </w:p>
        </w:tc>
        <w:tc>
          <w:tcPr>
            <w:tcW w:w="36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</w:t>
            </w:r>
          </w:p>
        </w:tc>
        <w:tc>
          <w:tcPr>
            <w:tcW w:w="16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5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Auditee disagreement, where recorded: </w:t>
      </w:r>
      <w:r>
        <w:rPr>
          <w:rStyle w:val="SourceText"/>
        </w:rPr>
        <w:t>________________________________________</w:t>
      </w:r>
    </w:p>
    <w:p>
      <w:pPr>
        <w:pStyle w:val="Heading3"/>
        <w:bidi w:val="0"/>
        <w:jc w:val="left"/>
        <w:rPr/>
      </w:pPr>
      <w:r>
        <w:rPr/>
        <w:t>7. Conclusion — two separate questions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98"/>
        <w:gridCol w:w="5341"/>
      </w:tblGrid>
      <w:tr>
        <w:trPr>
          <w:tblHeader w:val="true"/>
        </w:trPr>
        <w:tc>
          <w:tcPr>
            <w:tcW w:w="599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53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Conclusion</w:t>
            </w:r>
          </w:p>
        </w:tc>
      </w:tr>
      <w:tr>
        <w:trPr/>
        <w:tc>
          <w:tcPr>
            <w:tcW w:w="59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Conformity</w:t>
            </w:r>
            <w:r>
              <w:rPr/>
              <w:t xml:space="preserve"> — does the QMS conform to ISO 9001:2015 and to Ajace AI's own requirements, across the audited scope?</w:t>
            </w:r>
          </w:p>
        </w:tc>
        <w:tc>
          <w:tcPr>
            <w:tcW w:w="5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Conforms ☐ Conforms with minor nonconformities ☐ Does not conform — </w:t>
            </w: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9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Effectiveness</w:t>
            </w:r>
            <w:r>
              <w:rPr/>
              <w:t xml:space="preserve"> — is the QMS effectively implemented and maintained, and is it achieving its intended results?</w:t>
            </w:r>
          </w:p>
        </w:tc>
        <w:tc>
          <w:tcPr>
            <w:tcW w:w="5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Effective ☐ Partially effective ☐ Not effective — </w:t>
            </w: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99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Narrative</w:t>
            </w:r>
          </w:p>
        </w:tc>
        <w:tc>
          <w:tcPr>
            <w:tcW w:w="5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99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Clauses in the cycle still unaudited after this event</w:t>
            </w:r>
          </w:p>
        </w:tc>
        <w:tc>
          <w:tcPr>
            <w:tcW w:w="53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 Follow-up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99"/>
        <w:gridCol w:w="2512"/>
        <w:gridCol w:w="1571"/>
        <w:gridCol w:w="2041"/>
        <w:gridCol w:w="3168"/>
        <w:gridCol w:w="847"/>
      </w:tblGrid>
      <w:tr>
        <w:trPr>
          <w:tblHeader w:val="true"/>
        </w:trPr>
        <w:tc>
          <w:tcPr>
            <w:tcW w:w="119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Finding ref</w:t>
            </w:r>
          </w:p>
        </w:tc>
        <w:tc>
          <w:tcPr>
            <w:tcW w:w="25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 required</w:t>
            </w:r>
          </w:p>
        </w:tc>
        <w:tc>
          <w:tcPr>
            <w:tcW w:w="15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0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 date</w:t>
            </w:r>
          </w:p>
        </w:tc>
        <w:tc>
          <w:tcPr>
            <w:tcW w:w="31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Effectiveness verified (date / by)</w:t>
            </w:r>
          </w:p>
        </w:tc>
        <w:tc>
          <w:tcPr>
            <w:tcW w:w="8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Closed</w:t>
            </w:r>
          </w:p>
        </w:tc>
      </w:tr>
      <w:tr>
        <w:trPr/>
        <w:tc>
          <w:tcPr>
            <w:tcW w:w="11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F-01</w:t>
            </w:r>
          </w:p>
        </w:tc>
        <w:tc>
          <w:tcPr>
            <w:tcW w:w="2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0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31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  <w:r>
              <w:rPr/>
              <w:t xml:space="preserve"> </w:t>
            </w:r>
            <w:r>
              <w:rPr>
                <w:rStyle w:val="SourceText"/>
              </w:rPr>
              <w:t>________</w:t>
            </w:r>
          </w:p>
        </w:tc>
        <w:tc>
          <w:tcPr>
            <w:tcW w:w="8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119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F-02</w:t>
            </w:r>
          </w:p>
        </w:tc>
        <w:tc>
          <w:tcPr>
            <w:tcW w:w="2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5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0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316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  <w:r>
              <w:rPr/>
              <w:t xml:space="preserve"> </w:t>
            </w:r>
            <w:r>
              <w:rPr>
                <w:rStyle w:val="SourceText"/>
              </w:rPr>
              <w:t>________</w:t>
            </w:r>
          </w:p>
        </w:tc>
        <w:tc>
          <w:tcPr>
            <w:tcW w:w="8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119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F-03</w:t>
            </w:r>
          </w:p>
        </w:tc>
        <w:tc>
          <w:tcPr>
            <w:tcW w:w="25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5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0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31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  <w:r>
              <w:rPr/>
              <w:t xml:space="preserve"> </w:t>
            </w:r>
            <w:r>
              <w:rPr>
                <w:rStyle w:val="SourceText"/>
              </w:rPr>
              <w:t>________</w:t>
            </w:r>
          </w:p>
        </w:tc>
        <w:tc>
          <w:tcPr>
            <w:tcW w:w="8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526"/>
        <w:gridCol w:w="6812"/>
      </w:tblGrid>
      <w:tr>
        <w:trPr>
          <w:tblHeader w:val="true"/>
        </w:trPr>
        <w:tc>
          <w:tcPr>
            <w:tcW w:w="452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8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5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issued by (auditor)</w:t>
            </w:r>
          </w:p>
        </w:tc>
        <w:tc>
          <w:tcPr>
            <w:tcW w:w="68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52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Received by (Managing Director)</w:t>
            </w:r>
          </w:p>
        </w:tc>
        <w:tc>
          <w:tcPr>
            <w:tcW w:w="68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  <w:r>
              <w:rPr/>
              <w:t xml:space="preserve"> on </w:t>
            </w:r>
            <w:r>
              <w:rPr>
                <w:rStyle w:val="SourceText"/>
              </w:rPr>
              <w:t>____/____/________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§1 is the first section for a reason.</w:t>
      </w:r>
      <w:r>
        <w:rPr/>
        <w:t xml:space="preserve"> An audit report whose independence position is buried is misleading. Answer the "own work" question honestly; the QMS already records the consequence.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Conformity and effectiveness are different conclusions.</w:t>
      </w:r>
      <w:r>
        <w:rPr/>
        <w:t xml:space="preserve"> A QMS can be fully conformant on paper and ineffective in practice, and the reverse. Answer both.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finding needs all three parts.</w:t>
      </w:r>
      <w:r>
        <w:rPr/>
        <w:t xml:space="preserve"> "Configuration management is weak" is an opinion. "Clause 8.6: release </w:t>
      </w:r>
      <w:r>
        <w:rPr>
          <w:rStyle w:val="SourceText"/>
        </w:rPr>
        <w:t>____</w:t>
      </w:r>
      <w:r>
        <w:rPr/>
        <w:t xml:space="preserve"> has no recorded source revision; </w:t>
      </w:r>
      <w:r>
        <w:rPr>
          <w:rStyle w:val="SourceText"/>
        </w:rPr>
        <w:t>FRM-03</w:t>
      </w:r>
      <w:r>
        <w:rPr/>
        <w:t xml:space="preserve"> for it shows an empty SHA field" is a finding.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 not classify a nonconformity as an OFI to be kind.</w:t>
      </w:r>
      <w:r>
        <w:rPr/>
        <w:t xml:space="preserve"> The classification drives the response; softening it removes the response.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§8 closes on verified effectiveness, not on action completed</w:t>
      </w:r>
      <w:r>
        <w:rPr/>
        <w:t xml:space="preserve"> — see </w:t>
      </w:r>
      <w:r>
        <w:rPr>
          <w:rStyle w:val="SourceText"/>
        </w:rPr>
        <w:t>SOP-14</w:t>
      </w:r>
      <w:r>
        <w:rPr/>
        <w:t xml:space="preserve"> §8.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Sampling must be stated in §5. An unstated sample cannot be judged by the next auditor.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