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SOP-03 — Competence, Training and Awareness</w:t>
      </w:r>
    </w:p>
    <w:tbl>
      <w:tblPr>
        <w:tblW w:w="5000" w:type="pct"/>
        <w:jc w:val="left"/>
        <w:tblInd w:w="-7" w:type="dxa"/>
        <w:tblLayout w:type="fixed"/>
        <w:tblCellMar>
          <w:top w:w="60" w:type="dxa"/>
          <w:left w:w="60" w:type="dxa"/>
          <w:bottom w:w="60" w:type="dxa"/>
          <w:right w:w="60" w:type="dxa"/>
        </w:tblCellMar>
      </w:tblPr>
      <w:tblGrid>
        <w:gridCol w:w="2606"/>
        <w:gridCol w:w="8732"/>
      </w:tblGrid>
      <w:tr>
        <w:trPr>
          <w:tblHeader w:val="true"/>
        </w:trPr>
        <w:tc>
          <w:tcPr>
            <w:tcW w:w="260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87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SOP-03</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7.1.2, 7.1.6, 7.2, 7.3</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260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87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260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87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how Ajace AI determines the competence needed to build, deploy and support EchoMind Enterprise, how that competence is acquired and evidenced, how people are made aware of the quality policy and of their own contribution to it, and how the organisational knowledge the work depends on is retained.</w:t>
      </w:r>
    </w:p>
    <w:p>
      <w:pPr>
        <w:pStyle w:val="Heading2"/>
        <w:bidi w:val="0"/>
        <w:jc w:val="left"/>
        <w:rPr/>
      </w:pPr>
      <w:r>
        <w:rPr/>
        <w:t>2. Scope</w:t>
      </w:r>
    </w:p>
    <w:p>
      <w:pPr>
        <w:pStyle w:val="BodyText"/>
        <w:bidi w:val="0"/>
        <w:jc w:val="left"/>
        <w:rPr/>
      </w:pPr>
      <w:r>
        <w:rPr/>
        <w:t>Everyone working under Ajace AI's control, whether employed, contracted or working as the owner of the business. It covers the competence needed for the work as it is actually performed today, not a hypothetical future team.</w:t>
      </w:r>
    </w:p>
    <w:p>
      <w:pPr>
        <w:pStyle w:val="BodyText"/>
        <w:bidi w:val="0"/>
        <w:jc w:val="left"/>
        <w:rPr/>
      </w:pPr>
      <w:r>
        <w:rPr/>
        <w:t xml:space="preserve">It also covers a resource that is unusual but material here: </w:t>
      </w:r>
      <w:r>
        <w:rPr>
          <w:rStyle w:val="Strong"/>
        </w:rPr>
        <w:t>AI coding assistance</w:t>
      </w:r>
      <w:r>
        <w:rPr/>
        <w:t>. A significant share of the code in this repository was produced with AI assistance and is declared as such. That is treated in §7 as a competence and control question, because that is what it is.</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751"/>
        <w:gridCol w:w="9588"/>
      </w:tblGrid>
      <w:tr>
        <w:trPr>
          <w:tblHeader w:val="true"/>
        </w:trPr>
        <w:tc>
          <w:tcPr>
            <w:tcW w:w="17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958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7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95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Determines the competence each role requires. Decides how any shortfall is closed. Maintains the competence matrix and the training record.</w:t>
            </w:r>
          </w:p>
        </w:tc>
      </w:tr>
      <w:tr>
        <w:trPr/>
        <w:tc>
          <w:tcPr>
            <w:tcW w:w="17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95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Identifies competence needed by new or changed technology before it enters the product. Keeps the engineering documentation in </w:t>
            </w:r>
            <w:r>
              <w:rPr>
                <w:rStyle w:val="SourceText"/>
              </w:rPr>
              <w:t>docs/</w:t>
            </w:r>
            <w:r>
              <w:rPr/>
              <w:t xml:space="preserve"> current enough to serve as handover material.</w:t>
            </w:r>
          </w:p>
        </w:tc>
      </w:tr>
      <w:tr>
        <w:trPr/>
        <w:tc>
          <w:tcPr>
            <w:tcW w:w="17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958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Works within their competence, says so when a task is outside it, and reviews and verifies every change they author — including any part generated by an AI assistant.</w:t>
            </w:r>
          </w:p>
        </w:tc>
      </w:tr>
    </w:tbl>
    <w:p>
      <w:pPr>
        <w:pStyle w:val="BodyText"/>
        <w:bidi w:val="0"/>
        <w:jc w:val="left"/>
        <w:rPr/>
      </w:pPr>
      <w:r>
        <w:rPr/>
        <w:t>Ajace AI currently has one person holding all three roles. Everything in this procedure must therefore be read as self-administered, which is a weakness stated in §8 rather than hidden.</w:t>
      </w:r>
    </w:p>
    <w:p>
      <w:pPr>
        <w:pStyle w:val="Heading2"/>
        <w:bidi w:val="0"/>
        <w:jc w:val="left"/>
        <w:rPr/>
      </w:pPr>
      <w:r>
        <w:rPr/>
        <w:t>4. Roles and the competence they require (7.1.2, 7.2)</w:t>
      </w:r>
    </w:p>
    <w:tbl>
      <w:tblPr>
        <w:tblW w:w="5000" w:type="pct"/>
        <w:jc w:val="left"/>
        <w:tblInd w:w="-7" w:type="dxa"/>
        <w:tblLayout w:type="fixed"/>
        <w:tblCellMar>
          <w:top w:w="60" w:type="dxa"/>
          <w:left w:w="60" w:type="dxa"/>
          <w:bottom w:w="60" w:type="dxa"/>
          <w:right w:w="60" w:type="dxa"/>
        </w:tblCellMar>
      </w:tblPr>
      <w:tblGrid>
        <w:gridCol w:w="1360"/>
        <w:gridCol w:w="3163"/>
        <w:gridCol w:w="6816"/>
      </w:tblGrid>
      <w:tr>
        <w:trPr>
          <w:tblHeader w:val="true"/>
        </w:trPr>
        <w:tc>
          <w:tcPr>
            <w:tcW w:w="136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316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Purpose of the role</w:t>
            </w:r>
          </w:p>
        </w:tc>
        <w:tc>
          <w:tcPr>
            <w:tcW w:w="68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Competence required</w:t>
            </w:r>
          </w:p>
        </w:tc>
      </w:tr>
      <w:tr>
        <w:trPr/>
        <w:tc>
          <w:tcPr>
            <w:tcW w:w="13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Managing Director</w:t>
            </w:r>
          </w:p>
        </w:tc>
        <w:tc>
          <w:tcPr>
            <w:tcW w:w="31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Top management. Sets the quality policy, accepts risk, commits to customer requirements, approves releases.</w:t>
            </w:r>
          </w:p>
        </w:tc>
        <w:tc>
          <w:tcPr>
            <w:tcW w:w="6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Understanding of ISO 9001:2015 as it applies to a software supplier; the data-protection and record-keeping obligations of the customers' regulated sectors; commercial judgement on what may be committed to a customer; ability to judge when a technical claim is supportable by evidence.</w:t>
            </w:r>
          </w:p>
        </w:tc>
      </w:tr>
      <w:tr>
        <w:trPr/>
        <w:tc>
          <w:tcPr>
            <w:tcW w:w="13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316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Designs, builds, verifies and deploys the platform.</w:t>
            </w:r>
          </w:p>
        </w:tc>
        <w:tc>
          <w:tcPr>
            <w:tcW w:w="6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eight specialised areas in the table below.</w:t>
            </w:r>
          </w:p>
        </w:tc>
      </w:tr>
      <w:tr>
        <w:trPr/>
        <w:tc>
          <w:tcPr>
            <w:tcW w:w="136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Anyone contributing code</w:t>
            </w:r>
          </w:p>
        </w:tc>
        <w:tc>
          <w:tcPr>
            <w:tcW w:w="316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Any person, employed or contracted, who authors a change to the repository.</w:t>
            </w:r>
          </w:p>
        </w:tc>
        <w:tc>
          <w:tcPr>
            <w:tcW w:w="68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quality policy (</w:t>
            </w:r>
            <w:r>
              <w:rPr>
                <w:rStyle w:val="SourceText"/>
              </w:rPr>
              <w:t>QP-01</w:t>
            </w:r>
            <w:r>
              <w:rPr/>
              <w:t xml:space="preserve">); this procedure; </w:t>
            </w:r>
            <w:r>
              <w:rPr>
                <w:rStyle w:val="SourceText"/>
              </w:rPr>
              <w:t>SOP-01</w:t>
            </w:r>
            <w:r>
              <w:rPr/>
              <w:t xml:space="preserve"> (what must never be committed); </w:t>
            </w:r>
            <w:r>
              <w:rPr>
                <w:rStyle w:val="SourceText"/>
              </w:rPr>
              <w:t>SOP-05</w:t>
            </w:r>
            <w:r>
              <w:rPr/>
              <w:t xml:space="preserve"> §7 (verification of AI-assisted output); competence in the specific area being changed.</w:t>
            </w:r>
          </w:p>
        </w:tc>
      </w:tr>
    </w:tbl>
    <w:p>
      <w:pPr>
        <w:pStyle w:val="BodyText"/>
        <w:bidi w:val="0"/>
        <w:jc w:val="left"/>
        <w:rPr/>
      </w:pPr>
      <w:r>
        <w:rPr>
          <w:rStyle w:val="Strong"/>
        </w:rPr>
        <w:t>Specialised competence areas the work demonstrably requires.</w:t>
      </w:r>
      <w:r>
        <w:rPr/>
        <w:t xml:space="preserve"> Each is listed with the part of the repository that demands it, so that the requirement is verifiable rather than asserted.</w:t>
      </w:r>
    </w:p>
    <w:tbl>
      <w:tblPr>
        <w:tblW w:w="5000" w:type="pct"/>
        <w:jc w:val="left"/>
        <w:tblInd w:w="-7" w:type="dxa"/>
        <w:tblLayout w:type="fixed"/>
        <w:tblCellMar>
          <w:top w:w="60" w:type="dxa"/>
          <w:left w:w="60" w:type="dxa"/>
          <w:bottom w:w="60" w:type="dxa"/>
          <w:right w:w="60" w:type="dxa"/>
        </w:tblCellMar>
      </w:tblPr>
      <w:tblGrid>
        <w:gridCol w:w="3322"/>
        <w:gridCol w:w="8017"/>
      </w:tblGrid>
      <w:tr>
        <w:trPr>
          <w:tblHeader w:val="true"/>
        </w:trPr>
        <w:tc>
          <w:tcPr>
            <w:tcW w:w="332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Competence area</w:t>
            </w:r>
          </w:p>
        </w:tc>
        <w:tc>
          <w:tcPr>
            <w:tcW w:w="801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the work demands it</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Python and FastAPI service development</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backend/app/main.py</w:t>
            </w:r>
            <w:r>
              <w:rPr/>
              <w:t xml:space="preserve">, </w:t>
            </w:r>
            <w:r>
              <w:rPr>
                <w:rStyle w:val="SourceText"/>
              </w:rPr>
              <w:t>backend/app/rag/</w:t>
            </w:r>
            <w:r>
              <w:rPr/>
              <w:t xml:space="preserve">, </w:t>
            </w:r>
            <w:r>
              <w:rPr>
                <w:rStyle w:val="SourceText"/>
              </w:rPr>
              <w:t>backend/app/transcribe/</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React and TypeScript front-end development</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Docker and Docker Compose, including GPU device plumbing</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docker-compose.yml:41-47</w:t>
            </w:r>
            <w:r>
              <w:rPr/>
              <w:t xml:space="preserve"> and </w:t>
            </w:r>
            <w:r>
              <w:rPr>
                <w:rStyle w:val="SourceText"/>
              </w:rPr>
              <w:t>:108-113</w:t>
            </w:r>
            <w:r>
              <w:rPr/>
              <w:t xml:space="preserve">, which record that the </w:t>
            </w:r>
            <w:r>
              <w:rPr>
                <w:rStyle w:val="SourceText"/>
              </w:rPr>
              <w:t>deploy.resources.reservations.devices</w:t>
            </w:r>
            <w:r>
              <w:rPr/>
              <w:t xml:space="preserve"> form yields a broken NVML on GB10 and that </w:t>
            </w:r>
            <w:r>
              <w:rPr>
                <w:rStyle w:val="SourceText"/>
              </w:rPr>
              <w:t>gpus: all</w:t>
            </w:r>
            <w:r>
              <w:rPr/>
              <w:t xml:space="preserve"> must be used instead</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NVIDIA GPU, CUDA driver and TensorRT-LLM serving</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docker-compose.yml:5-11</w:t>
            </w:r>
            <w:r>
              <w:rPr/>
              <w:t xml:space="preserve"> (NVFP4 serving, the GB10 worker-spawn CUDA bug and the driver version that fixed it)</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NeMo ASR (streaming and offline models)</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backend/Dockerfile:23</w:t>
            </w:r>
            <w:r>
              <w:rPr/>
              <w:t xml:space="preserve">, </w:t>
            </w:r>
            <w:r>
              <w:rPr>
                <w:rStyle w:val="SourceText"/>
              </w:rPr>
              <w:t>voice/Dockerfile:22</w:t>
            </w:r>
            <w:r>
              <w:rPr/>
              <w:t xml:space="preserve">, </w:t>
            </w:r>
            <w:r>
              <w:rPr>
                <w:rStyle w:val="SourceText"/>
              </w:rPr>
              <w:t>docker-compose.yml:208-210</w:t>
            </w:r>
            <w:r>
              <w:rPr/>
              <w:t xml:space="preserve"> (Parakeet-TDT with its CUDA-graph decoder disabled to avoid an illegal memory access)</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Retrieval and RAG engineering — chunking, hybrid retrieval, reranking, namespace isolation</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docs/RAG_FLOW.md</w:t>
            </w:r>
            <w:r>
              <w:rPr/>
              <w:t xml:space="preserve"> (281 lines), </w:t>
            </w:r>
            <w:r>
              <w:rPr>
                <w:rStyle w:val="SourceText"/>
              </w:rPr>
              <w:t>docs/RAG_AND_CHUNKING_EXPLAINED.md</w:t>
            </w:r>
            <w:r>
              <w:rPr/>
              <w:t xml:space="preserve"> (315 lines), </w:t>
            </w:r>
            <w:r>
              <w:rPr>
                <w:rStyle w:val="SourceText"/>
              </w:rPr>
              <w:t>backend/app/rag/index.py:36</w:t>
            </w:r>
            <w:r>
              <w:rPr/>
              <w:t xml:space="preserve"> (</w:t>
            </w:r>
            <w:r>
              <w:rPr>
                <w:rStyle w:val="SourceText"/>
              </w:rPr>
              <w:t>_ns_ok</w:t>
            </w:r>
            <w:r>
              <w:rPr/>
              <w:t xml:space="preserve"> namespace predicate)</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Prompt engineering, including injection resistance and abstention</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backend/app/rag/advanced.py:74</w:t>
            </w:r>
            <w:r>
              <w:rPr/>
              <w:t xml:space="preserve"> (deterministic insufficient-context message, explicitly to prevent a hallucinated fallback), </w:t>
            </w:r>
            <w:r>
              <w:rPr>
                <w:rStyle w:val="SourceText"/>
              </w:rPr>
              <w:t>backend/tests/test_prompt_guards.py</w:t>
            </w:r>
          </w:p>
        </w:tc>
      </w:tr>
      <w:tr>
        <w:trPr/>
        <w:tc>
          <w:tcPr>
            <w:tcW w:w="332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Data protection for regulated sectors</w:t>
            </w:r>
          </w:p>
        </w:tc>
        <w:tc>
          <w:tcPr>
            <w:tcW w:w="801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whole offline deployment model; </w:t>
            </w:r>
            <w:r>
              <w:rPr>
                <w:rStyle w:val="SourceText"/>
              </w:rPr>
              <w:t>docs/PUBLIC_DEPLOYMENT.md</w:t>
            </w:r>
            <w:r>
              <w:rPr/>
              <w:t xml:space="preserve">; </w:t>
            </w:r>
            <w:r>
              <w:rPr>
                <w:rStyle w:val="SourceText"/>
              </w:rPr>
              <w:t>SOP-11</w:t>
            </w:r>
          </w:p>
        </w:tc>
      </w:tr>
      <w:tr>
        <w:trPr/>
        <w:tc>
          <w:tcPr>
            <w:tcW w:w="332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Python dependency and supply-chain management</w:t>
            </w:r>
          </w:p>
        </w:tc>
        <w:tc>
          <w:tcPr>
            <w:tcW w:w="801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backend/Dockerfile:25-36</w:t>
            </w:r>
            <w:r>
              <w:rPr/>
              <w:t>, which records three separate cross-package conflicts and their resolutions</w:t>
            </w:r>
          </w:p>
        </w:tc>
      </w:tr>
    </w:tbl>
    <w:p>
      <w:pPr>
        <w:pStyle w:val="BodyText"/>
        <w:bidi w:val="0"/>
        <w:jc w:val="left"/>
        <w:rPr/>
      </w:pPr>
      <w:r>
        <w:rPr/>
        <w:t xml:space="preserve">Competence is judged against the work, not against a certificate. The question asked is: </w:t>
      </w:r>
      <w:r>
        <w:rPr>
          <w:rStyle w:val="Emphasis"/>
        </w:rPr>
        <w:t>can this person make a change in this area and leave behind evidence that it works?</w:t>
      </w:r>
    </w:p>
    <w:p>
      <w:pPr>
        <w:pStyle w:val="Heading2"/>
        <w:bidi w:val="0"/>
        <w:jc w:val="left"/>
        <w:rPr/>
      </w:pPr>
      <w:r>
        <w:rPr/>
        <w:t>5. Acquiring and evidencing competence (7.2)</w:t>
      </w:r>
    </w:p>
    <w:p>
      <w:pPr>
        <w:pStyle w:val="BodyText"/>
        <w:bidi w:val="0"/>
        <w:jc w:val="left"/>
        <w:rPr/>
      </w:pPr>
      <w:r>
        <w:rPr/>
        <w:t xml:space="preserve">Where a competence is needed and not held, it is acquired by one of the routes below, and the route is recorded in </w:t>
      </w:r>
      <w:r>
        <w:rPr>
          <w:rStyle w:val="SourceText"/>
        </w:rPr>
        <w:t>registers/REG-05_Competence_and_Training_Record.md</w:t>
      </w:r>
      <w:r>
        <w:rPr/>
        <w:t>.</w:t>
      </w:r>
    </w:p>
    <w:tbl>
      <w:tblPr>
        <w:tblW w:w="5000" w:type="pct"/>
        <w:jc w:val="left"/>
        <w:tblInd w:w="-7" w:type="dxa"/>
        <w:tblLayout w:type="fixed"/>
        <w:tblCellMar>
          <w:top w:w="60" w:type="dxa"/>
          <w:left w:w="60" w:type="dxa"/>
          <w:bottom w:w="60" w:type="dxa"/>
          <w:right w:w="60" w:type="dxa"/>
        </w:tblCellMar>
      </w:tblPr>
      <w:tblGrid>
        <w:gridCol w:w="2490"/>
        <w:gridCol w:w="4468"/>
        <w:gridCol w:w="4381"/>
      </w:tblGrid>
      <w:tr>
        <w:trPr>
          <w:tblHeader w:val="true"/>
        </w:trPr>
        <w:tc>
          <w:tcPr>
            <w:tcW w:w="249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Route</w:t>
            </w:r>
          </w:p>
        </w:tc>
        <w:tc>
          <w:tcPr>
            <w:tcW w:w="446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When it is appropriate</w:t>
            </w:r>
          </w:p>
        </w:tc>
        <w:tc>
          <w:tcPr>
            <w:tcW w:w="438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it must leave</w:t>
            </w:r>
          </w:p>
        </w:tc>
      </w:tr>
      <w:tr>
        <w:trPr/>
        <w:tc>
          <w:tcPr>
            <w:tcW w:w="24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Self-directed study of primary documentation</w:t>
            </w:r>
          </w:p>
        </w:tc>
        <w:tc>
          <w:tcPr>
            <w:tcW w:w="44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New library, new model, new runtime</w:t>
            </w:r>
          </w:p>
        </w:tc>
        <w:tc>
          <w:tcPr>
            <w:tcW w:w="43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change that follows it, with the rationale recorded in the commit body</w:t>
            </w:r>
          </w:p>
        </w:tc>
      </w:tr>
      <w:tr>
        <w:trPr/>
        <w:tc>
          <w:tcPr>
            <w:tcW w:w="24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Structured training or vendor course</w:t>
            </w:r>
          </w:p>
        </w:tc>
        <w:tc>
          <w:tcPr>
            <w:tcW w:w="44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Broad area with a safety or compliance edge — GPU platform administration, data protection law</w:t>
            </w:r>
          </w:p>
        </w:tc>
        <w:tc>
          <w:tcPr>
            <w:tcW w:w="43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Certificate or attendance record, referenced from the training record</w:t>
            </w:r>
          </w:p>
        </w:tc>
      </w:tr>
      <w:tr>
        <w:trPr/>
        <w:tc>
          <w:tcPr>
            <w:tcW w:w="24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Supervised or paired work</w:t>
            </w:r>
          </w:p>
        </w:tc>
        <w:tc>
          <w:tcPr>
            <w:tcW w:w="44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Once there is more than one person</w:t>
            </w:r>
          </w:p>
        </w:tc>
        <w:tc>
          <w:tcPr>
            <w:tcW w:w="43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Named supervisor and date in the training record</w:t>
            </w:r>
          </w:p>
        </w:tc>
      </w:tr>
      <w:tr>
        <w:trPr/>
        <w:tc>
          <w:tcPr>
            <w:tcW w:w="249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Proving it on a bounded piece of work</w:t>
            </w:r>
          </w:p>
        </w:tc>
        <w:tc>
          <w:tcPr>
            <w:tcW w:w="446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Any area where the result is measurable</w:t>
            </w:r>
          </w:p>
        </w:tc>
        <w:tc>
          <w:tcPr>
            <w:tcW w:w="438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measurement — for example a golden-eval score before and after, as in commit </w:t>
            </w:r>
            <w:r>
              <w:rPr>
                <w:rStyle w:val="SourceText"/>
              </w:rPr>
              <w:t>4e27109</w:t>
            </w:r>
          </w:p>
        </w:tc>
      </w:tr>
    </w:tbl>
    <w:p>
      <w:pPr>
        <w:pStyle w:val="BodyText"/>
        <w:bidi w:val="0"/>
        <w:jc w:val="left"/>
        <w:rPr/>
      </w:pPr>
      <w:r>
        <w:rPr>
          <w:rStyle w:val="Strong"/>
        </w:rPr>
        <w:t>Evidence of competence for an existing contributor</w:t>
      </w:r>
      <w:r>
        <w:rPr/>
        <w:t xml:space="preserve"> is drawn from what the work itself left behind: commit bodies that state the mechanism of a defect and the verification of its fix, design documentation in </w:t>
      </w:r>
      <w:r>
        <w:rPr>
          <w:rStyle w:val="SourceText"/>
        </w:rPr>
        <w:t>docs/</w:t>
      </w:r>
      <w:r>
        <w:rPr/>
        <w:t xml:space="preserve">, and evaluation results in </w:t>
      </w:r>
      <w:r>
        <w:rPr>
          <w:rStyle w:val="SourceText"/>
        </w:rPr>
        <w:t>eval/reports/</w:t>
      </w:r>
      <w:r>
        <w:rPr/>
        <w:t xml:space="preserve"> and </w:t>
      </w:r>
      <w:r>
        <w:rPr>
          <w:rStyle w:val="SourceText"/>
        </w:rPr>
        <w:t>eval/paper/results/</w:t>
      </w:r>
      <w:r>
        <w:rPr/>
        <w:t>. This is legitimate evidence under 7.2(d) — "retain appropriate documented information as evidence of competence" — provided it is actually referenced. The competence matrix therefore cites it.</w:t>
      </w:r>
    </w:p>
    <w:p>
      <w:pPr>
        <w:pStyle w:val="BodyText"/>
        <w:bidi w:val="0"/>
        <w:jc w:val="left"/>
        <w:rPr/>
      </w:pPr>
      <w:r>
        <w:rPr/>
        <w:t>Effectiveness of any action taken to acquire competence is evaluated against the work produced afterwards, not against completion of the training.</w:t>
      </w:r>
    </w:p>
    <w:p>
      <w:pPr>
        <w:pStyle w:val="Heading2"/>
        <w:bidi w:val="0"/>
        <w:jc w:val="left"/>
        <w:rPr/>
      </w:pPr>
      <w:r>
        <w:rPr/>
        <w:t>6. Awareness (7.3)</w:t>
      </w:r>
    </w:p>
    <w:p>
      <w:pPr>
        <w:pStyle w:val="BodyText"/>
        <w:bidi w:val="0"/>
        <w:jc w:val="left"/>
        <w:rPr/>
      </w:pPr>
      <w:r>
        <w:rPr/>
        <w:t>Everyone working under Ajace AI's control is made aware of:</w:t>
      </w:r>
    </w:p>
    <w:tbl>
      <w:tblPr>
        <w:tblW w:w="5000" w:type="pct"/>
        <w:jc w:val="left"/>
        <w:tblInd w:w="-7" w:type="dxa"/>
        <w:tblLayout w:type="fixed"/>
        <w:tblCellMar>
          <w:top w:w="60" w:type="dxa"/>
          <w:left w:w="60" w:type="dxa"/>
          <w:bottom w:w="60" w:type="dxa"/>
          <w:right w:w="60" w:type="dxa"/>
        </w:tblCellMar>
      </w:tblPr>
      <w:tblGrid>
        <w:gridCol w:w="3151"/>
        <w:gridCol w:w="8188"/>
      </w:tblGrid>
      <w:tr>
        <w:trPr>
          <w:tblHeader w:val="true"/>
        </w:trPr>
        <w:tc>
          <w:tcPr>
            <w:tcW w:w="31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ISO 7.3 requirement</w:t>
            </w:r>
          </w:p>
        </w:tc>
        <w:tc>
          <w:tcPr>
            <w:tcW w:w="818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How it is met here</w:t>
            </w:r>
          </w:p>
        </w:tc>
      </w:tr>
      <w:tr>
        <w:trPr/>
        <w:tc>
          <w:tcPr>
            <w:tcW w:w="31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 quality policy</w:t>
            </w:r>
          </w:p>
        </w:tc>
        <w:tc>
          <w:tcPr>
            <w:tcW w:w="81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QP-01_Quality_Policy.md</w:t>
            </w:r>
            <w:r>
              <w:rPr/>
              <w:t xml:space="preserve"> is read at induction and on each revision. It is in the repository every contributor already clones.</w:t>
            </w:r>
          </w:p>
        </w:tc>
      </w:tr>
      <w:tr>
        <w:trPr/>
        <w:tc>
          <w:tcPr>
            <w:tcW w:w="31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Relevant quality objectives</w:t>
            </w:r>
          </w:p>
        </w:tc>
        <w:tc>
          <w:tcPr>
            <w:tcW w:w="81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QO-01</w:t>
            </w:r>
            <w:r>
              <w:rPr/>
              <w:t xml:space="preserve"> is reviewed with the person at induction and at each management review.</w:t>
            </w:r>
          </w:p>
        </w:tc>
      </w:tr>
      <w:tr>
        <w:trPr/>
        <w:tc>
          <w:tcPr>
            <w:tcW w:w="31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Their contribution to the effectiveness of the QMS, including the benefits of improved performance</w:t>
            </w:r>
          </w:p>
        </w:tc>
        <w:tc>
          <w:tcPr>
            <w:tcW w:w="818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Stated concretely, not abstractly: a grounded, attributed answer is the product; a confident ungrounded one is a defect of the highest severity (</w:t>
            </w:r>
            <w:r>
              <w:rPr>
                <w:rStyle w:val="SourceText"/>
              </w:rPr>
              <w:t>QP-01</w:t>
            </w:r>
            <w:r>
              <w:rPr/>
              <w:t xml:space="preserve"> §2.1). Every contributor is told which controls in the product exist to prevent that, and that they are responsible for not weakening them.</w:t>
            </w:r>
          </w:p>
        </w:tc>
      </w:tr>
      <w:tr>
        <w:trPr/>
        <w:tc>
          <w:tcPr>
            <w:tcW w:w="31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The implications of not conforming</w:t>
            </w:r>
          </w:p>
        </w:tc>
        <w:tc>
          <w:tcPr>
            <w:tcW w:w="818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Stated concretely: an isolation defect is a compliance event for a customer in a regulated sector, not only a bug. Commit </w:t>
            </w:r>
            <w:r>
              <w:rPr>
                <w:rStyle w:val="SourceText"/>
              </w:rPr>
              <w:t>4e27109</w:t>
            </w:r>
            <w:r>
              <w:rPr/>
              <w:t xml:space="preserve"> is used as the worked example — a single retrieval path that bypassed the namespace predicate returned 10 out of 10 out-of-namespace chunks under a tenant-scoped query.</w:t>
            </w:r>
          </w:p>
        </w:tc>
      </w:tr>
    </w:tbl>
    <w:p>
      <w:pPr>
        <w:pStyle w:val="BodyText"/>
        <w:bidi w:val="0"/>
        <w:jc w:val="left"/>
        <w:rPr/>
      </w:pPr>
      <w:r>
        <w:rPr/>
        <w:t xml:space="preserve">Awareness is recorded as an entry in </w:t>
      </w:r>
      <w:r>
        <w:rPr>
          <w:rStyle w:val="SourceText"/>
        </w:rPr>
        <w:t>registers/REG-05_Competence_and_Training_Record.md</w:t>
      </w:r>
      <w:r>
        <w:rPr/>
        <w:t xml:space="preserve"> naming the person, the document version they were made aware of, and the date. It is not recorded in advance.</w:t>
      </w:r>
    </w:p>
    <w:p>
      <w:pPr>
        <w:pStyle w:val="Heading2"/>
        <w:bidi w:val="0"/>
        <w:jc w:val="left"/>
        <w:rPr/>
      </w:pPr>
      <w:r>
        <w:rPr/>
        <w:t>7. AI-assisted development</w:t>
      </w:r>
    </w:p>
    <w:p>
      <w:pPr>
        <w:pStyle w:val="BodyText"/>
        <w:bidi w:val="0"/>
        <w:jc w:val="left"/>
        <w:rPr/>
      </w:pPr>
      <w:r>
        <w:rPr>
          <w:rStyle w:val="Strong"/>
        </w:rPr>
        <w:t>The situation, stated accurately.</w:t>
      </w:r>
      <w:r>
        <w:rPr/>
        <w:t xml:space="preserve"> A material share of the commits in this repository were produced with AI assistance and declare it through a </w:t>
      </w:r>
      <w:r>
        <w:rPr>
          <w:rStyle w:val="SourceText"/>
        </w:rPr>
        <w:t>Co-Authored-By: Claude …</w:t>
      </w:r>
      <w:r>
        <w:rPr/>
        <w:t xml:space="preserve"> trailer — for example </w:t>
      </w:r>
      <w:r>
        <w:rPr>
          <w:rStyle w:val="SourceText"/>
        </w:rPr>
        <w:t>558eaae</w:t>
      </w:r>
      <w:r>
        <w:rPr/>
        <w:t xml:space="preserve"> and </w:t>
      </w:r>
      <w:r>
        <w:rPr>
          <w:rStyle w:val="SourceText"/>
        </w:rPr>
        <w:t>4e27109</w:t>
      </w:r>
      <w:r>
        <w:rPr/>
        <w:t>. Ajace AI does not treat this as incidental. It is a resource that changes what competence means, and it is disclosed rather than obscured.</w:t>
      </w:r>
    </w:p>
    <w:p>
      <w:pPr>
        <w:pStyle w:val="BodyText"/>
        <w:bidi w:val="0"/>
        <w:jc w:val="left"/>
        <w:rPr/>
      </w:pPr>
      <w:r>
        <w:rPr>
          <w:rStyle w:val="Strong"/>
        </w:rPr>
        <w:t>The rule.</w:t>
      </w:r>
    </w:p>
    <w:p>
      <w:pPr>
        <w:pStyle w:val="BlockQuotation"/>
        <w:bidi w:val="0"/>
        <w:jc w:val="left"/>
        <w:rPr/>
      </w:pPr>
      <w:r>
        <w:rPr/>
        <w:t>The human author of a commit is accountable for every line in it, whether they typed it or an AI assistant generated it. Accountability is discharged by reviewing the change and verifying that it does what the commit says it does. An unreviewed or unverified AI-generated change must not be committed.</w:t>
      </w:r>
    </w:p>
    <w:p>
      <w:pPr>
        <w:pStyle w:val="BodyText"/>
        <w:bidi w:val="0"/>
        <w:jc w:val="left"/>
        <w:rPr/>
      </w:pPr>
      <w:r>
        <w:rPr/>
        <w:t>This rule is not aspirational; it restates what the existing evidence shows already happens. The commit bodies carry the verification, not just the intent:</w:t>
      </w:r>
    </w:p>
    <w:p>
      <w:pPr>
        <w:pStyle w:val="BodyText"/>
        <w:numPr>
          <w:ilvl w:val="0"/>
          <w:numId w:val="1"/>
        </w:numPr>
        <w:tabs>
          <w:tab w:val="clear" w:pos="1134"/>
          <w:tab w:val="left" w:pos="709" w:leader="none"/>
        </w:tabs>
        <w:bidi w:val="0"/>
        <w:spacing w:before="0" w:after="0"/>
        <w:ind w:hanging="283" w:left="709"/>
        <w:jc w:val="left"/>
        <w:rPr/>
      </w:pPr>
      <w:r>
        <w:rPr>
          <w:rStyle w:val="SourceText"/>
        </w:rPr>
        <w:t>558eaae</w:t>
      </w:r>
      <w:r>
        <w:rPr/>
        <w:t xml:space="preserve"> — diagnoses a wrong internal port, explains why the failure was silent (the exception was swallowed at debug level), and records the verification: "card mode 122 KB WAV, summary mode 541 KB WAV, and through the public site 83 KB WAV (RIFF header confirmed)". </w:t>
      </w:r>
    </w:p>
    <w:p>
      <w:pPr>
        <w:pStyle w:val="BodyText"/>
        <w:numPr>
          <w:ilvl w:val="0"/>
          <w:numId w:val="1"/>
        </w:numPr>
        <w:tabs>
          <w:tab w:val="clear" w:pos="1134"/>
          <w:tab w:val="left" w:pos="709" w:leader="none"/>
        </w:tabs>
        <w:bidi w:val="0"/>
        <w:ind w:hanging="283" w:left="709"/>
        <w:jc w:val="left"/>
        <w:rPr/>
      </w:pPr>
      <w:r>
        <w:rPr>
          <w:rStyle w:val="SourceText"/>
        </w:rPr>
        <w:t>4e27109</w:t>
      </w:r>
      <w:r>
        <w:rPr/>
        <w:t xml:space="preserve"> — states the bypassed predicate, the measured regression (golden eval 50/52 → 42/52), the fix, and the post-fix audit (0/359 out-of-namespace hits; golden eval 49/52). </w:t>
      </w:r>
    </w:p>
    <w:p>
      <w:pPr>
        <w:pStyle w:val="BodyText"/>
        <w:bidi w:val="0"/>
        <w:jc w:val="left"/>
        <w:rPr/>
      </w:pPr>
      <w:r>
        <w:rPr/>
        <w:t xml:space="preserve">Both carry a </w:t>
      </w:r>
      <w:r>
        <w:rPr>
          <w:rStyle w:val="SourceText"/>
        </w:rPr>
        <w:t>Co-Authored-By: Claude</w:t>
      </w:r>
      <w:r>
        <w:rPr/>
        <w:t xml:space="preserve"> trailer. That is the standard: AI assistance plus recorded human verification.</w:t>
      </w:r>
    </w:p>
    <w:p>
      <w:pPr>
        <w:pStyle w:val="BodyText"/>
        <w:bidi w:val="0"/>
        <w:jc w:val="left"/>
        <w:rPr/>
      </w:pPr>
      <w:r>
        <w:rPr>
          <w:rStyle w:val="Strong"/>
        </w:rPr>
        <w:t>Competence implications.</w:t>
      </w:r>
      <w:r>
        <w:rPr/>
        <w:t xml:space="preserve"> Using an AI assistant does not remove the need for competence in the area being changed; it raises it, because the contributor must be able to judge output they did not write. A contributor must not use an AI assistant to work in an area where they could not review the result unaided. Where they must work in such an area, the competence is acquired first, under §5.</w:t>
      </w:r>
    </w:p>
    <w:p>
      <w:pPr>
        <w:pStyle w:val="BodyText"/>
        <w:bidi w:val="0"/>
        <w:jc w:val="left"/>
        <w:rPr/>
      </w:pPr>
      <w:r>
        <w:rPr/>
        <w:t xml:space="preserve">The verification requirement is a mandatory design control and is stated again, with its place in the design process, in </w:t>
      </w:r>
      <w:r>
        <w:rPr>
          <w:rStyle w:val="SourceText"/>
        </w:rPr>
        <w:t>SOP-05</w:t>
      </w:r>
      <w:r>
        <w:rPr/>
        <w:t xml:space="preserve"> §7.</w:t>
      </w:r>
    </w:p>
    <w:p>
      <w:pPr>
        <w:pStyle w:val="Heading2"/>
        <w:bidi w:val="0"/>
        <w:jc w:val="left"/>
        <w:rPr/>
      </w:pPr>
      <w:r>
        <w:rPr/>
        <w:t>8. Organisational knowledge (7.1.6)</w:t>
      </w:r>
    </w:p>
    <w:p>
      <w:pPr>
        <w:pStyle w:val="BodyText"/>
        <w:bidi w:val="0"/>
        <w:jc w:val="left"/>
        <w:rPr/>
      </w:pPr>
      <w:r>
        <w:rPr/>
        <w:t>ISO 9001:2015 7.1.6 requires the organisation to determine the knowledge necessary for the operation of its processes, to maintain it, and to make it available. For Ajace AI this is not a box-ticking clause. It is one of the most serious risks the organisation carries.</w:t>
      </w:r>
    </w:p>
    <w:p>
      <w:pPr>
        <w:pStyle w:val="BodyText"/>
        <w:bidi w:val="0"/>
        <w:jc w:val="left"/>
        <w:rPr/>
      </w:pPr>
      <w:r>
        <w:rPr>
          <w:rStyle w:val="Strong"/>
        </w:rPr>
        <w:t>Knowledge that exists and is written down.</w:t>
      </w:r>
      <w:r>
        <w:rPr/>
        <w:t xml:space="preserve"> The following is real, current and available to anyone with the repository:</w:t>
      </w:r>
    </w:p>
    <w:tbl>
      <w:tblPr>
        <w:tblW w:w="5000" w:type="pct"/>
        <w:jc w:val="left"/>
        <w:tblInd w:w="-7" w:type="dxa"/>
        <w:tblLayout w:type="fixed"/>
        <w:tblCellMar>
          <w:top w:w="60" w:type="dxa"/>
          <w:left w:w="60" w:type="dxa"/>
          <w:bottom w:w="60" w:type="dxa"/>
          <w:right w:w="60" w:type="dxa"/>
        </w:tblCellMar>
      </w:tblPr>
      <w:tblGrid>
        <w:gridCol w:w="4615"/>
        <w:gridCol w:w="5612"/>
        <w:gridCol w:w="1112"/>
      </w:tblGrid>
      <w:tr>
        <w:trPr>
          <w:tblHeader w:val="true"/>
        </w:trPr>
        <w:tc>
          <w:tcPr>
            <w:tcW w:w="461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Knowledge</w:t>
            </w:r>
          </w:p>
        </w:tc>
        <w:tc>
          <w:tcPr>
            <w:tcW w:w="56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is held</w:t>
            </w:r>
          </w:p>
        </w:tc>
        <w:tc>
          <w:tcPr>
            <w:tcW w:w="111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Size</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What the platform is and does</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docs/CAPABILITIES.md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284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Retrieval pipeline end to end</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docs/RAG_FLOW.md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281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Chunking and embedding rationale</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docs/RAG_AND_CHUNKING_EXPLAINED.md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315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Per-message chat path and LLM call accounting</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docs/CHAT_AND_RAG_FLOW.md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273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Session and summary handling</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docs/CHAT_SESSION_AND_SUMMARY_FLOW.md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Conversational AI and wake-word behaviour</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docs/CONVERSATION_AI_AND_WAKE_WORD_FLOW.md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181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Transcript storage</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docs/TRANSCRIPT_STORAGE_FLOW.md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171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Live-transcription WebSocket protocol</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backend/app/transcribe/PROTOCOL.md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43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Self-audit of the RAG pipeline</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docs/RAG_AUDIT.md</w:t>
            </w:r>
            <w:r>
              <w:rPr/>
              <w:t xml:space="preserve"> (dated February 2026)</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183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End-user operation</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docs/USER_MANUAL.md</w:t>
            </w:r>
            <w:r>
              <w:rPr/>
              <w:t>, 16 chapters</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1257 lines</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Offline and public deployment</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OFFLINE_DEPLOYMENT.md</w:t>
            </w:r>
            <w:r>
              <w:rPr/>
              <w:t xml:space="preserve">, </w:t>
            </w:r>
            <w:r>
              <w:rPr>
                <w:rStyle w:val="SourceText"/>
              </w:rPr>
              <w:t>docs/PUBLIC_DEPLOYMENT.md</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461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Why the infrastructure is configured as it is</w:t>
            </w:r>
          </w:p>
        </w:tc>
        <w:tc>
          <w:tcPr>
            <w:tcW w:w="56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Inline comments at </w:t>
            </w:r>
            <w:r>
              <w:rPr>
                <w:rStyle w:val="SourceText"/>
              </w:rPr>
              <w:t>docker-compose.yml:7-11</w:t>
            </w:r>
            <w:r>
              <w:rPr/>
              <w:t xml:space="preserve">, </w:t>
            </w:r>
            <w:r>
              <w:rPr>
                <w:rStyle w:val="SourceText"/>
              </w:rPr>
              <w:t>41-44</w:t>
            </w:r>
            <w:r>
              <w:rPr/>
              <w:t xml:space="preserve">, </w:t>
            </w:r>
            <w:r>
              <w:rPr>
                <w:rStyle w:val="SourceText"/>
              </w:rPr>
              <w:t>69-72</w:t>
            </w:r>
            <w:r>
              <w:rPr/>
              <w:t xml:space="preserve">, </w:t>
            </w:r>
            <w:r>
              <w:rPr>
                <w:rStyle w:val="SourceText"/>
              </w:rPr>
              <w:t>108-112</w:t>
            </w:r>
          </w:p>
        </w:tc>
        <w:tc>
          <w:tcPr>
            <w:tcW w:w="111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461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Why individual changes were made, and how they were verified</w:t>
            </w:r>
          </w:p>
        </w:tc>
        <w:tc>
          <w:tcPr>
            <w:tcW w:w="56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Commit bodies, e.g. </w:t>
            </w:r>
            <w:r>
              <w:rPr>
                <w:rStyle w:val="SourceText"/>
              </w:rPr>
              <w:t>558eaae</w:t>
            </w:r>
            <w:r>
              <w:rPr/>
              <w:t xml:space="preserve">, </w:t>
            </w:r>
            <w:r>
              <w:rPr>
                <w:rStyle w:val="SourceText"/>
              </w:rPr>
              <w:t>4e27109</w:t>
            </w:r>
          </w:p>
        </w:tc>
        <w:tc>
          <w:tcPr>
            <w:tcW w:w="111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 commits</w:t>
            </w:r>
          </w:p>
        </w:tc>
      </w:tr>
    </w:tbl>
    <w:p>
      <w:pPr>
        <w:pStyle w:val="BodyText"/>
        <w:bidi w:val="0"/>
        <w:jc w:val="left"/>
        <w:rPr/>
      </w:pPr>
      <w:r>
        <w:rPr>
          <w:rStyle w:val="Strong"/>
        </w:rPr>
        <w:t>Knowledge that exists only in one person's head.</w:t>
      </w:r>
      <w:r>
        <w:rPr/>
        <w:t xml:space="preserve"> This is the gap, and it is large. The written material above describes </w:t>
      </w:r>
      <w:r>
        <w:rPr>
          <w:rStyle w:val="Emphasis"/>
        </w:rPr>
        <w:t>what the system does</w:t>
      </w:r>
      <w:r>
        <w:rPr/>
        <w:t>. It does not fully capture the operational knowledge needed to keep it running: which failure modes present as which symptoms, which recovery action to take for each, what "normal" looks like on the reference hardware, what has already been tried and rejected for a given problem, and the reasoning behind decisions made before the commit-body discipline was adopted (only 80 of 202 commits use conventional prefixes; the convention was adopted partway through the project's life).</w:t>
      </w:r>
    </w:p>
    <w:p>
      <w:pPr>
        <w:pStyle w:val="BodyText"/>
        <w:bidi w:val="0"/>
        <w:jc w:val="left"/>
        <w:rPr/>
      </w:pPr>
      <w:r>
        <w:rPr>
          <w:rStyle w:val="Strong"/>
        </w:rPr>
        <w:t>Maintaining and making it available.</w:t>
      </w:r>
      <w:r>
        <w:rPr/>
        <w:t xml:space="preserve"> The following are the standing requirements:</w:t>
      </w:r>
    </w:p>
    <w:p>
      <w:pPr>
        <w:pStyle w:val="BodyText"/>
        <w:numPr>
          <w:ilvl w:val="0"/>
          <w:numId w:val="2"/>
        </w:numPr>
        <w:tabs>
          <w:tab w:val="clear" w:pos="1134"/>
          <w:tab w:val="left" w:pos="709" w:leader="none"/>
        </w:tabs>
        <w:bidi w:val="0"/>
        <w:spacing w:before="0" w:after="0"/>
        <w:ind w:hanging="283" w:left="709"/>
        <w:jc w:val="left"/>
        <w:rPr/>
      </w:pPr>
      <w:r>
        <w:rPr/>
        <w:t xml:space="preserve">A change that alters observable behaviour updates the affected document in </w:t>
      </w:r>
      <w:r>
        <w:rPr>
          <w:rStyle w:val="SourceText"/>
        </w:rPr>
        <w:t>docs/</w:t>
      </w:r>
      <w:r>
        <w:rPr/>
        <w:t xml:space="preserve"> in the same commit as the code. </w:t>
      </w:r>
    </w:p>
    <w:p>
      <w:pPr>
        <w:pStyle w:val="BodyText"/>
        <w:numPr>
          <w:ilvl w:val="0"/>
          <w:numId w:val="2"/>
        </w:numPr>
        <w:tabs>
          <w:tab w:val="clear" w:pos="1134"/>
          <w:tab w:val="left" w:pos="709" w:leader="none"/>
        </w:tabs>
        <w:bidi w:val="0"/>
        <w:spacing w:before="0" w:after="0"/>
        <w:ind w:hanging="283" w:left="709"/>
        <w:jc w:val="left"/>
        <w:rPr/>
      </w:pPr>
      <w:r>
        <w:rPr/>
        <w:t xml:space="preserve">A commit body states the rationale and the verification, in the form already demonstrated by </w:t>
      </w:r>
      <w:r>
        <w:rPr>
          <w:rStyle w:val="SourceText"/>
        </w:rPr>
        <w:t>558eaae</w:t>
      </w:r>
      <w:r>
        <w:rPr/>
        <w:t xml:space="preserve"> and </w:t>
      </w:r>
      <w:r>
        <w:rPr>
          <w:rStyle w:val="SourceText"/>
        </w:rPr>
        <w:t>4e27109</w:t>
      </w:r>
      <w:r>
        <w:rPr/>
        <w:t xml:space="preserve">. This is the primary mechanism by which knowledge survives the person. </w:t>
      </w:r>
    </w:p>
    <w:p>
      <w:pPr>
        <w:pStyle w:val="BodyText"/>
        <w:numPr>
          <w:ilvl w:val="0"/>
          <w:numId w:val="2"/>
        </w:numPr>
        <w:tabs>
          <w:tab w:val="clear" w:pos="1134"/>
          <w:tab w:val="left" w:pos="709" w:leader="none"/>
        </w:tabs>
        <w:bidi w:val="0"/>
        <w:spacing w:before="0" w:after="0"/>
        <w:ind w:hanging="283" w:left="709"/>
        <w:jc w:val="left"/>
        <w:rPr/>
      </w:pPr>
      <w:r>
        <w:rPr/>
        <w:t xml:space="preserve">Where a failure mode is diagnosed and recovered, the diagnosis and the recovery are written down — in the relevant document in </w:t>
      </w:r>
      <w:r>
        <w:rPr>
          <w:rStyle w:val="SourceText"/>
        </w:rPr>
        <w:t>docs/</w:t>
      </w:r>
      <w:r>
        <w:rPr/>
        <w:t xml:space="preserve">, not only in the commit — so that a second person could perform the recovery. </w:t>
      </w:r>
    </w:p>
    <w:p>
      <w:pPr>
        <w:pStyle w:val="BodyText"/>
        <w:numPr>
          <w:ilvl w:val="0"/>
          <w:numId w:val="2"/>
        </w:numPr>
        <w:tabs>
          <w:tab w:val="clear" w:pos="1134"/>
          <w:tab w:val="left" w:pos="709" w:leader="none"/>
        </w:tabs>
        <w:bidi w:val="0"/>
        <w:ind w:hanging="283" w:left="709"/>
        <w:jc w:val="left"/>
        <w:rPr/>
      </w:pPr>
      <w:r>
        <w:rPr/>
        <w:t xml:space="preserve">Knowledge needed from outside the organisation (model documentation, NVIDIA platform documentation, the ISO standard text) is identified in </w:t>
      </w:r>
      <w:r>
        <w:rPr>
          <w:rStyle w:val="SourceText"/>
        </w:rPr>
        <w:t>registers/REG-02_External_Documents_and_Providers.md</w:t>
      </w:r>
      <w:r>
        <w:rPr/>
        <w:t xml:space="preserve"> with the version in use. </w:t>
      </w:r>
    </w:p>
    <w:p>
      <w:pPr>
        <w:pStyle w:val="BodyText"/>
        <w:bidi w:val="0"/>
        <w:jc w:val="left"/>
        <w:rPr/>
      </w:pPr>
      <w:r>
        <w:rPr>
          <w:rStyle w:val="Strong"/>
        </w:rPr>
        <w:t>Knowledge required for a change in circumstances</w:t>
      </w:r>
      <w:r>
        <w:rPr/>
        <w:t xml:space="preserve"> (7.1.6, second paragraph) is determined at the same time as the change itself, under </w:t>
      </w:r>
      <w:r>
        <w:rPr>
          <w:rStyle w:val="SourceText"/>
        </w:rPr>
        <w:t>SOP-02</w:t>
      </w:r>
      <w:r>
        <w:rPr/>
        <w:t xml:space="preserve"> §9. The two changes in circumstance that would demand new knowledge immediately are: onboarding a second person, and moving off the GB10 reference platform.</w:t>
      </w:r>
    </w:p>
    <w:p>
      <w:pPr>
        <w:pStyle w:val="Heading2"/>
        <w:bidi w:val="0"/>
        <w:jc w:val="left"/>
        <w:rPr/>
      </w:pPr>
      <w:r>
        <w:rPr/>
        <w:t>9. Records</w:t>
      </w:r>
    </w:p>
    <w:tbl>
      <w:tblPr>
        <w:tblW w:w="5000" w:type="pct"/>
        <w:jc w:val="left"/>
        <w:tblInd w:w="-7" w:type="dxa"/>
        <w:tblLayout w:type="fixed"/>
        <w:tblCellMar>
          <w:top w:w="60" w:type="dxa"/>
          <w:left w:w="60" w:type="dxa"/>
          <w:bottom w:w="60" w:type="dxa"/>
          <w:right w:w="60" w:type="dxa"/>
        </w:tblCellMar>
      </w:tblPr>
      <w:tblGrid>
        <w:gridCol w:w="4240"/>
        <w:gridCol w:w="4201"/>
        <w:gridCol w:w="2898"/>
      </w:tblGrid>
      <w:tr>
        <w:trPr>
          <w:tblHeader w:val="true"/>
        </w:trPr>
        <w:tc>
          <w:tcPr>
            <w:tcW w:w="424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420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Location</w:t>
            </w:r>
          </w:p>
        </w:tc>
        <w:tc>
          <w:tcPr>
            <w:tcW w:w="28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42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Competence matrix (role → competence area → level held → evidence)</w:t>
            </w:r>
          </w:p>
        </w:tc>
        <w:tc>
          <w:tcPr>
            <w:tcW w:w="42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registers/REG-05_Competence_and_Training_Record.md</w:t>
            </w:r>
          </w:p>
        </w:tc>
        <w:tc>
          <w:tcPr>
            <w:tcW w:w="28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Duration of engagement + 3 years (SOP-01 §8)</w:t>
            </w:r>
          </w:p>
        </w:tc>
      </w:tr>
      <w:tr>
        <w:trPr/>
        <w:tc>
          <w:tcPr>
            <w:tcW w:w="42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Training and awareness record</w:t>
            </w:r>
          </w:p>
        </w:tc>
        <w:tc>
          <w:tcPr>
            <w:tcW w:w="42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registers/REG-05_Competence_and_Training_Record.md</w:t>
            </w:r>
          </w:p>
        </w:tc>
        <w:tc>
          <w:tcPr>
            <w:tcW w:w="28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42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 of competence from delivered work</w:t>
            </w:r>
          </w:p>
        </w:tc>
        <w:tc>
          <w:tcPr>
            <w:tcW w:w="42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commit history; </w:t>
            </w:r>
            <w:r>
              <w:rPr>
                <w:rStyle w:val="SourceText"/>
              </w:rPr>
              <w:t>eval/reports/</w:t>
            </w:r>
            <w:r>
              <w:rPr/>
              <w:t xml:space="preserve">; </w:t>
            </w:r>
            <w:r>
              <w:rPr>
                <w:rStyle w:val="SourceText"/>
              </w:rPr>
              <w:t>eval/paper/results/</w:t>
            </w:r>
          </w:p>
        </w:tc>
        <w:tc>
          <w:tcPr>
            <w:tcW w:w="28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Per SOP-01 §8</w:t>
            </w:r>
          </w:p>
        </w:tc>
      </w:tr>
      <w:tr>
        <w:trPr/>
        <w:tc>
          <w:tcPr>
            <w:tcW w:w="42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Induction record (quality policy, this procedure, SOP-01, SOP-05 §7)</w:t>
            </w:r>
          </w:p>
        </w:tc>
        <w:tc>
          <w:tcPr>
            <w:tcW w:w="420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registers/REG-05_Competence_and_Training_Record.md</w:t>
            </w:r>
          </w:p>
        </w:tc>
        <w:tc>
          <w:tcPr>
            <w:tcW w:w="28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424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External knowledge sources in use</w:t>
            </w:r>
          </w:p>
        </w:tc>
        <w:tc>
          <w:tcPr>
            <w:tcW w:w="420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registers/REG-02_External_Documents_and_Providers.md</w:t>
            </w:r>
          </w:p>
        </w:tc>
        <w:tc>
          <w:tcPr>
            <w:tcW w:w="28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Life of the QMS + 3 years</w:t>
            </w:r>
          </w:p>
        </w:tc>
      </w:tr>
    </w:tbl>
    <w:p>
      <w:pPr>
        <w:pStyle w:val="Heading2"/>
        <w:bidi w:val="0"/>
        <w:jc w:val="left"/>
        <w:rPr/>
      </w:pPr>
      <w:r>
        <w:rPr/>
        <w:t>10. Current state and gaps</w:t>
      </w:r>
    </w:p>
    <w:p>
      <w:pPr>
        <w:pStyle w:val="BodyText"/>
        <w:bidi w:val="0"/>
        <w:jc w:val="left"/>
        <w:rPr/>
      </w:pPr>
      <w:r>
        <w:rPr>
          <w:rStyle w:val="Strong"/>
        </w:rPr>
        <w:t>No competence matrix exists.</w:t>
      </w:r>
      <w:r>
        <w:rPr/>
        <w:t xml:space="preserve"> </w:t>
      </w:r>
      <w:r>
        <w:rPr>
          <w:rStyle w:val="SourceText"/>
        </w:rPr>
        <w:t>registers/REG-05_Competence_and_Training_Record.md</w:t>
      </w:r>
      <w:r>
        <w:rPr/>
        <w:t xml:space="preserve"> is created by this QMS and is empty of assessed entries until the Managing Director completes it. The competence areas in §4 are determined from the work in the repository; the assessment of who holds them is not yet made.</w:t>
      </w:r>
    </w:p>
    <w:p>
      <w:pPr>
        <w:pStyle w:val="BodyText"/>
        <w:bidi w:val="0"/>
        <w:jc w:val="left"/>
        <w:rPr/>
      </w:pPr>
      <w:r>
        <w:rPr>
          <w:rStyle w:val="Strong"/>
        </w:rPr>
        <w:t>No training records exist.</w:t>
      </w:r>
      <w:r>
        <w:rPr/>
        <w:t xml:space="preserve"> There is no </w:t>
      </w:r>
      <w:r>
        <w:rPr>
          <w:rStyle w:val="SourceText"/>
        </w:rPr>
        <w:t>registers/REG-05_Competence_and_Training_Record.md</w:t>
      </w:r>
      <w:r>
        <w:rPr/>
        <w:t xml:space="preserve"> content, no certificates referenced anywhere in the repository, and no record of any training having been taken. This does not mean no learning occurred — the repository is evidence that a great deal did — it means none of it was recorded as required by 7.2(d).</w:t>
      </w:r>
    </w:p>
    <w:p>
      <w:pPr>
        <w:pStyle w:val="BodyText"/>
        <w:bidi w:val="0"/>
        <w:jc w:val="left"/>
        <w:rPr/>
      </w:pPr>
      <w:r>
        <w:rPr>
          <w:rStyle w:val="Strong"/>
        </w:rPr>
        <w:t>No induction material exists.</w:t>
      </w:r>
      <w:r>
        <w:rPr/>
        <w:t xml:space="preserve"> There is nothing in the repository that a new contributor could read to be brought up to the required awareness under 7.3. Until one exists, </w:t>
      </w:r>
      <w:r>
        <w:rPr>
          <w:rStyle w:val="SourceText"/>
        </w:rPr>
        <w:t>QP-01</w:t>
      </w:r>
      <w:r>
        <w:rPr/>
        <w:t xml:space="preserve">, this procedure, </w:t>
      </w:r>
      <w:r>
        <w:rPr>
          <w:rStyle w:val="SourceText"/>
        </w:rPr>
        <w:t>SOP-01</w:t>
      </w:r>
      <w:r>
        <w:rPr/>
        <w:t xml:space="preserve"> §9 and </w:t>
      </w:r>
      <w:r>
        <w:rPr>
          <w:rStyle w:val="SourceText"/>
        </w:rPr>
        <w:t>SOP-05</w:t>
      </w:r>
      <w:r>
        <w:rPr/>
        <w:t xml:space="preserve"> §7 are the reading list, and the induction record is a signed entry in the training record.</w:t>
      </w:r>
    </w:p>
    <w:p>
      <w:pPr>
        <w:pStyle w:val="BodyText"/>
        <w:bidi w:val="0"/>
        <w:jc w:val="left"/>
        <w:rPr/>
      </w:pPr>
      <w:r>
        <w:rPr>
          <w:rStyle w:val="Strong"/>
        </w:rPr>
        <w:t>Bus factor is 1.</w:t>
      </w:r>
      <w:r>
        <w:rPr/>
        <w:t xml:space="preserve"> The organisation has one developer, working under two Git identities (</w:t>
      </w:r>
      <w:r>
        <w:rPr>
          <w:rStyle w:val="SourceText"/>
        </w:rPr>
        <w:t>RW2523</w:t>
      </w:r>
      <w:r>
        <w:rPr/>
        <w:t xml:space="preserve"> and </w:t>
      </w:r>
      <w:r>
        <w:rPr>
          <w:rStyle w:val="SourceText"/>
        </w:rPr>
        <w:t>2523</w:t>
      </w:r>
      <w:r>
        <w:rPr/>
        <w:t xml:space="preserve">) with a single email address, across 202 commits from 2026-02-05 to </w:t>
      </w:r>
      <w:r>
        <w:rPr>
          <w:rStyle w:val="SourceText"/>
        </w:rPr>
        <w:t>ff29843</w:t>
      </w:r>
      <w:r>
        <w:rPr/>
        <w:t xml:space="preserve"> on 2026-09-21. Every specialised competence in §4 is held by that one person. There is no second person who could:</w:t>
      </w:r>
    </w:p>
    <w:p>
      <w:pPr>
        <w:pStyle w:val="BodyText"/>
        <w:numPr>
          <w:ilvl w:val="0"/>
          <w:numId w:val="3"/>
        </w:numPr>
        <w:tabs>
          <w:tab w:val="clear" w:pos="1134"/>
          <w:tab w:val="left" w:pos="709" w:leader="none"/>
        </w:tabs>
        <w:bidi w:val="0"/>
        <w:spacing w:before="0" w:after="0"/>
        <w:ind w:hanging="283" w:left="709"/>
        <w:jc w:val="left"/>
        <w:rPr/>
      </w:pPr>
      <w:r>
        <w:rPr/>
        <w:t xml:space="preserve">diagnose a GPU or driver-level failure on the reference hardware; </w:t>
      </w:r>
    </w:p>
    <w:p>
      <w:pPr>
        <w:pStyle w:val="BodyText"/>
        <w:numPr>
          <w:ilvl w:val="0"/>
          <w:numId w:val="3"/>
        </w:numPr>
        <w:tabs>
          <w:tab w:val="clear" w:pos="1134"/>
          <w:tab w:val="left" w:pos="709" w:leader="none"/>
        </w:tabs>
        <w:bidi w:val="0"/>
        <w:spacing w:before="0" w:after="0"/>
        <w:ind w:hanging="283" w:left="709"/>
        <w:jc w:val="left"/>
        <w:rPr/>
      </w:pPr>
      <w:r>
        <w:rPr/>
        <w:t xml:space="preserve">recover a deployment after a model-serving failure; </w:t>
      </w:r>
    </w:p>
    <w:p>
      <w:pPr>
        <w:pStyle w:val="BodyText"/>
        <w:numPr>
          <w:ilvl w:val="0"/>
          <w:numId w:val="3"/>
        </w:numPr>
        <w:tabs>
          <w:tab w:val="clear" w:pos="1134"/>
          <w:tab w:val="left" w:pos="709" w:leader="none"/>
        </w:tabs>
        <w:bidi w:val="0"/>
        <w:spacing w:before="0" w:after="0"/>
        <w:ind w:hanging="283" w:left="709"/>
        <w:jc w:val="left"/>
        <w:rPr/>
      </w:pPr>
      <w:r>
        <w:rPr/>
        <w:t xml:space="preserve">judge whether an AI-generated change is correct; </w:t>
      </w:r>
    </w:p>
    <w:p>
      <w:pPr>
        <w:pStyle w:val="BodyText"/>
        <w:numPr>
          <w:ilvl w:val="0"/>
          <w:numId w:val="3"/>
        </w:numPr>
        <w:tabs>
          <w:tab w:val="clear" w:pos="1134"/>
          <w:tab w:val="left" w:pos="709" w:leader="none"/>
        </w:tabs>
        <w:bidi w:val="0"/>
        <w:ind w:hanging="283" w:left="709"/>
        <w:jc w:val="left"/>
        <w:rPr/>
      </w:pPr>
      <w:r>
        <w:rPr/>
        <w:t xml:space="preserve">continue any customer engagement. </w:t>
      </w:r>
    </w:p>
    <w:p>
      <w:pPr>
        <w:pStyle w:val="BodyText"/>
        <w:bidi w:val="0"/>
        <w:jc w:val="left"/>
        <w:rPr/>
      </w:pPr>
      <w:r>
        <w:rPr/>
        <w:t xml:space="preserve">This is recorded in </w:t>
      </w:r>
      <w:r>
        <w:rPr>
          <w:rStyle w:val="SourceText"/>
        </w:rPr>
        <w:t>registers/REG-03_Risk_Register.md</w:t>
      </w:r>
      <w:r>
        <w:rPr/>
        <w:t xml:space="preserve"> under </w:t>
      </w:r>
      <w:r>
        <w:rPr>
          <w:rStyle w:val="SourceText"/>
        </w:rPr>
        <w:t>SOP-02</w:t>
      </w:r>
      <w:r>
        <w:rPr/>
        <w:t xml:space="preserve"> §7 and is, on that scale, a high-impact risk with no current treatment beyond the written documentation listed in §8.</w:t>
      </w:r>
    </w:p>
    <w:p>
      <w:pPr>
        <w:pStyle w:val="BodyText"/>
        <w:bidi w:val="0"/>
        <w:jc w:val="left"/>
        <w:rPr/>
      </w:pPr>
      <w:r>
        <w:rPr/>
        <w:t xml:space="preserve">The quality policy </w:t>
      </w:r>
      <w:r>
        <w:rPr>
          <w:rStyle w:val="SourceText"/>
        </w:rPr>
        <w:t>QP-01</w:t>
      </w:r>
      <w:r>
        <w:rPr/>
        <w:t xml:space="preserve"> was approved on 2026-10-07. </w:t>
      </w:r>
      <w:r>
        <w:rPr>
          <w:rStyle w:val="Strong"/>
        </w:rPr>
        <w:t>Awareness of the policy is now to be delivered and recorded</w:t>
      </w:r>
      <w:r>
        <w:rPr/>
        <w:t xml:space="preserve"> for each EchoMind role holder (</w:t>
      </w:r>
      <w:r>
        <w:rPr>
          <w:rStyle w:val="SourceText"/>
        </w:rPr>
        <w:t>REG-05</w:t>
      </w:r>
      <w:r>
        <w:rPr/>
        <w:t>).</w:t>
      </w:r>
    </w:p>
    <w:p>
      <w:pPr>
        <w:pStyle w:val="BodyText"/>
        <w:bidi w:val="0"/>
        <w:jc w:val="left"/>
        <w:rPr/>
      </w:pPr>
      <w:r>
        <w:rPr>
          <w:rStyle w:val="Strong"/>
        </w:rPr>
        <w:t>Self-assessment is the only assessment available.</w:t>
      </w:r>
      <w:r>
        <w:rPr/>
        <w:t xml:space="preserve"> With one person, the determination of competence, the judgement that it is sufficient, and the record of it are all made by the same person. An auditor should treat competence evidence here as self-declared and weigh the objective evidence — commit bodies, evaluation results, working deployment — more heavily than the declaration. Ajace AI states this openly rather than presenting the matrix as independently verified.</w:t>
      </w:r>
    </w:p>
    <w:p>
      <w:pPr>
        <w:pStyle w:val="BodyText"/>
        <w:bidi w:val="0"/>
        <w:spacing w:before="0" w:after="283"/>
        <w:jc w:val="left"/>
        <w:rPr/>
      </w:pPr>
      <w:r>
        <w:rPr/>
        <w:t xml:space="preserve">All gaps above are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