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AR-2026-002 — Approval record, revision 1.1 of the review and NFR evidence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451"/>
        <w:gridCol w:w="9888"/>
      </w:tblGrid>
      <w:tr>
        <w:trPr>
          <w:tblHeader w:val="true"/>
        </w:trPr>
        <w:tc>
          <w:tcPr>
            <w:tcW w:w="1451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Field</w:t>
            </w:r>
          </w:p>
        </w:tc>
        <w:tc>
          <w:tcPr>
            <w:tcW w:w="9888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Entry</w:t>
            </w:r>
          </w:p>
        </w:tc>
      </w:tr>
      <w:tr>
        <w:trPr/>
        <w:tc>
          <w:tcPr>
            <w:tcW w:w="145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Record</w:t>
            </w:r>
          </w:p>
        </w:tc>
        <w:tc>
          <w:tcPr>
            <w:tcW w:w="988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AR-2026-002</w:t>
            </w:r>
          </w:p>
        </w:tc>
      </w:tr>
      <w:tr>
        <w:trPr/>
        <w:tc>
          <w:tcPr>
            <w:tcW w:w="145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Organisation</w:t>
            </w:r>
          </w:p>
        </w:tc>
        <w:tc>
          <w:tcPr>
            <w:tcW w:w="988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AJACE Inc. — 14159 Robert Paris Ct., Suite A, Chantilly, VA 20151, USA</w:t>
            </w:r>
          </w:p>
        </w:tc>
      </w:tr>
      <w:tr>
        <w:trPr/>
        <w:tc>
          <w:tcPr>
            <w:tcW w:w="145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Date of approval</w:t>
            </w:r>
          </w:p>
        </w:tc>
        <w:tc>
          <w:tcPr>
            <w:tcW w:w="988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2026-10-10</w:t>
            </w:r>
          </w:p>
        </w:tc>
      </w:tr>
      <w:tr>
        <w:trPr/>
        <w:tc>
          <w:tcPr>
            <w:tcW w:w="145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Prepared by</w:t>
            </w:r>
          </w:p>
        </w:tc>
        <w:tc>
          <w:tcPr>
            <w:tcW w:w="988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Richard Watson Stephen Amudha (Lead Engineer)</w:t>
            </w:r>
          </w:p>
        </w:tc>
      </w:tr>
      <w:tr>
        <w:trPr/>
        <w:tc>
          <w:tcPr>
            <w:tcW w:w="145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Reviewed by</w:t>
            </w:r>
          </w:p>
        </w:tc>
        <w:tc>
          <w:tcPr>
            <w:tcW w:w="988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Alexander Peter (EchoMind Project Lead)</w:t>
            </w:r>
          </w:p>
        </w:tc>
      </w:tr>
      <w:tr>
        <w:trPr/>
        <w:tc>
          <w:tcPr>
            <w:tcW w:w="145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Quality assurance</w:t>
            </w:r>
          </w:p>
        </w:tc>
        <w:tc>
          <w:tcPr>
            <w:tcW w:w="988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Sheryl Nazareth (QA / Management Representative)</w:t>
            </w:r>
          </w:p>
        </w:tc>
      </w:tr>
      <w:tr>
        <w:trPr/>
        <w:tc>
          <w:tcPr>
            <w:tcW w:w="145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Approved by</w:t>
            </w:r>
          </w:p>
        </w:tc>
        <w:tc>
          <w:tcPr>
            <w:tcW w:w="988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Anita Johan (Managing Director)</w:t>
            </w:r>
          </w:p>
        </w:tc>
      </w:tr>
      <w:tr>
        <w:trPr/>
        <w:tc>
          <w:tcPr>
            <w:tcW w:w="145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Basis</w:t>
            </w:r>
          </w:p>
        </w:tc>
        <w:tc>
          <w:tcPr>
            <w:tcW w:w="988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Review and approval of revision 1.1 confirmed by the role holders to the preparer on 2026-10-10. Written confirmations (e-mail / Teams) are filed with this record by the QA/MR.</w:t>
            </w:r>
          </w:p>
        </w:tc>
      </w:tr>
      <w:tr>
        <w:trPr/>
        <w:tc>
          <w:tcPr>
            <w:tcW w:w="1451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Previous approval</w:t>
            </w:r>
          </w:p>
        </w:tc>
        <w:tc>
          <w:tcPr>
            <w:tcW w:w="9888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AR-2026-001 (2026-10-07) — revision 1.0 of the same documents</w:t>
            </w:r>
          </w:p>
        </w:tc>
      </w:tr>
    </w:tbl>
    <w:p>
      <w:pPr>
        <w:pStyle w:val="Heading2"/>
        <w:bidi w:val="0"/>
        <w:jc w:val="left"/>
        <w:rPr/>
      </w:pPr>
      <w:r>
        <w:rPr/>
        <w:t>What changed and was approved</w:t>
      </w:r>
    </w:p>
    <w:p>
      <w:pPr>
        <w:pStyle w:val="BodyText"/>
        <w:bidi w:val="0"/>
        <w:jc w:val="left"/>
        <w:rPr/>
      </w:pPr>
      <w:r>
        <w:rPr/>
        <w:t>The project history 2025 → 2026 and the client and design reviews behind the 2026 deliverables were added to the review evidence (source: the EchoMind team's account, dated by the commit record; where a remembered month differed from the commits, the commit date was used).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271"/>
        <w:gridCol w:w="2291"/>
        <w:gridCol w:w="891"/>
        <w:gridCol w:w="4748"/>
        <w:gridCol w:w="2138"/>
      </w:tblGrid>
      <w:tr>
        <w:trPr>
          <w:tblHeader w:val="true"/>
        </w:trPr>
        <w:tc>
          <w:tcPr>
            <w:tcW w:w="1271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Document</w:t>
            </w:r>
          </w:p>
        </w:tc>
        <w:tc>
          <w:tcPr>
            <w:tcW w:w="2291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Title</w:t>
            </w:r>
          </w:p>
        </w:tc>
        <w:tc>
          <w:tcPr>
            <w:tcW w:w="891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Revision</w:t>
            </w:r>
          </w:p>
        </w:tc>
        <w:tc>
          <w:tcPr>
            <w:tcW w:w="4748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Change</w:t>
            </w:r>
          </w:p>
        </w:tc>
        <w:tc>
          <w:tcPr>
            <w:tcW w:w="2138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/>
            </w:pPr>
            <w:r>
              <w:rPr>
                <w:color w:val="FFFFFF"/>
              </w:rPr>
              <w:t>Location (</w:t>
            </w:r>
            <w:r>
              <w:rPr>
                <w:rStyle w:val="SourceText"/>
                <w:color w:val="FFFFFF"/>
              </w:rPr>
              <w:t>docs/qms/</w:t>
            </w:r>
            <w:r>
              <w:rPr>
                <w:color w:val="FFFFFF"/>
              </w:rPr>
              <w:t>)</w:t>
            </w:r>
          </w:p>
        </w:tc>
      </w:tr>
      <w:tr>
        <w:trPr/>
        <w:tc>
          <w:tcPr>
            <w:tcW w:w="127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EM26-18</w:t>
            </w:r>
          </w:p>
        </w:tc>
        <w:tc>
          <w:tcPr>
            <w:tcW w:w="229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Deliverable Review Feedback and Action Log</w:t>
            </w:r>
          </w:p>
        </w:tc>
        <w:tc>
          <w:tcPr>
            <w:tcW w:w="89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1.1</w:t>
            </w:r>
          </w:p>
        </w:tc>
        <w:tc>
          <w:tcPr>
            <w:tcW w:w="474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Project history 2025–2026; client and design reviews CR-2026-01…09 with actions AC-20…34 (17 reviews, 55 actions, 48 closed in total)</w:t>
            </w:r>
          </w:p>
        </w:tc>
        <w:tc>
          <w:tcPr>
            <w:tcW w:w="213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evidence-2026/18_Review_Actions/</w:t>
            </w:r>
          </w:p>
        </w:tc>
      </w:tr>
      <w:tr>
        <w:trPr/>
        <w:tc>
          <w:tcPr>
            <w:tcW w:w="127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EM26-17</w:t>
            </w:r>
          </w:p>
        </w:tc>
        <w:tc>
          <w:tcPr>
            <w:tcW w:w="229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Non-Functional Requirements Record and Monitoring</w:t>
            </w:r>
          </w:p>
        </w:tc>
        <w:tc>
          <w:tcPr>
            <w:tcW w:w="89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1.1</w:t>
            </w:r>
          </w:p>
        </w:tc>
        <w:tc>
          <w:tcPr>
            <w:tcW w:w="474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Voice options corrected (Kyutai Unmute, NVIDIA PersonaPlex, with the client feedback on each); DoD FMR knowledge base and field-deployment rows</w:t>
            </w:r>
          </w:p>
        </w:tc>
        <w:tc>
          <w:tcPr>
            <w:tcW w:w="213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evidence-2026/17_NFR_Register/</w:t>
            </w:r>
          </w:p>
        </w:tc>
      </w:tr>
      <w:tr>
        <w:trPr/>
        <w:tc>
          <w:tcPr>
            <w:tcW w:w="127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EM26-00</w:t>
            </w:r>
          </w:p>
        </w:tc>
        <w:tc>
          <w:tcPr>
            <w:tcW w:w="229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ISO 9001:2015 Audit Package</w:t>
            </w:r>
          </w:p>
        </w:tc>
        <w:tc>
          <w:tcPr>
            <w:tcW w:w="89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1.1</w:t>
            </w:r>
          </w:p>
        </w:tc>
        <w:tc>
          <w:tcPr>
            <w:tcW w:w="474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Status of 2025 findings #6 and #7 and review counts updated</w:t>
            </w:r>
          </w:p>
        </w:tc>
        <w:tc>
          <w:tcPr>
            <w:tcW w:w="213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evidence-2026/00_Overview_and_Map/</w:t>
            </w:r>
          </w:p>
        </w:tc>
      </w:tr>
      <w:tr>
        <w:trPr/>
        <w:tc>
          <w:tcPr>
            <w:tcW w:w="127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EM26-12</w:t>
            </w:r>
          </w:p>
        </w:tc>
        <w:tc>
          <w:tcPr>
            <w:tcW w:w="229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Scheduling Review</w:t>
            </w:r>
          </w:p>
        </w:tc>
        <w:tc>
          <w:tcPr>
            <w:tcW w:w="89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1.1</w:t>
            </w:r>
          </w:p>
        </w:tc>
        <w:tc>
          <w:tcPr>
            <w:tcW w:w="474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Project history 2026-01 → 06 added to the milestones; open actions given owners and dates</w:t>
            </w:r>
          </w:p>
        </w:tc>
        <w:tc>
          <w:tcPr>
            <w:tcW w:w="213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evidence-2026/12_Scheduling_Review/</w:t>
            </w:r>
          </w:p>
        </w:tc>
      </w:tr>
      <w:tr>
        <w:trPr/>
        <w:tc>
          <w:tcPr>
            <w:tcW w:w="1271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EM26-16 / EM26-16b</w:t>
            </w:r>
          </w:p>
        </w:tc>
        <w:tc>
          <w:tcPr>
            <w:tcW w:w="2291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Lessons Learnt / Lessons Learnt Logbook</w:t>
            </w:r>
          </w:p>
        </w:tc>
        <w:tc>
          <w:tcPr>
            <w:tcW w:w="891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1.1</w:t>
            </w:r>
          </w:p>
        </w:tc>
        <w:tc>
          <w:tcPr>
            <w:tcW w:w="4748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Lessons LL-2026-15…17 from client and design reviews</w:t>
            </w:r>
          </w:p>
        </w:tc>
        <w:tc>
          <w:tcPr>
            <w:tcW w:w="2138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evidence-2026/16_Lessons_Learnt/</w:t>
            </w:r>
          </w:p>
        </w:tc>
      </w:tr>
    </w:tbl>
    <w:p>
      <w:pPr>
        <w:pStyle w:val="Heading2"/>
        <w:bidi w:val="0"/>
        <w:jc w:val="left"/>
        <w:rPr/>
      </w:pPr>
      <w:r>
        <w:rPr/>
        <w:t>Register entries and figures reviewed with it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3063"/>
        <w:gridCol w:w="4797"/>
        <w:gridCol w:w="3479"/>
      </w:tblGrid>
      <w:tr>
        <w:trPr>
          <w:tblHeader w:val="true"/>
        </w:trPr>
        <w:tc>
          <w:tcPr>
            <w:tcW w:w="3063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Item</w:t>
            </w:r>
          </w:p>
        </w:tc>
        <w:tc>
          <w:tcPr>
            <w:tcW w:w="4797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Change</w:t>
            </w:r>
          </w:p>
        </w:tc>
        <w:tc>
          <w:tcPr>
            <w:tcW w:w="3479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Location</w:t>
            </w:r>
          </w:p>
        </w:tc>
      </w:tr>
      <w:tr>
        <w:trPr/>
        <w:tc>
          <w:tcPr>
            <w:tcW w:w="3063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REG-10 §3b</w:t>
            </w:r>
          </w:p>
        </w:tc>
        <w:tc>
          <w:tcPr>
            <w:tcW w:w="479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Client and design reviews CR-2026-01…09 entered (live register)</w:t>
            </w:r>
          </w:p>
        </w:tc>
        <w:tc>
          <w:tcPr>
            <w:tcW w:w="347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registers/REG-10_Review_Feedback_Action_Log.md</w:t>
            </w:r>
          </w:p>
        </w:tc>
      </w:tr>
      <w:tr>
        <w:trPr/>
        <w:tc>
          <w:tcPr>
            <w:tcW w:w="3063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QM-01 §14, ISO9001_Gap_Analysis 8.3.4 / G-16, REG-01</w:t>
            </w:r>
          </w:p>
        </w:tc>
        <w:tc>
          <w:tcPr>
            <w:tcW w:w="4797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Review and action counts updated to 17 / 55 / 48 — figures only, no change to requirements</w:t>
            </w:r>
          </w:p>
        </w:tc>
        <w:tc>
          <w:tcPr>
            <w:tcW w:w="3479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as named</w:t>
            </w:r>
          </w:p>
        </w:tc>
      </w:tr>
    </w:tbl>
    <w:p>
      <w:pPr>
        <w:pStyle w:val="Heading2"/>
        <w:bidi w:val="0"/>
        <w:jc w:val="left"/>
        <w:rPr/>
      </w:pPr>
      <w:r>
        <w:rPr/>
        <w:t>Client names</w:t>
      </w:r>
    </w:p>
    <w:p>
      <w:pPr>
        <w:pStyle w:val="BodyText"/>
        <w:bidi w:val="0"/>
        <w:jc w:val="left"/>
        <w:rPr/>
      </w:pPr>
      <w:r>
        <w:rPr/>
        <w:t>Clients appear as Client A–D in the repository. The controlled copy of EM26-17 and EM26-18 given to the auditor carries the client names; it is held by the EchoMind Project Lead and is not published.</w:t>
      </w:r>
    </w:p>
    <w:p>
      <w:pPr>
        <w:pStyle w:val="Heading2"/>
        <w:bidi w:val="0"/>
        <w:jc w:val="left"/>
        <w:rPr/>
      </w:pPr>
      <w:r>
        <w:rPr/>
        <w:t>Written confirmations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094"/>
        <w:gridCol w:w="7244"/>
      </w:tblGrid>
      <w:tr>
        <w:trPr>
          <w:tblHeader w:val="true"/>
        </w:trPr>
        <w:tc>
          <w:tcPr>
            <w:tcW w:w="4094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Role holder</w:t>
            </w:r>
          </w:p>
        </w:tc>
        <w:tc>
          <w:tcPr>
            <w:tcW w:w="7244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Confirmation (date, channel, reference)</w:t>
            </w:r>
          </w:p>
        </w:tc>
      </w:tr>
      <w:tr>
        <w:trPr/>
        <w:tc>
          <w:tcPr>
            <w:tcW w:w="409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Alexander Peter — review</w:t>
            </w:r>
          </w:p>
        </w:tc>
        <w:tc>
          <w:tcPr>
            <w:tcW w:w="724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Confirmed 2026-10-10 (to be filed by the QA/MR)</w:t>
            </w:r>
          </w:p>
        </w:tc>
      </w:tr>
      <w:tr>
        <w:trPr/>
        <w:tc>
          <w:tcPr>
            <w:tcW w:w="409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Sheryl Nazareth — QA</w:t>
            </w:r>
          </w:p>
        </w:tc>
        <w:tc>
          <w:tcPr>
            <w:tcW w:w="724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Confirmed 2026-10-10 (to be filed by the QA/MR)</w:t>
            </w:r>
          </w:p>
        </w:tc>
      </w:tr>
      <w:tr>
        <w:trPr/>
        <w:tc>
          <w:tcPr>
            <w:tcW w:w="4094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Anita Johan — approval</w:t>
            </w:r>
          </w:p>
        </w:tc>
        <w:tc>
          <w:tcPr>
            <w:tcW w:w="7244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Confirmed 2026-10-10 (to be filed by the QA/MR)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Arial"/>
    <w:charset w:val="01"/>
    <w:family w:val="auto"/>
    <w:pitch w:val="default"/>
  </w:font>
  <w:font w:name="Noto Sans">
    <w:charset w:val="01"/>
    <w:family w:val="auto"/>
    <w:pitch w:val="variable"/>
  </w:font>
  <w:font w:name="Consolas"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;Arial" w:hAnsi="Calibri;Arial" w:eastAsia="Calibri;Arial" w:cs="Calibri;Arial"/>
      <w:color w:val="auto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color w:val="1F3A5F"/>
      <w:sz w:val="48"/>
      <w:szCs w:val="44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nsolas" w:hAnsi="Consolas" w:eastAsia="Consolas" w:cs="Consolas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>
      <w:sz w:val="18"/>
      <w:szCs w:val="18"/>
    </w:rPr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BodyText"/>
    <w:pPr/>
    <w:rPr>
      <w:rFonts w:cs="Lohit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shd w:fill="1F3A5F" w:val="clear"/>
      <w:jc w:val="center"/>
    </w:pPr>
    <w:rPr>
      <w:b/>
      <w:bCs/>
      <w:color w:val="FFFFFF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LibreOffice/24.2.7.2$Linux_AARCH64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