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EchoMind Enterprise – Privacy, Security &amp; Compliance Overview</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EM26-01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 Privacy, Security &amp; Compliance Overview</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2026-10-07 (AR-2026-001)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Product / area</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(repository RW2523/echomind-enterprise)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2026-10-07</w:t>
            </w:r>
          </w:p>
        </w:tc>
      </w:tr>
    </w:tbl>
    <w:p>
      <w:pPr>
        <w:pStyle w:val="Heading1"/>
      </w:pPr>
      <w:r>
        <w:t xml:space="preserve">Purpose</w:t>
      </w:r>
    </w:p>
    <w:p>
      <w:pPr>
        <w:spacing w:after="100"/>
      </w:pPr>
      <w:r>
        <w:t xml:space="preserve">Describe, accurately and as of 2026-10-06, how EchoMind Enterprise protects customer data — the 2026 counterpart of the 2025 overview prepared for a university pilot customer. Each area lists what is in place and what is not.</w:t>
      </w:r>
    </w:p>
    <w:p>
      <w:pPr>
        <w:pBdr>
          <w:left w:val="single" w:color="E0A800" w:sz="18" w:space="8"/>
        </w:pBdr>
        <w:shd w:fill="FFF8E1" w:color="auto" w:val="clear"/>
        <w:spacing w:after="160" w:before="120"/>
      </w:pPr>
      <w:r>
        <w:rPr>
          <w:sz w:val="19"/>
          <w:szCs w:val="19"/>
        </w:rPr>
        <w:t xml:space="preserve">Sources: SOP-11, REG-03, REG-04 and the tests executed on 2026-10-06. This is not a certification or attestation.</w:t>
      </w:r>
    </w:p>
    <w:p>
      <w:pPr>
        <w:pStyle w:val="Heading1"/>
      </w:pPr>
      <w:r>
        <w:t xml:space="preserve">Controls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Area</w:t>
            </w:r>
          </w:p>
        </w:tc>
        <w:tc>
          <w:tcPr>
            <w:tcW w:type="dxa" w:w="40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In place</w:t>
            </w:r>
          </w:p>
        </w:tc>
        <w:tc>
          <w:tcPr>
            <w:tcW w:type="dxa" w:w="33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Not in place / open</w:t>
            </w:r>
          </w:p>
        </w:tc>
      </w:tr>
      <w:t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protection &amp; privacy</w:t>
            </w:r>
          </w:p>
        </w:tc>
        <w:tc>
          <w:tcPr>
            <w:tcW w:type="dxa" w:w="4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All models served locally; no third-party AI APIs; no telemetry. Customer data stays on the customer's host (</w:t>
            </w:r>
            <w:r>
              <w:rPr>
                <w:rFonts w:ascii="Consolas" w:cs="Consolas" w:eastAsia="Consolas" w:hAnsi="Consolas"/>
                <w:b w:val="false"/>
                <w:bCs w:val="false"/>
                <w:color w:val="222222"/>
                <w:sz w:val="15"/>
                <w:szCs w:val="15"/>
              </w:rPr>
              <w:t xml:space="preserve">echomind_data</w:t>
            </w:r>
            <w:r>
              <w:rPr>
                <w:b w:val="false"/>
                <w:bCs w:val="false"/>
                <w:color w:val="222222"/>
                <w:sz w:val="17"/>
                <w:szCs w:val="17"/>
              </w:rPr>
              <w:t xml:space="preserve"> volume).</w:t>
            </w:r>
          </w:p>
        </w:tc>
        <w:tc>
          <w:tcPr>
            <w:tcW w:type="dxa" w:w="3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 encryption at rest; no data-retention policy (R-06, R-13).</w:t>
            </w:r>
          </w:p>
        </w:tc>
      </w:tr>
      <w:t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Network security</w:t>
            </w:r>
          </w:p>
        </w:tc>
        <w:tc>
          <w:tcPr>
            <w:tcW w:type="dxa" w:w="4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Run-time offline (HF_HUB_OFFLINE=1). Public reference instance reached only through a Cloudflare Tunnel (no inbound ports).</w:t>
            </w:r>
          </w:p>
        </w:tc>
        <w:tc>
          <w:tcPr>
            <w:tcW w:type="dxa" w:w="3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CORS default </w:t>
            </w:r>
            <w:r>
              <w:rPr>
                <w:rFonts w:ascii="Consolas" w:cs="Consolas" w:eastAsia="Consolas" w:hAnsi="Consolas"/>
                <w:b w:val="false"/>
                <w:bCs w:val="false"/>
                <w:color w:val="222222"/>
                <w:sz w:val="15"/>
                <w:szCs w:val="15"/>
              </w:rPr>
              <w:t xml:space="preserve">*</w:t>
            </w:r>
            <w:r>
              <w:rPr>
                <w:b w:val="false"/>
                <w:bCs w:val="false"/>
                <w:color w:val="222222"/>
                <w:sz w:val="17"/>
                <w:szCs w:val="17"/>
              </w:rPr>
              <w:t xml:space="preserve">; rate limiting off by default.</w:t>
            </w:r>
          </w:p>
        </w:tc>
      </w:tr>
      <w:t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Application security</w:t>
            </w:r>
          </w:p>
        </w:tc>
        <w:tc>
          <w:tcPr>
            <w:tcW w:type="dxa" w:w="4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Prompt-injection guards in all LLM prompts; PBKDF2-HMAC-SHA256 (200k) password hashing; export gateway for PII/secrets.</w:t>
            </w:r>
          </w:p>
        </w:tc>
        <w:tc>
          <w:tcPr>
            <w:tcW w:type="dxa" w:w="3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Fixed 2026-10-06: export key formats (NC-2026-015) and upload allow-list (NC-2026-013) — verified in run 4.</w:t>
            </w:r>
          </w:p>
        </w:tc>
      </w:tr>
      <w:t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Access control &amp; authentication</w:t>
            </w:r>
          </w:p>
        </w:tc>
        <w:tc>
          <w:tcPr>
            <w:tcW w:type="dxa" w:w="4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Local accounts + JWT; RBAC (admin/user); voice WebSocket gated; login enabled on the reference instance since 2026-10-06 (verified externally).</w:t>
            </w:r>
          </w:p>
        </w:tc>
        <w:tc>
          <w:tcPr>
            <w:tcW w:type="dxa" w:w="3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Auth off by default for new deployments; backend WebSockets outside the HTTP guard (D3). Logout revocation fixed 2026-10-06 (NC-2026-012).</w:t>
            </w:r>
          </w:p>
        </w:tc>
      </w:tr>
      <w:t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Logging, monitoring &amp; incident response</w:t>
            </w:r>
          </w:p>
        </w:tc>
        <w:tc>
          <w:tcPr>
            <w:tcW w:type="dxa" w:w="4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Activity log (user, path, status, IP); bounded container logs; incidents handled under SOP-10 and REG-04.</w:t>
            </w:r>
          </w:p>
        </w:tc>
        <w:tc>
          <w:tcPr>
            <w:tcW w:type="dxa" w:w="3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Activity logging is best-effort; no external uptime/gate monitoring yet.</w:t>
            </w:r>
          </w:p>
        </w:tc>
      </w:tr>
      <w:t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Physical &amp; environmental</w:t>
            </w:r>
          </w:p>
        </w:tc>
        <w:tc>
          <w:tcPr>
            <w:tcW w:type="dxa" w:w="4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On-premises deployment: physical security is the customer's (reference instance: NVIDIA DGX Spark at Ajace).</w:t>
            </w:r>
          </w:p>
        </w:tc>
        <w:tc>
          <w:tcPr>
            <w:tcW w:type="dxa" w:w="3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r>
      <w:t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Backup &amp; disaster recovery</w:t>
            </w:r>
          </w:p>
        </w:tc>
        <w:tc>
          <w:tcPr>
            <w:tcW w:type="dxa" w:w="4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Backup/restore scripts; restore verified 2026-09-22; archive checksum verified 2026-10-06.</w:t>
            </w:r>
          </w:p>
        </w:tc>
        <w:tc>
          <w:tcPr>
            <w:tcW w:type="dxa" w:w="3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Nightly off-host schedule built but not installed; last backup 2026-09-22.</w:t>
            </w:r>
          </w:p>
        </w:tc>
      </w:tr>
      <w:t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Compliance &amp; policies</w:t>
            </w:r>
          </w:p>
        </w:tc>
        <w:tc>
          <w:tcPr>
            <w:tcW w:type="dxa" w:w="4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 9001 QMS documented and approved 2026-10-07 (docs/qms, AR-2026-001); defects and CAPA logged (REG-04).</w:t>
            </w:r>
          </w:p>
        </w:tc>
        <w:tc>
          <w:tcPr>
            <w:tcW w:type="dxa" w:w="3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 SOC 2 / HIPAA certification claimed; model licences unverified (C1–C3).</w:t>
            </w:r>
          </w:p>
        </w:tc>
      </w:tr>
    </w:tbl>
    <w:p>
      <w:pPr>
        <w:spacing w:after="120"/>
      </w:pPr>
    </w:p>
    <w:p>
      <w:pPr>
        <w:pStyle w:val="Heading1"/>
      </w:pPr>
      <w:r>
        <w:t xml:space="preserve">Data privacy and PII statement</w:t>
      </w:r>
    </w:p>
    <w:p>
      <w:pPr>
        <w:spacing w:after="100"/>
      </w:pPr>
      <w:r>
        <w:t xml:space="preserve">EchoMind Enterprise processes documents, transcripts, audio and chat messages supplied by the customer, entirely on the customer's hardware. Ajace AI does not receive this data. Retention periods are not yet defined (decision B3).</w:t>
      </w:r>
    </w:p>
    <w:p>
      <w:pPr>
        <w:pStyle w:val="Heading1"/>
      </w:pPr>
      <w:r>
        <w:t xml:space="preserve">Verification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500"/>
        <w:gridCol w:w="1660"/>
      </w:tblGrid>
      <w:tr>
        <w:trPr>
          <w:tblHeader/>
        </w:trPr>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16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bl>
    <w:p>
      <w:pPr>
        <w:spacing w:after="100"/>
        <w:rPr>
          <w:i/>
          <w:iCs/>
          <w:color w:val="555555"/>
          <w:sz w:val="17"/>
          <w:szCs w:val="17"/>
        </w:rPr>
      </w:pPr>
      <w:r>
        <w:rPr>
          <w:i/>
          <w:iCs/>
          <w:color w:val="555555"/>
          <w:sz w:val="17"/>
          <w:szCs w:val="17"/>
        </w:rPr>
        <w:t xml:space="preserve">Signatures are the typed names of the role holders. Review and approval were confirmed by each of them on 2026-10-07 and are recorded in docs/qms/records/approvals/2026-10-07_AR-2026-001_document_approval.md (SOP-01 §6).</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EchoMind Enterprise – Privacy, Security &amp; Compliance Overview</dc:title>
  <dc:creator>Ajace Inc. — EchoMind QMS</dc:creator>
  <cp:lastModifiedBy>Un-named</cp:lastModifiedBy>
  <cp:revision>1</cp:revision>
  <dcterms:created xsi:type="dcterms:W3CDTF">2026-10-10T18:45:43.359Z</dcterms:created>
  <dcterms:modified xsi:type="dcterms:W3CDTF">2026-10-10T18:45:43.359Z</dcterms:modified>
</cp:coreProperties>
</file>

<file path=docProps/custom.xml><?xml version="1.0" encoding="utf-8"?>
<Properties xmlns="http://schemas.openxmlformats.org/officeDocument/2006/custom-properties" xmlns:vt="http://schemas.openxmlformats.org/officeDocument/2006/docPropsVTypes"/>
</file>