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6B7A90"/>
          <w:sz w:val="16"/>
          <w:szCs w:val="16"/>
        </w:rPr>
        <w:t xml:space="preserve">AJACE INC.  ·  ECHOMIND ENTERPRISE  ·  ISO 9001:2015 EVIDENCE</w:t>
      </w:r>
    </w:p>
    <w:p>
      <w:pPr>
        <w:pStyle w:val="Title"/>
        <w:pBdr>
          <w:bottom w:val="single" w:color="1F3A5F" w:sz="12" w:space="6"/>
        </w:pBdr>
        <w:spacing w:after="120"/>
      </w:pPr>
      <w:r>
        <w:rPr>
          <w:rFonts w:ascii="Calibri" w:cs="Calibri" w:eastAsia="Calibri" w:hAnsi="Calibri"/>
          <w:b/>
          <w:bCs/>
          <w:color w:val="1F3A5F"/>
          <w:sz w:val="34"/>
          <w:szCs w:val="34"/>
        </w:rPr>
        <w:t xml:space="preserve">EchoMind Test Case – TC-EM-DGEN-110: Document Studio availability (smoke)</w:t>
      </w:r>
    </w:p>
    <w:p>
      <w:pPr>
        <w:pStyle w:val="Heading1"/>
      </w:pPr>
      <w:r>
        <w:t xml:space="preserve">Document control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Field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Value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Document ID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TC-EM-DGEN-110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Title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EchoMind Test Case – TC-EM-DGEN-110: Document Studio availability (smoke)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Version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1.0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Date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Status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EXECUTED — record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Product / area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EchoMind Enterprise (repository RW2523/echomind-enterprise)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Executed (initial)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 21:35:18 UTC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Initial result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Re-test (v1.4.1)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 22:28:52 UTC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Final result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Prepared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Richard Watson Stephen Amudha (Lead Engineer)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Reviewed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Alexander Peter (EchoMind Project Lead)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Quality assurance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Sheryl Nazareth (QA / MR)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Approved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Anita Johan (Managing Director) — 2026-10-07</w:t>
            </w:r>
          </w:p>
        </w:tc>
      </w:tr>
    </w:tbl>
    <w:p>
      <w:pPr>
        <w:pStyle w:val="Heading1"/>
      </w:pPr>
      <w:r>
        <w:t xml:space="preserve">Objective</w:t>
      </w:r>
    </w:p>
    <w:p>
      <w:pPr>
        <w:spacing w:after="100"/>
      </w:pPr>
      <w:r>
        <w:t xml:space="preserve">Smoke test: Document Studio templates and the on-device image generator are available.</w:t>
      </w:r>
    </w:p>
    <w:p>
      <w:pPr>
        <w:pStyle w:val="Heading1"/>
      </w:pPr>
      <w:r>
        <w:t xml:space="preserve">Preconditions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User authenticated.</w:t>
      </w:r>
    </w:p>
    <w:p>
      <w:pPr>
        <w:pStyle w:val="Heading1"/>
      </w:pPr>
      <w:r>
        <w:t xml:space="preserve">Test data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GET /api/docgen/templates; GET /api/docgen/image-status.</w:t>
      </w:r>
    </w:p>
    <w:p>
      <w:pPr>
        <w:pStyle w:val="Heading1"/>
      </w:pPr>
      <w:r>
        <w:t xml:space="preserve">Main flow and execution record</w:t>
      </w:r>
    </w:p>
    <w:p>
      <w:pPr>
        <w:spacing w:after="100"/>
      </w:pPr>
      <w:r>
        <w:t xml:space="preserve">Executed 2026-10-06 21:35:18 UTC by an automated run (</w:t>
      </w:r>
      <w:r>
        <w:rPr>
          <w:rFonts w:ascii="Consolas" w:cs="Consolas" w:eastAsia="Consolas" w:hAnsi="Consolas"/>
          <w:sz w:val="19"/>
          <w:szCs w:val="19"/>
        </w:rPr>
        <w:t xml:space="preserve">run_tests.py</w:t>
      </w:r>
      <w:r>
        <w:t xml:space="preserve">) against the reference instance; responsible tester: Richard Watson Stephen Amudha (Lead Engineer); results reviewed by Alexander Peter (EchoMind Project Lead).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900"/>
        <w:gridCol w:w="1900"/>
        <w:gridCol w:w="3460"/>
        <w:gridCol w:w="1200"/>
      </w:tblGrid>
      <w:tr>
        <w:trPr>
          <w:tblHeader/>
        </w:trP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Step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Action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Expected</w:t>
            </w:r>
          </w:p>
        </w:tc>
        <w:tc>
          <w:tcPr>
            <w:tcW w:type="dxa" w:w="34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Actual (as observed)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Result</w:t>
            </w:r>
          </w:p>
        </w:tc>
      </w:tr>
      <w:t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DGEN-110.1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List document templates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Templates returned</w:t>
            </w:r>
          </w:p>
        </w:tc>
        <w:tc>
          <w:tcPr>
            <w:tcW w:type="dxa" w:w="34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HTTP 200; 25 templates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DGEN-110.2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Query on-device image generator status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Status returned</w:t>
            </w:r>
          </w:p>
        </w:tc>
        <w:tc>
          <w:tcPr>
            <w:tcW w:type="dxa" w:w="34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HTTP 200; {'backend': 'diffusers', 'enabled': True, 'mode': 'on-device', 'model': 'stabilityai/sdxl-turbo'}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Re-test on release v1.4.1 (run 4)</w:t>
      </w:r>
    </w:p>
    <w:p>
      <w:pPr>
        <w:spacing w:after="100"/>
      </w:pPr>
      <w:r>
        <w:t xml:space="preserve">Executed 2026-10-06 22:28:52 UTC after the defect corrections and release v1.4.1. Earlier re-tests (runs 2 and 3) are retained in </w:t>
      </w:r>
      <w:r>
        <w:rPr>
          <w:rFonts w:ascii="Consolas" w:cs="Consolas" w:eastAsia="Consolas" w:hAnsi="Consolas"/>
          <w:sz w:val="19"/>
          <w:szCs w:val="19"/>
        </w:rPr>
        <w:t xml:space="preserve">Execution_Records/</w:t>
      </w:r>
      <w: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060"/>
        <w:gridCol w:w="1200"/>
      </w:tblGrid>
      <w:tr>
        <w:trPr>
          <w:tblHeader/>
        </w:trPr>
        <w:tc>
          <w:tcPr>
            <w:tcW w:type="dxa" w:w="1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Step</w:t>
            </w:r>
          </w:p>
        </w:tc>
        <w:tc>
          <w:tcPr>
            <w:tcW w:type="dxa" w:w="70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Actual (as observed)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Result</w:t>
            </w:r>
          </w:p>
        </w:tc>
      </w:tr>
      <w:tr>
        <w:tc>
          <w:tcPr>
            <w:tcW w:type="dxa" w:w="1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DGEN-110.1</w:t>
            </w:r>
          </w:p>
        </w:tc>
        <w:tc>
          <w:tcPr>
            <w:tcW w:type="dxa" w:w="70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HTTP 200; 25 templates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DGEN-110.2</w:t>
            </w:r>
          </w:p>
        </w:tc>
        <w:tc>
          <w:tcPr>
            <w:tcW w:type="dxa" w:w="70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HTTP 200; {'backend': 'diffusers', 'enabled': True, 'mode': 'on-device', 'model': 'stabilityai/sdxl-turbo'}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Alternate flows / negative cases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Generation not run (needs ~18 GB GPU; ~6 GB free on the shared device).</w:t>
      </w:r>
    </w:p>
    <w:p>
      <w:pPr>
        <w:pStyle w:val="Heading1"/>
      </w:pPr>
      <w:r>
        <w:t xml:space="preserve">Postconditions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None.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Generation itself not exercised: it loads SDXL-Turbo (~18 GB GPU) and the shared GPU had ~6 GB free.</w:t>
      </w:r>
    </w:p>
    <w:p>
      <w:pPr>
        <w:pStyle w:val="Heading1"/>
      </w:pPr>
      <w:r>
        <w:t xml:space="preserve">Pass / fail criteria</w:t>
      </w:r>
    </w:p>
    <w:p>
      <w:pPr>
        <w:spacing w:after="100"/>
      </w:pPr>
      <w:r>
        <w:t xml:space="preserve">Pass if every step meets its expected result. Any failed step is logged as a defect in REG-04 and linked below.</w:t>
      </w:r>
    </w:p>
    <w:p>
      <w:pPr>
        <w:pStyle w:val="Heading1"/>
      </w:pPr>
      <w:r>
        <w:t xml:space="preserve">Result</w:t>
      </w:r>
    </w:p>
    <w:p>
      <w:pPr>
        <w:spacing w:after="100"/>
      </w:pPr>
      <w:r>
        <w:t xml:space="preserve">Initial execution (v1.4.0 code): </w:t>
      </w:r>
      <w:r>
        <w:rPr>
          <w:b/>
          <w:bCs/>
        </w:rPr>
        <w:t xml:space="preserve">Pass</w:t>
      </w:r>
    </w:p>
    <w:p>
      <w:pPr>
        <w:spacing w:after="100"/>
      </w:pPr>
      <w:r>
        <w:t xml:space="preserve">Re-test on v1.4.1 (run 4): </w:t>
      </w:r>
      <w:r>
        <w:rPr>
          <w:b/>
          <w:bCs/>
        </w:rPr>
        <w:t xml:space="preserve">Pass</w:t>
      </w:r>
    </w:p>
    <w:p>
      <w:pPr>
        <w:pStyle w:val="Heading1"/>
      </w:pPr>
      <w:r>
        <w:t xml:space="preserve">Traceability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ISO 9001:2015 clause(s): 8.5.1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Area: Document Studio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Execution evidence: </w:t>
      </w:r>
      <w:r>
        <w:rPr>
          <w:rFonts w:ascii="Consolas" w:cs="Consolas" w:eastAsia="Consolas" w:hAnsi="Consolas"/>
          <w:sz w:val="19"/>
          <w:szCs w:val="19"/>
        </w:rPr>
        <w:t xml:space="preserve">15_Testing/Execution_Records/run1/</w:t>
      </w:r>
      <w:r>
        <w:t xml:space="preserve"> (initial) and </w:t>
      </w:r>
      <w:r>
        <w:rPr>
          <w:rFonts w:ascii="Consolas" w:cs="Consolas" w:eastAsia="Consolas" w:hAnsi="Consolas"/>
          <w:sz w:val="19"/>
          <w:szCs w:val="19"/>
        </w:rPr>
        <w:t xml:space="preserve">run4/</w:t>
      </w:r>
      <w:r>
        <w:t xml:space="preserve"> (v1.4.1 re-test)</w:t>
      </w:r>
    </w:p>
    <w:p>
      <w:pPr>
        <w:pStyle w:val="Heading1"/>
      </w:pPr>
      <w:r>
        <w:t xml:space="preserve">Attachments / evidence</w:t>
      </w:r>
    </w:p>
    <w:p>
      <w:pPr>
        <w:spacing w:before="120"/>
        <w:jc w:val="center"/>
      </w:pPr>
      <w:r>
        <w:drawing>
          <wp:inline distT="0" distB="0" distL="0" distR="0">
            <wp:extent cx="5905500" cy="3695700"/>
            <wp:effectExtent t="0" r="0" b="0" l="0"/>
            <wp:docPr id="1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55555"/>
          <w:sz w:val="17"/>
          <w:szCs w:val="17"/>
        </w:rPr>
        <w:t xml:space="preserve">SCR-07_document_studio — Document Studio template gallery</w:t>
      </w:r>
    </w:p>
    <w:sectPr>
      <w:headerReference w:type="default" r:id="rId6"/>
      <w:footerReference w:type="default" r:id="rId7"/>
      <w:pgSz w:w="12240" w:h="15840" w:orient="portrait"/>
      <w:pgMar w:top="1300" w:right="1440" w:bottom="120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</w:pPr>
    <w:r>
      <w:rPr>
        <w:color w:val="8A94A6"/>
        <w:sz w:val="15"/>
        <w:szCs w:val="15"/>
      </w:rPr>
      <w:t xml:space="preserve">Controlled in docs/qms (git). Uncontrolled when printed.</w:t>
    </w:r>
    <w:r>
      <w:rPr>
        <w:color w:val="8A94A6"/>
        <w:sz w:val="15"/>
        <w:szCs w:val="15"/>
      </w:rPr>
      <w:t xml:space="preserve">	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7D5" w:sz="4" w:space="4"/>
      </w:pBdr>
      <w:tabs>
        <w:tab w:val="right" w:pos="9360"/>
      </w:tabs>
    </w:pPr>
    <w:r>
      <w:rPr>
        <w:color w:val="6B7A90"/>
        <w:sz w:val="16"/>
        <w:szCs w:val="16"/>
      </w:rPr>
      <w:t xml:space="preserve">Ajace Inc. — EchoMind Enterprise</w:t>
    </w:r>
    <w:r>
      <w:rPr>
        <w:b/>
        <w:bCs/>
        <w:color w:val="6B7A90"/>
        <w:sz w:val="16"/>
        <w:szCs w:val="16"/>
      </w:rPr>
      <w:t xml:space="preserve">	TC-EM-DGEN-110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80"/>
      <w:outlineLvl w:val="0"/>
    </w:pPr>
    <w:rPr>
      <w:rFonts w:ascii="Calibri" w:cs="Calibri" w:eastAsia="Calibri" w:hAnsi="Calibri"/>
      <w:b/>
      <w:bCs/>
      <w:color w:val="1F3A5F"/>
      <w:sz w:val="26"/>
      <w:szCs w:val="26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Calibri" w:cs="Calibri" w:eastAsia="Calibri" w:hAnsi="Calibri"/>
      <w:b/>
      <w:bCs/>
      <w:color w:val="34507A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9e32619d82143aa48aa91ec357ace450d79b2d5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EchoMind Test Case – TC-EM-DGEN-110: Document Studio availability (smoke)</dc:title>
  <dc:creator>Ajace Inc. — EchoMind QMS</dc:creator>
  <cp:lastModifiedBy>Un-named</cp:lastModifiedBy>
  <cp:revision>1</cp:revision>
  <dcterms:created xsi:type="dcterms:W3CDTF">2026-10-10T18:45:42.929Z</dcterms:created>
  <dcterms:modified xsi:type="dcterms:W3CDTF">2026-10-10T18:45:42.929Z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