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6B7A90"/>
          <w:sz w:val="16"/>
          <w:szCs w:val="16"/>
        </w:rPr>
        <w:t xml:space="preserve">AJACE INC.  ·  ECHOMIND ENTERPRISE  ·  ISO 9001:2015 EVIDENCE</w:t>
      </w:r>
    </w:p>
    <w:p>
      <w:pPr>
        <w:pStyle w:val="Title"/>
        <w:pBdr>
          <w:bottom w:val="single" w:color="1F3A5F" w:sz="12" w:space="6"/>
        </w:pBdr>
        <w:spacing w:after="120"/>
      </w:pPr>
      <w:r>
        <w:rPr>
          <w:rFonts w:ascii="Calibri" w:cs="Calibri" w:eastAsia="Calibri" w:hAnsi="Calibri"/>
          <w:b/>
          <w:bCs/>
          <w:color w:val="1F3A5F"/>
          <w:sz w:val="34"/>
          <w:szCs w:val="34"/>
        </w:rPr>
        <w:t xml:space="preserve">Lessons Learnt Logbook – EchoMind Enterprise (2026)</w:t>
      </w:r>
    </w:p>
    <w:p>
      <w:pPr>
        <w:pStyle w:val="Heading1"/>
      </w:pPr>
      <w: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Field</w:t>
            </w:r>
          </w:p>
        </w:tc>
        <w:tc>
          <w:tcPr>
            <w:tcW w:type="dxa" w:w="6760"/>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Value</w:t>
            </w:r>
          </w:p>
        </w:tc>
      </w:tr>
      <w:tr>
        <w:tc>
          <w:tcPr>
            <w:tcW w:type="dxa" w:w="2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Document ID</w:t>
            </w:r>
          </w:p>
        </w:tc>
        <w:tc>
          <w:tcPr>
            <w:tcW w:type="dxa" w:w="67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EM26-16b</w:t>
            </w:r>
          </w:p>
        </w:tc>
      </w:tr>
      <w:tr>
        <w:tc>
          <w:tcPr>
            <w:tcW w:type="dxa" w:w="2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Title</w:t>
            </w:r>
          </w:p>
        </w:tc>
        <w:tc>
          <w:tcPr>
            <w:tcW w:type="dxa" w:w="67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Lessons Learnt Logbook – EchoMind Enterprise (2026)</w:t>
            </w:r>
          </w:p>
        </w:tc>
      </w:tr>
      <w:tr>
        <w:tc>
          <w:tcPr>
            <w:tcW w:type="dxa" w:w="2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Version</w:t>
            </w:r>
          </w:p>
        </w:tc>
        <w:tc>
          <w:tcPr>
            <w:tcW w:type="dxa" w:w="67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1.1</w:t>
            </w:r>
          </w:p>
        </w:tc>
      </w:tr>
      <w:tr>
        <w:tc>
          <w:tcPr>
            <w:tcW w:type="dxa" w:w="2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Date</w:t>
            </w:r>
          </w:p>
        </w:tc>
        <w:tc>
          <w:tcPr>
            <w:tcW w:type="dxa" w:w="67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2026-10-10</w:t>
            </w:r>
          </w:p>
        </w:tc>
      </w:tr>
      <w:tr>
        <w:tc>
          <w:tcPr>
            <w:tcW w:type="dxa" w:w="2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Status</w:t>
            </w:r>
          </w:p>
        </w:tc>
        <w:tc>
          <w:tcPr>
            <w:tcW w:type="dxa" w:w="67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APPROVED — rev 1.1 2026-10-10 (AR-2026-002); rev 1.0 2026-10-07 (AR-2026-001)</w:t>
            </w:r>
          </w:p>
        </w:tc>
      </w:tr>
      <w:tr>
        <w:tc>
          <w:tcPr>
            <w:tcW w:type="dxa" w:w="2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Product / area</w:t>
            </w:r>
          </w:p>
        </w:tc>
        <w:tc>
          <w:tcPr>
            <w:tcW w:type="dxa" w:w="67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EchoMind Enterprise (repository RW2523/echomind-enterprise)</w:t>
            </w:r>
          </w:p>
        </w:tc>
      </w:tr>
      <w:tr>
        <w:tc>
          <w:tcPr>
            <w:tcW w:type="dxa" w:w="2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Revision 1.1 (2026-10-10)</w:t>
            </w:r>
          </w:p>
        </w:tc>
        <w:tc>
          <w:tcPr>
            <w:tcW w:type="dxa" w:w="67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Lessons LL-2026-15…17 from client and design reviews</w:t>
            </w:r>
          </w:p>
        </w:tc>
      </w:tr>
      <w:tr>
        <w:tc>
          <w:tcPr>
            <w:tcW w:type="dxa" w:w="2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Prepared by</w:t>
            </w:r>
          </w:p>
        </w:tc>
        <w:tc>
          <w:tcPr>
            <w:tcW w:type="dxa" w:w="67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Richard Watson Stephen Amudha (Lead Engineer)</w:t>
            </w:r>
          </w:p>
        </w:tc>
      </w:tr>
      <w:tr>
        <w:tc>
          <w:tcPr>
            <w:tcW w:type="dxa" w:w="2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Reviewed by</w:t>
            </w:r>
          </w:p>
        </w:tc>
        <w:tc>
          <w:tcPr>
            <w:tcW w:type="dxa" w:w="67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Alexander Peter (EchoMind Project Lead)</w:t>
            </w:r>
          </w:p>
        </w:tc>
      </w:tr>
      <w:tr>
        <w:tc>
          <w:tcPr>
            <w:tcW w:type="dxa" w:w="2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Quality assurance</w:t>
            </w:r>
          </w:p>
        </w:tc>
        <w:tc>
          <w:tcPr>
            <w:tcW w:type="dxa" w:w="67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Sheryl Nazareth (QA / MR)</w:t>
            </w:r>
          </w:p>
        </w:tc>
      </w:tr>
      <w:tr>
        <w:tc>
          <w:tcPr>
            <w:tcW w:type="dxa" w:w="26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Approved by</w:t>
            </w:r>
          </w:p>
        </w:tc>
        <w:tc>
          <w:tcPr>
            <w:tcW w:type="dxa" w:w="67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Anita Johan (Managing Director) — 2026-10-10</w:t>
            </w:r>
          </w:p>
        </w:tc>
      </w:tr>
    </w:tbl>
    <w:p>
      <w:pPr>
        <w:pStyle w:val="Heading1"/>
      </w:pPr>
      <w:r>
        <w:t xml:space="preserve">Purpose</w:t>
      </w:r>
    </w:p>
    <w:p>
      <w:pPr>
        <w:spacing w:after="100"/>
      </w:pPr>
      <w:r>
        <w:t xml:space="preserve">Central record of insights, issues and improvements on EchoMind Enterprise.</w:t>
      </w:r>
    </w:p>
    <w:p>
      <w:pPr>
        <w:pBdr>
          <w:left w:val="single" w:color="E0A800" w:sz="18" w:space="8"/>
        </w:pBdr>
        <w:shd w:fill="FFF8E1" w:color="auto" w:val="clear"/>
        <w:spacing w:after="160" w:before="120"/>
      </w:pPr>
      <w:r>
        <w:rPr>
          <w:sz w:val="19"/>
          <w:szCs w:val="19"/>
        </w:rPr>
        <w:t xml:space="preserve">This record was prepared on 2026-10-06 from the git history and the QMS registers. Dates in it are the dates of the underlying commits and records, not the date of this document. Review and approval reviewed by Alexander Peter (EchoMind Project Lead) and approved by Anita Johan (Managing Director) on 2026-10-07 — approval record AR-2026-001.</w:t>
      </w:r>
    </w:p>
    <w:p>
      <w:pPr>
        <w:pStyle w:val="Heading1"/>
      </w:pPr>
      <w:r>
        <w:t xml:space="preserve">Log entries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1300"/>
        <w:gridCol w:w="1150"/>
        <w:gridCol w:w="3100"/>
        <w:gridCol w:w="2000"/>
        <w:gridCol w:w="760"/>
      </w:tblGrid>
      <w:tr>
        <w:trPr>
          <w:tblHeader/>
        </w:trPr>
        <w:tc>
          <w:tcPr>
            <w:tcW w:type="dxa" w:w="1050"/>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Date</w:t>
            </w:r>
          </w:p>
        </w:tc>
        <w:tc>
          <w:tcPr>
            <w:tcW w:type="dxa" w:w="1300"/>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Area</w:t>
            </w:r>
          </w:p>
        </w:tc>
        <w:tc>
          <w:tcPr>
            <w:tcW w:type="dxa" w:w="1150"/>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Lesson ID</w:t>
            </w:r>
          </w:p>
        </w:tc>
        <w:tc>
          <w:tcPr>
            <w:tcW w:type="dxa" w:w="3100"/>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Description</w:t>
            </w:r>
          </w:p>
        </w:tc>
        <w:tc>
          <w:tcPr>
            <w:tcW w:type="dxa" w:w="2000"/>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Action taken / planned</w:t>
            </w:r>
          </w:p>
        </w:tc>
        <w:tc>
          <w:tcPr>
            <w:tcW w:type="dxa" w:w="760"/>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Ref</w:t>
            </w:r>
          </w:p>
        </w:tc>
      </w:tr>
      <w:tr>
        <w:tc>
          <w:tcPr>
            <w:tcW w:type="dxa" w:w="105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2026-10-06</w:t>
            </w:r>
          </w:p>
        </w:tc>
        <w:tc>
          <w:tcPr>
            <w:tcW w:type="dxa" w:w="13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Deployment</w:t>
            </w:r>
          </w:p>
        </w:tc>
        <w:tc>
          <w:tcPr>
            <w:tcW w:type="dxa" w:w="115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LL-2026-01</w:t>
            </w:r>
          </w:p>
        </w:tc>
        <w:tc>
          <w:tcPr>
            <w:tcW w:type="dxa" w:w="31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Hand deployments (</w:t>
            </w:r>
            <w:r>
              <w:rPr>
                <w:rFonts w:ascii="Consolas" w:cs="Consolas" w:eastAsia="Consolas" w:hAnsi="Consolas"/>
                <w:b w:val="false"/>
                <w:bCs w:val="false"/>
                <w:color w:val="222222"/>
                <w:sz w:val="15"/>
                <w:szCs w:val="15"/>
              </w:rPr>
              <w:t xml:space="preserve">docker cp</w:t>
            </w:r>
            <w:r>
              <w:rPr>
                <w:b w:val="false"/>
                <w:bCs w:val="false"/>
                <w:color w:val="222222"/>
                <w:sz w:val="17"/>
                <w:szCs w:val="17"/>
              </w:rPr>
              <w:t xml:space="preserve">) left the live code outside any image; a restart would have reverted a month of work.</w:t>
            </w:r>
          </w:p>
        </w:tc>
        <w:tc>
          <w:tcPr>
            <w:tcW w:type="dxa" w:w="20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Snapshot taken; deploy only from built images (open).</w:t>
            </w:r>
          </w:p>
        </w:tc>
        <w:tc>
          <w:tcPr>
            <w:tcW w:type="dxa" w:w="7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NC-2026-011</w:t>
            </w:r>
          </w:p>
        </w:tc>
      </w:tr>
      <w:tr>
        <w:tc>
          <w:tcPr>
            <w:tcW w:type="dxa" w:w="105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2026-10-06</w:t>
            </w:r>
          </w:p>
        </w:tc>
        <w:tc>
          <w:tcPr>
            <w:tcW w:type="dxa" w:w="13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Security / change control</w:t>
            </w:r>
          </w:p>
        </w:tc>
        <w:tc>
          <w:tcPr>
            <w:tcW w:type="dxa" w:w="115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LL-2026-02</w:t>
            </w:r>
          </w:p>
        </w:tc>
        <w:tc>
          <w:tcPr>
            <w:tcW w:type="dxa" w:w="31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 security setting (</w:t>
            </w:r>
            <w:r>
              <w:rPr>
                <w:rFonts w:ascii="Consolas" w:cs="Consolas" w:eastAsia="Consolas" w:hAnsi="Consolas"/>
                <w:b w:val="false"/>
                <w:bCs w:val="false"/>
                <w:color w:val="222222"/>
                <w:sz w:val="15"/>
                <w:szCs w:val="15"/>
              </w:rPr>
              <w:t xml:space="preserve">AUTH_ENABLED</w:t>
            </w:r>
            <w:r>
              <w:rPr>
                <w:b w:val="false"/>
                <w:bCs w:val="false"/>
                <w:color w:val="222222"/>
                <w:sz w:val="17"/>
                <w:szCs w:val="17"/>
              </w:rPr>
              <w:t xml:space="preserve">) changed in an untracked file with no record; the public instance ran ungated.</w:t>
            </w:r>
          </w:p>
        </w:tc>
        <w:tc>
          <w:tcPr>
            <w:tcW w:type="dxa" w:w="20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Login restored; record runtime-setting changes in REG-07; external gate check (open).</w:t>
            </w:r>
          </w:p>
        </w:tc>
        <w:tc>
          <w:tcPr>
            <w:tcW w:type="dxa" w:w="7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NC-2026-009</w:t>
            </w:r>
          </w:p>
        </w:tc>
      </w:tr>
      <w:tr>
        <w:tc>
          <w:tcPr>
            <w:tcW w:type="dxa" w:w="105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2026-09-22</w:t>
            </w:r>
          </w:p>
        </w:tc>
        <w:tc>
          <w:tcPr>
            <w:tcW w:type="dxa" w:w="13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Measurement</w:t>
            </w:r>
          </w:p>
        </w:tc>
        <w:tc>
          <w:tcPr>
            <w:tcW w:type="dxa" w:w="115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LL-2026-03</w:t>
            </w:r>
          </w:p>
        </w:tc>
        <w:tc>
          <w:tcPr>
            <w:tcW w:type="dxa" w:w="31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The evaluation corpus lived only in a mutable volume; its loss silently invalidated the quality instrument.</w:t>
            </w:r>
          </w:p>
        </w:tc>
        <w:tc>
          <w:tcPr>
            <w:tcW w:type="dxa" w:w="20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Version-control a corpus manifest; pre-flight check (open).</w:t>
            </w:r>
          </w:p>
        </w:tc>
        <w:tc>
          <w:tcPr>
            <w:tcW w:type="dxa" w:w="7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NC-2026-008</w:t>
            </w:r>
          </w:p>
        </w:tc>
      </w:tr>
      <w:tr>
        <w:tc>
          <w:tcPr>
            <w:tcW w:type="dxa" w:w="105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2026-09-28</w:t>
            </w:r>
          </w:p>
        </w:tc>
        <w:tc>
          <w:tcPr>
            <w:tcW w:type="dxa" w:w="13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QA process</w:t>
            </w:r>
          </w:p>
        </w:tc>
        <w:tc>
          <w:tcPr>
            <w:tcW w:type="dxa" w:w="115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LL-2026-04</w:t>
            </w:r>
          </w:p>
        </w:tc>
        <w:tc>
          <w:tcPr>
            <w:tcW w:type="dxa" w:w="31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Without CI, five stale tests and 20 type errors went unnoticed and a release was tagged with them failing.</w:t>
            </w:r>
          </w:p>
        </w:tc>
        <w:tc>
          <w:tcPr>
            <w:tcW w:type="dxa" w:w="20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Fixed 5ddf8a6/736ea61; CI (open).</w:t>
            </w:r>
          </w:p>
        </w:tc>
        <w:tc>
          <w:tcPr>
            <w:tcW w:type="dxa" w:w="7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NC-2026-010</w:t>
            </w:r>
          </w:p>
        </w:tc>
      </w:tr>
      <w:tr>
        <w:tc>
          <w:tcPr>
            <w:tcW w:type="dxa" w:w="105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2026-10-06</w:t>
            </w:r>
          </w:p>
        </w:tc>
        <w:tc>
          <w:tcPr>
            <w:tcW w:type="dxa" w:w="13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Platform</w:t>
            </w:r>
          </w:p>
        </w:tc>
        <w:tc>
          <w:tcPr>
            <w:tcW w:type="dxa" w:w="115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LL-2026-05</w:t>
            </w:r>
          </w:p>
        </w:tc>
        <w:tc>
          <w:tcPr>
            <w:tcW w:type="dxa" w:w="31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Sharing the GPU with another project causes speech-model start-up failures (CUDA OOM).</w:t>
            </w:r>
          </w:p>
        </w:tc>
        <w:tc>
          <w:tcPr>
            <w:tcW w:type="dxa" w:w="20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GPU sharing policy; CPU fallback flags exist.</w:t>
            </w:r>
          </w:p>
        </w:tc>
        <w:tc>
          <w:tcPr>
            <w:tcW w:type="dxa" w:w="7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Observation</w:t>
            </w:r>
          </w:p>
        </w:tc>
      </w:tr>
      <w:tr>
        <w:tc>
          <w:tcPr>
            <w:tcW w:type="dxa" w:w="105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2026-08-07</w:t>
            </w:r>
          </w:p>
        </w:tc>
        <w:tc>
          <w:tcPr>
            <w:tcW w:type="dxa" w:w="13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Architecture</w:t>
            </w:r>
          </w:p>
        </w:tc>
        <w:tc>
          <w:tcPr>
            <w:tcW w:type="dxa" w:w="115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LL-2026-06</w:t>
            </w:r>
          </w:p>
        </w:tc>
        <w:tc>
          <w:tcPr>
            <w:tcW w:type="dxa" w:w="31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 per-path namespace control failed twice in the same way.</w:t>
            </w:r>
          </w:p>
        </w:tc>
        <w:tc>
          <w:tcPr>
            <w:tcW w:type="dxa" w:w="20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Wrapper added; make filtering structural (open).</w:t>
            </w:r>
          </w:p>
        </w:tc>
        <w:tc>
          <w:tcPr>
            <w:tcW w:type="dxa" w:w="7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NC-2026-001/002</w:t>
            </w:r>
          </w:p>
        </w:tc>
      </w:tr>
      <w:tr>
        <w:tc>
          <w:tcPr>
            <w:tcW w:type="dxa" w:w="105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2026-09-04</w:t>
            </w:r>
          </w:p>
        </w:tc>
        <w:tc>
          <w:tcPr>
            <w:tcW w:type="dxa" w:w="13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Suppliers</w:t>
            </w:r>
          </w:p>
        </w:tc>
        <w:tc>
          <w:tcPr>
            <w:tcW w:type="dxa" w:w="115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LL-2026-07</w:t>
            </w:r>
          </w:p>
        </w:tc>
        <w:tc>
          <w:tcPr>
            <w:tcW w:type="dxa" w:w="31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Depending on a moving upstream branch caused a build outage.</w:t>
            </w:r>
          </w:p>
        </w:tc>
        <w:tc>
          <w:tcPr>
            <w:tcW w:type="dxa" w:w="20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Pinned to a verified commit (done).</w:t>
            </w:r>
          </w:p>
        </w:tc>
        <w:tc>
          <w:tcPr>
            <w:tcW w:type="dxa" w:w="7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NC-2026-006</w:t>
            </w:r>
          </w:p>
        </w:tc>
      </w:tr>
      <w:tr>
        <w:tc>
          <w:tcPr>
            <w:tcW w:type="dxa" w:w="105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2026-07-30</w:t>
            </w:r>
          </w:p>
        </w:tc>
        <w:tc>
          <w:tcPr>
            <w:tcW w:type="dxa" w:w="13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Design decisions</w:t>
            </w:r>
          </w:p>
        </w:tc>
        <w:tc>
          <w:tcPr>
            <w:tcW w:type="dxa" w:w="115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LL-2026-08</w:t>
            </w:r>
          </w:p>
        </w:tc>
        <w:tc>
          <w:tcPr>
            <w:tcW w:type="dxa" w:w="31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 feature measured worse than baseline was switched off rather than rationalised.</w:t>
            </w:r>
          </w:p>
        </w:tc>
        <w:tc>
          <w:tcPr>
            <w:tcW w:type="dxa" w:w="20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Measure before enabling (positive practice).</w:t>
            </w:r>
          </w:p>
        </w:tc>
        <w:tc>
          <w:tcPr>
            <w:tcW w:type="dxa" w:w="7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NC-2026-005</w:t>
            </w:r>
          </w:p>
        </w:tc>
      </w:tr>
      <w:tr>
        <w:tc>
          <w:tcPr>
            <w:tcW w:type="dxa" w:w="105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2026-09-21</w:t>
            </w:r>
          </w:p>
        </w:tc>
        <w:tc>
          <w:tcPr>
            <w:tcW w:type="dxa" w:w="13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Reviews</w:t>
            </w:r>
          </w:p>
        </w:tc>
        <w:tc>
          <w:tcPr>
            <w:tcW w:type="dxa" w:w="115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LL-2026-09</w:t>
            </w:r>
          </w:p>
        </w:tc>
        <w:tc>
          <w:tcPr>
            <w:tcW w:type="dxa" w:w="31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18 of 40 plausible review findings were wrong when verified; acting on them would have added defects.</w:t>
            </w:r>
          </w:p>
        </w:tc>
        <w:tc>
          <w:tcPr>
            <w:tcW w:type="dxa" w:w="20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Verify findings before actioning (adopted).</w:t>
            </w:r>
          </w:p>
        </w:tc>
        <w:tc>
          <w:tcPr>
            <w:tcW w:type="dxa" w:w="7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RF-2026-001</w:t>
            </w:r>
          </w:p>
        </w:tc>
      </w:tr>
      <w:tr>
        <w:tc>
          <w:tcPr>
            <w:tcW w:type="dxa" w:w="105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2026-07-29</w:t>
            </w:r>
          </w:p>
        </w:tc>
        <w:tc>
          <w:tcPr>
            <w:tcW w:type="dxa" w:w="13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Observability</w:t>
            </w:r>
          </w:p>
        </w:tc>
        <w:tc>
          <w:tcPr>
            <w:tcW w:type="dxa" w:w="115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LL-2026-10</w:t>
            </w:r>
          </w:p>
        </w:tc>
        <w:tc>
          <w:tcPr>
            <w:tcW w:type="dxa" w:w="31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Two controls failed silently (voice auth gate, null audio).</w:t>
            </w:r>
          </w:p>
        </w:tc>
        <w:tc>
          <w:tcPr>
            <w:tcW w:type="dxa" w:w="20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Failure paths must produce a signal (SOP-12).</w:t>
            </w:r>
          </w:p>
        </w:tc>
        <w:tc>
          <w:tcPr>
            <w:tcW w:type="dxa" w:w="7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NC-2026-003/004</w:t>
            </w:r>
          </w:p>
        </w:tc>
      </w:tr>
      <w:tr>
        <w:tc>
          <w:tcPr>
            <w:tcW w:type="dxa" w:w="105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2026-08-07</w:t>
            </w:r>
          </w:p>
        </w:tc>
        <w:tc>
          <w:tcPr>
            <w:tcW w:type="dxa" w:w="13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Claims</w:t>
            </w:r>
          </w:p>
        </w:tc>
        <w:tc>
          <w:tcPr>
            <w:tcW w:type="dxa" w:w="115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LL-2026-11</w:t>
            </w:r>
          </w:p>
        </w:tc>
        <w:tc>
          <w:tcPr>
            <w:tcW w:type="dxa" w:w="31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Published claims contradicted our own measurements.</w:t>
            </w:r>
          </w:p>
        </w:tc>
        <w:tc>
          <w:tcPr>
            <w:tcW w:type="dxa" w:w="20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Measure before claiming (QP-01 §2.3).</w:t>
            </w:r>
          </w:p>
        </w:tc>
        <w:tc>
          <w:tcPr>
            <w:tcW w:type="dxa" w:w="7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NC-2026-007</w:t>
            </w:r>
          </w:p>
        </w:tc>
      </w:tr>
      <w:tr>
        <w:tc>
          <w:tcPr>
            <w:tcW w:type="dxa" w:w="105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2026-10-06</w:t>
            </w:r>
          </w:p>
        </w:tc>
        <w:tc>
          <w:tcPr>
            <w:tcW w:type="dxa" w:w="13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Testing</w:t>
            </w:r>
          </w:p>
        </w:tc>
        <w:tc>
          <w:tcPr>
            <w:tcW w:type="dxa" w:w="115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LL-2026-12</w:t>
            </w:r>
          </w:p>
        </w:tc>
        <w:tc>
          <w:tcPr>
            <w:tcW w:type="dxa" w:w="31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API-level tests found four defects that the unit suites could not.</w:t>
            </w:r>
          </w:p>
        </w:tc>
        <w:tc>
          <w:tcPr>
            <w:tcW w:type="dxa" w:w="20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Fixed; 14 regression tests added; API acceptance in CI (open).</w:t>
            </w:r>
          </w:p>
        </w:tc>
        <w:tc>
          <w:tcPr>
            <w:tcW w:type="dxa" w:w="7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NC-2026-012…015</w:t>
            </w:r>
          </w:p>
        </w:tc>
      </w:tr>
      <w:tr>
        <w:tc>
          <w:tcPr>
            <w:tcW w:type="dxa" w:w="105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2026-10-06</w:t>
            </w:r>
          </w:p>
        </w:tc>
        <w:tc>
          <w:tcPr>
            <w:tcW w:type="dxa" w:w="13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Observability</w:t>
            </w:r>
          </w:p>
        </w:tc>
        <w:tc>
          <w:tcPr>
            <w:tcW w:type="dxa" w:w="115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LL-2026-13</w:t>
            </w:r>
          </w:p>
        </w:tc>
        <w:tc>
          <w:tcPr>
            <w:tcW w:type="dxa" w:w="31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 healthcheck that does not exercise the function it guards stayed green while embeddings failed.</w:t>
            </w:r>
          </w:p>
        </w:tc>
        <w:tc>
          <w:tcPr>
            <w:tcW w:type="dxa" w:w="20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Healthcheck to perform a real embedding (open).</w:t>
            </w:r>
          </w:p>
        </w:tc>
        <w:tc>
          <w:tcPr>
            <w:tcW w:type="dxa" w:w="7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NC-2026-016</w:t>
            </w:r>
          </w:p>
        </w:tc>
      </w:tr>
      <w:tr>
        <w:tc>
          <w:tcPr>
            <w:tcW w:type="dxa" w:w="105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2026-10-06</w:t>
            </w:r>
          </w:p>
        </w:tc>
        <w:tc>
          <w:tcPr>
            <w:tcW w:type="dxa" w:w="13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Change control</w:t>
            </w:r>
          </w:p>
        </w:tc>
        <w:tc>
          <w:tcPr>
            <w:tcW w:type="dxa" w:w="115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LL-2026-14</w:t>
            </w:r>
          </w:p>
        </w:tc>
        <w:tc>
          <w:tcPr>
            <w:tcW w:type="dxa" w:w="31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Re-testing after a fix found a regression the fix itself introduced (logout logged as anonymous).</w:t>
            </w:r>
          </w:p>
        </w:tc>
        <w:tc>
          <w:tcPr>
            <w:tcW w:type="dxa" w:w="20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Always re-run the full acceptance suite after a fix (adopted).</w:t>
            </w:r>
          </w:p>
        </w:tc>
        <w:tc>
          <w:tcPr>
            <w:tcW w:type="dxa" w:w="7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QA-FAIL-2026-06</w:t>
            </w:r>
          </w:p>
        </w:tc>
      </w:tr>
      <w:tr>
        <w:tc>
          <w:tcPr>
            <w:tcW w:type="dxa" w:w="105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2026-04</w:t>
            </w:r>
          </w:p>
        </w:tc>
        <w:tc>
          <w:tcPr>
            <w:tcW w:type="dxa" w:w="13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Client reviews</w:t>
            </w:r>
          </w:p>
        </w:tc>
        <w:tc>
          <w:tcPr>
            <w:tcW w:type="dxa" w:w="115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LL-2026-15</w:t>
            </w:r>
          </w:p>
        </w:tc>
        <w:tc>
          <w:tcPr>
            <w:tcW w:type="dxa" w:w="31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Off-the-shelf speech-to-speech systems (Kyutai Unmute, NVIDIA PersonaPlex) were either slow or could not use the customer's knowledge base; each client demonstration exposed it early.</w:t>
            </w:r>
          </w:p>
        </w:tc>
        <w:tc>
          <w:tcPr>
            <w:tcW w:type="dxa" w:w="20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Show working versions to the client early; own dual-loop architecture adopted.</w:t>
            </w:r>
          </w:p>
        </w:tc>
        <w:tc>
          <w:tcPr>
            <w:tcW w:type="dxa" w:w="7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EM26-18 CR-2026-03/04</w:t>
            </w:r>
          </w:p>
        </w:tc>
      </w:tr>
      <w:tr>
        <w:tc>
          <w:tcPr>
            <w:tcW w:type="dxa" w:w="105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2026-03</w:t>
            </w:r>
          </w:p>
        </w:tc>
        <w:tc>
          <w:tcPr>
            <w:tcW w:type="dxa" w:w="13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Large documents</w:t>
            </w:r>
          </w:p>
        </w:tc>
        <w:tc>
          <w:tcPr>
            <w:tcW w:type="dxa" w:w="115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LL-2026-16</w:t>
            </w:r>
          </w:p>
        </w:tc>
        <w:tc>
          <w:tcPr>
            <w:tcW w:type="dxa" w:w="31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 7,300-page regulation (DoD FMR) needs structure-aware retrieval; BookRAG measured worse than section-based retrieval (43/52 vs 50/52).</w:t>
            </w:r>
          </w:p>
        </w:tc>
        <w:tc>
          <w:tcPr>
            <w:tcW w:type="dxa" w:w="20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Measure each retrieval method on the golden suite before adopting it.</w:t>
            </w:r>
          </w:p>
        </w:tc>
        <w:tc>
          <w:tcPr>
            <w:tcW w:type="dxa" w:w="7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EM26-18 AC-22; 2decb99</w:t>
            </w:r>
          </w:p>
        </w:tc>
      </w:tr>
      <w:tr>
        <w:tc>
          <w:tcPr>
            <w:tcW w:type="dxa" w:w="105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2026-04</w:t>
            </w:r>
          </w:p>
        </w:tc>
        <w:tc>
          <w:tcPr>
            <w:tcW w:type="dxa" w:w="13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Deployment</w:t>
            </w:r>
          </w:p>
        </w:tc>
        <w:tc>
          <w:tcPr>
            <w:tcW w:type="dxa" w:w="115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LL-2026-17</w:t>
            </w:r>
          </w:p>
        </w:tc>
        <w:tc>
          <w:tcPr>
            <w:tcW w:type="dxa" w:w="31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 unit taken to a client site may have no network; the hotspot makes it reachable, but its configuration lives only on the device.</w:t>
            </w:r>
          </w:p>
        </w:tc>
        <w:tc>
          <w:tcPr>
            <w:tcW w:type="dxa" w:w="20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Bring device configuration under version control.</w:t>
            </w:r>
          </w:p>
        </w:tc>
        <w:tc>
          <w:tcPr>
            <w:tcW w:type="dxa" w:w="7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EM26-18 CR-2026-05, AC-26</w:t>
            </w:r>
          </w:p>
        </w:tc>
      </w:tr>
    </w:tbl>
    <w:p>
      <w:pPr>
        <w:spacing w:after="120"/>
      </w:pPr>
    </w:p>
    <w:p>
      <w:pPr>
        <w:pStyle w:val="Heading1"/>
      </w:pPr>
      <w:r>
        <w:t xml:space="preserve">Records and retention</w:t>
      </w:r>
    </w:p>
    <w:p>
      <w:pPr>
        <w:spacing w:after="100"/>
      </w:pPr>
      <w:r>
        <w:t xml:space="preserve">Kept with the QMS in the repository; retention per SOP-01 §8.</w:t>
      </w:r>
    </w:p>
    <w:p>
      <w:pPr>
        <w:pStyle w:val="Heading1"/>
      </w:pPr>
      <w:r>
        <w:t xml:space="preserve">Verification and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500"/>
        <w:gridCol w:w="2500"/>
        <w:gridCol w:w="1660"/>
      </w:tblGrid>
      <w:tr>
        <w:trPr>
          <w:tblHeader/>
        </w:trPr>
        <w:tc>
          <w:tcPr>
            <w:tcW w:type="dxa" w:w="2700"/>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Role</w:t>
            </w:r>
          </w:p>
        </w:tc>
        <w:tc>
          <w:tcPr>
            <w:tcW w:type="dxa" w:w="2500"/>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Name</w:t>
            </w:r>
          </w:p>
        </w:tc>
        <w:tc>
          <w:tcPr>
            <w:tcW w:type="dxa" w:w="2500"/>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Signature</w:t>
            </w:r>
          </w:p>
        </w:tc>
        <w:tc>
          <w:tcPr>
            <w:tcW w:type="dxa" w:w="1660"/>
            <w:tcBorders>
              <w:top w:val="single" w:color="BFC7D5" w:sz="4"/>
              <w:left w:val="single" w:color="BFC7D5" w:sz="4"/>
              <w:bottom w:val="single" w:color="BFC7D5" w:sz="4"/>
              <w:right w:val="single" w:color="BFC7D5" w:sz="4"/>
            </w:tcBorders>
            <w:shd w:fill="1F3A5F" w:color="auto" w:val="clear"/>
            <w:tcMar>
              <w:top w:type="dxa" w:w="60"/>
              <w:left w:type="dxa" w:w="90"/>
              <w:bottom w:type="dxa" w:w="60"/>
              <w:right w:type="dxa" w:w="90"/>
            </w:tcMar>
          </w:tcPr>
          <w:p>
            <w:r>
              <w:rPr>
                <w:b/>
                <w:bCs/>
                <w:color w:val="FFFFFF"/>
                <w:sz w:val="17"/>
                <w:szCs w:val="17"/>
              </w:rPr>
              <w:t xml:space="preserve">Date</w:t>
            </w:r>
          </w:p>
        </w:tc>
      </w:tr>
      <w:tr>
        <w:tc>
          <w:tcPr>
            <w:tcW w:type="dxa" w:w="27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Prepared by — Lead Engineer</w:t>
            </w:r>
          </w:p>
        </w:tc>
        <w:tc>
          <w:tcPr>
            <w:tcW w:type="dxa" w:w="25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Richard Watson Stephen Amudha</w:t>
            </w:r>
          </w:p>
        </w:tc>
        <w:tc>
          <w:tcPr>
            <w:tcW w:type="dxa" w:w="25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Richard Watson Stephen Amudha</w:t>
            </w:r>
          </w:p>
        </w:tc>
        <w:tc>
          <w:tcPr>
            <w:tcW w:type="dxa" w:w="16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2026-10-10</w:t>
            </w:r>
          </w:p>
        </w:tc>
      </w:tr>
      <w:tr>
        <w:tc>
          <w:tcPr>
            <w:tcW w:type="dxa" w:w="27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Reviewed by — EchoMind Project Lead</w:t>
            </w:r>
          </w:p>
        </w:tc>
        <w:tc>
          <w:tcPr>
            <w:tcW w:type="dxa" w:w="25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Alexander Peter</w:t>
            </w:r>
          </w:p>
        </w:tc>
        <w:tc>
          <w:tcPr>
            <w:tcW w:type="dxa" w:w="25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Alexander Peter</w:t>
            </w:r>
          </w:p>
        </w:tc>
        <w:tc>
          <w:tcPr>
            <w:tcW w:type="dxa" w:w="16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2026-10-10</w:t>
            </w:r>
          </w:p>
        </w:tc>
      </w:tr>
      <w:tr>
        <w:tc>
          <w:tcPr>
            <w:tcW w:type="dxa" w:w="27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Quality assurance — QA / MR</w:t>
            </w:r>
          </w:p>
        </w:tc>
        <w:tc>
          <w:tcPr>
            <w:tcW w:type="dxa" w:w="25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Sheryl Nazareth</w:t>
            </w:r>
          </w:p>
        </w:tc>
        <w:tc>
          <w:tcPr>
            <w:tcW w:type="dxa" w:w="25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Sheryl Nazareth</w:t>
            </w:r>
          </w:p>
        </w:tc>
        <w:tc>
          <w:tcPr>
            <w:tcW w:type="dxa" w:w="16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2026-10-10</w:t>
            </w:r>
          </w:p>
        </w:tc>
      </w:tr>
      <w:tr>
        <w:tc>
          <w:tcPr>
            <w:tcW w:type="dxa" w:w="27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Approved by — Managing Director</w:t>
            </w:r>
          </w:p>
        </w:tc>
        <w:tc>
          <w:tcPr>
            <w:tcW w:type="dxa" w:w="25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Anita Johan</w:t>
            </w:r>
          </w:p>
        </w:tc>
        <w:tc>
          <w:tcPr>
            <w:tcW w:type="dxa" w:w="250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Anita Johan</w:t>
            </w:r>
          </w:p>
        </w:tc>
        <w:tc>
          <w:tcPr>
            <w:tcW w:type="dxa" w:w="166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color w:val="222222"/>
                <w:sz w:val="17"/>
                <w:szCs w:val="17"/>
              </w:rPr>
              <w:t xml:space="preserve">2026-10-10</w:t>
            </w:r>
          </w:p>
        </w:tc>
      </w:tr>
    </w:tbl>
    <w:p>
      <w:pPr>
        <w:spacing w:after="100"/>
        <w:rPr>
          <w:i/>
          <w:iCs/>
          <w:color w:val="555555"/>
          <w:sz w:val="17"/>
          <w:szCs w:val="17"/>
        </w:rPr>
      </w:pPr>
      <w:r>
        <w:rPr>
          <w:i/>
          <w:iCs/>
          <w:color w:val="555555"/>
          <w:sz w:val="17"/>
          <w:szCs w:val="17"/>
        </w:rPr>
        <w:t xml:space="preserve">Signatures are the typed names of the role holders. Revision 1.1 was reviewed and approved by each of them on 2026-10-10 (docs/qms/records/approvals/2026-10-10_AR-2026-002_revision_approval.md); revision 1.0 on 2026-10-07 (AR-2026-001) (SOP-01 §6).</w:t>
      </w:r>
    </w:p>
    <w:sectPr>
      <w:headerReference w:type="default" r:id="rId6"/>
      <w:footerReference w:type="default" r:id="rId7"/>
      <w:pgSz w:w="12240" w:h="15840" w:orient="portrait"/>
      <w:pgMar w:top="1300" w:right="1440" w:bottom="12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8A94A6"/>
        <w:sz w:val="15"/>
        <w:szCs w:val="15"/>
      </w:rPr>
      <w:t xml:space="preserve">Controlled in docs/qms (git). Uncontrolled when printed.</w:t>
    </w:r>
    <w:r>
      <w:rPr>
        <w:color w:val="8A94A6"/>
        <w:sz w:val="15"/>
        <w:szCs w:val="15"/>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7D5" w:sz="4" w:space="4"/>
      </w:pBdr>
      <w:tabs>
        <w:tab w:val="right" w:pos="9360"/>
      </w:tabs>
    </w:pPr>
    <w:r>
      <w:rPr>
        <w:color w:val="6B7A90"/>
        <w:sz w:val="16"/>
        <w:szCs w:val="16"/>
      </w:rPr>
      <w:t xml:space="preserve">Ajace Inc. — EchoMind Enterprise</w:t>
    </w:r>
    <w:r>
      <w:rPr>
        <w:b/>
        <w:bCs/>
        <w:color w:val="6B7A90"/>
        <w:sz w:val="16"/>
        <w:szCs w:val="16"/>
      </w:rPr>
      <w:t xml:space="preserve">	EM26-16b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Calibri" w:cs="Calibri" w:eastAsia="Calibri" w:hAnsi="Calibri"/>
      <w:b/>
      <w:bCs/>
      <w:color w:val="1F3A5F"/>
      <w:sz w:val="26"/>
      <w:szCs w:val="26"/>
    </w:rPr>
  </w:style>
  <w:style w:type="paragraph" w:styleId="Heading2">
    <w:name w:val="Heading 2"/>
    <w:basedOn w:val="Normal"/>
    <w:next w:val="Normal"/>
    <w:qFormat/>
    <w:pPr>
      <w:spacing w:after="80" w:before="200"/>
      <w:outlineLvl w:val="1"/>
    </w:pPr>
    <w:rPr>
      <w:rFonts w:ascii="Calibri" w:cs="Calibri" w:eastAsia="Calibri" w:hAnsi="Calibri"/>
      <w:b/>
      <w:bCs/>
      <w:color w:val="34507A"/>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Lessons Learnt Logbook – EchoMind Enterprise (2026)</dc:title>
  <dc:creator>Ajace Inc. — EchoMind QMS</dc:creator>
  <cp:lastModifiedBy>Un-named</cp:lastModifiedBy>
  <cp:revision>1</cp:revision>
  <dcterms:created xsi:type="dcterms:W3CDTF">2026-10-10T18:45:43.298Z</dcterms:created>
  <dcterms:modified xsi:type="dcterms:W3CDTF">2026-10-10T18:45:43.298Z</dcterms:modified>
</cp:coreProperties>
</file>

<file path=docProps/custom.xml><?xml version="1.0" encoding="utf-8"?>
<Properties xmlns="http://schemas.openxmlformats.org/officeDocument/2006/custom-properties" xmlns:vt="http://schemas.openxmlformats.org/officeDocument/2006/docPropsVTypes"/>
</file>