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Records — management-review</w:t>
      </w:r>
    </w:p>
    <w:p>
      <w:pPr>
        <w:pStyle w:val="BodyText"/>
        <w:bidi w:val="0"/>
        <w:jc w:val="left"/>
        <w:rPr/>
      </w:pPr>
      <w:r>
        <w:rPr/>
        <w:t xml:space="preserve">Completed records are filed here as dated Markdown files, named </w:t>
      </w:r>
      <w:r>
        <w:rPr>
          <w:rStyle w:val="SourceText"/>
        </w:rPr>
        <w:t>YYYY-MM-DD_&lt;reference&gt;.md</w:t>
      </w:r>
      <w:r>
        <w:rPr/>
        <w:t xml:space="preserve">, using the corresponding blank form in </w:t>
      </w:r>
      <w:r>
        <w:rPr>
          <w:rStyle w:val="SourceText"/>
        </w:rPr>
        <w:t>../../forms/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This directory is empty at QMS revision 1.0 because no such record has yet been created. That is an accurate statement of position — see </w:t>
      </w:r>
      <w:r>
        <w:rPr>
          <w:rStyle w:val="SourceText"/>
        </w:rPr>
        <w:t>../../ISO9001_Gap_Analysis.md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