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REG-04 — Nonconformity and Corrective Action Log</w:t>
      </w:r>
    </w:p>
    <w:tbl>
      <w:tblPr>
        <w:tblW w:w="5000" w:type="pct"/>
        <w:jc w:val="left"/>
        <w:tblInd w:w="-7" w:type="dxa"/>
        <w:tblLayout w:type="fixed"/>
        <w:tblCellMar>
          <w:top w:w="60" w:type="dxa"/>
          <w:left w:w="60" w:type="dxa"/>
          <w:bottom w:w="60" w:type="dxa"/>
          <w:right w:w="60" w:type="dxa"/>
        </w:tblCellMar>
      </w:tblPr>
      <w:tblGrid>
        <w:gridCol w:w="1894"/>
        <w:gridCol w:w="6028"/>
      </w:tblGrid>
      <w:tr>
        <w:trPr>
          <w:tblHeader w:val="true"/>
        </w:trPr>
        <w:tc>
          <w:tcPr>
            <w:tcW w:w="189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0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REG-04</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LIVE REGISTER</w:t>
            </w:r>
            <w:r>
              <w:rPr/>
              <w:t xml:space="preserve"> (the register is live; the procedure governing it, SOP-14, is draft)</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representative (Sheryl Nazareth)</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8.7.2, 10.2.2</w:t>
            </w:r>
          </w:p>
        </w:tc>
      </w:tr>
      <w:tr>
        <w:trPr/>
        <w:tc>
          <w:tcPr>
            <w:tcW w:w="189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Governing procedures</w:t>
            </w:r>
          </w:p>
        </w:tc>
        <w:tc>
          <w:tcPr>
            <w:tcW w:w="60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SOP-10 (nonconforming output), SOP-14 (corrective action)</w:t>
            </w:r>
          </w:p>
        </w:tc>
      </w:tr>
      <w:tr>
        <w:trPr/>
        <w:tc>
          <w:tcPr>
            <w:tcW w:w="189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Reviewed</w:t>
            </w:r>
          </w:p>
        </w:tc>
        <w:tc>
          <w:tcPr>
            <w:tcW w:w="60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 — Alexander Peter (EchoMind Project Lead); QA Sheryl Nazareth</w:t>
            </w:r>
          </w:p>
        </w:tc>
      </w:tr>
    </w:tbl>
    <w:p>
      <w:pPr>
        <w:pStyle w:val="HorizontalLine"/>
        <w:bidi w:val="0"/>
        <w:jc w:val="left"/>
        <w:rPr/>
      </w:pPr>
      <w:r>
        <w:rPr/>
      </w:r>
    </w:p>
    <w:p>
      <w:pPr>
        <w:pStyle w:val="Heading2"/>
        <w:bidi w:val="0"/>
        <w:jc w:val="left"/>
        <w:rPr/>
      </w:pPr>
      <w:r>
        <w:rPr/>
        <w:t>How this register is used</w:t>
      </w:r>
    </w:p>
    <w:p>
      <w:pPr>
        <w:pStyle w:val="BodyText"/>
        <w:bidi w:val="0"/>
        <w:jc w:val="left"/>
        <w:rPr/>
      </w:pPr>
      <w:r>
        <w:rPr/>
        <w:t xml:space="preserve">One row per nonconformity. Raise a row as soon as a nonconformity is identified — not when it is fixed. A row is closed only when the effectiveness of the corrective action has been </w:t>
      </w:r>
      <w:r>
        <w:rPr>
          <w:rStyle w:val="Strong"/>
        </w:rPr>
        <w:t>verified with evidence</w:t>
      </w:r>
      <w:r>
        <w:rPr/>
        <w:t xml:space="preserve"> (SOP-14 §7); "the code was changed" is not effectiveness verification.</w:t>
      </w:r>
    </w:p>
    <w:p>
      <w:pPr>
        <w:pStyle w:val="BodyText"/>
        <w:bidi w:val="0"/>
        <w:jc w:val="left"/>
        <w:rPr/>
      </w:pPr>
      <w:r>
        <w:rPr/>
        <w:t>Severity scale (defined in SOP-10 §3):</w:t>
      </w:r>
    </w:p>
    <w:tbl>
      <w:tblPr>
        <w:tblW w:w="5000" w:type="pct"/>
        <w:jc w:val="left"/>
        <w:tblInd w:w="-7" w:type="dxa"/>
        <w:tblLayout w:type="fixed"/>
        <w:tblCellMar>
          <w:top w:w="60" w:type="dxa"/>
          <w:left w:w="60" w:type="dxa"/>
          <w:bottom w:w="60" w:type="dxa"/>
          <w:right w:w="60" w:type="dxa"/>
        </w:tblCellMar>
      </w:tblPr>
      <w:tblGrid>
        <w:gridCol w:w="844"/>
        <w:gridCol w:w="7078"/>
      </w:tblGrid>
      <w:tr>
        <w:trPr>
          <w:tblHeader w:val="true"/>
        </w:trPr>
        <w:tc>
          <w:tcPr>
            <w:tcW w:w="8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Severity</w:t>
            </w:r>
          </w:p>
        </w:tc>
        <w:tc>
          <w:tcPr>
            <w:tcW w:w="707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Meaning</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S1</w:t>
            </w:r>
          </w:p>
        </w:tc>
        <w:tc>
          <w:tcPr>
            <w:tcW w:w="7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Incorrect, fabricated or misattributed content reached a user, or a tenant-isolation breach, or customer data loss/exposure</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p>
        </w:tc>
        <w:tc>
          <w:tcPr>
            <w:tcW w:w="7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Loss of a module or service, or customer data placed at risk</w:t>
            </w:r>
          </w:p>
        </w:tc>
      </w:tr>
      <w:tr>
        <w:trPr/>
        <w:tc>
          <w:tcPr>
            <w:tcW w:w="8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p>
        </w:tc>
        <w:tc>
          <w:tcPr>
            <w:tcW w:w="707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Degraded behaviour, incorrect internal state, or a control that is silently not working</w:t>
            </w:r>
          </w:p>
        </w:tc>
      </w:tr>
      <w:tr>
        <w:trPr/>
        <w:tc>
          <w:tcPr>
            <w:tcW w:w="8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S4</w:t>
            </w:r>
          </w:p>
        </w:tc>
        <w:tc>
          <w:tcPr>
            <w:tcW w:w="707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Cosmetic or documentation-only</w:t>
            </w:r>
          </w:p>
        </w:tc>
      </w:tr>
    </w:tbl>
    <w:p>
      <w:pPr>
        <w:pStyle w:val="HorizontalLine"/>
        <w:bidi w:val="0"/>
        <w:jc w:val="left"/>
        <w:rPr/>
      </w:pPr>
      <w:r>
        <w:rPr/>
      </w:r>
    </w:p>
    <w:p>
      <w:pPr>
        <w:pStyle w:val="Heading2"/>
        <w:bidi w:val="0"/>
        <w:jc w:val="left"/>
        <w:rPr/>
      </w:pPr>
      <w:r>
        <w:rPr/>
        <w:t>Section A — Retrospective entries (transcribed from the Git record on 2026-09-21)</w:t>
      </w:r>
    </w:p>
    <w:p>
      <w:pPr>
        <w:pStyle w:val="BlockQuotation"/>
        <w:bidi w:val="0"/>
        <w:jc w:val="left"/>
        <w:rPr/>
      </w:pPr>
      <w:r>
        <w:rPr>
          <w:rStyle w:val="Strong"/>
        </w:rPr>
        <w:t>Provenance.</w:t>
      </w:r>
      <w:r>
        <w:rPr/>
        <w:t xml:space="preserve"> These rows were </w:t>
      </w:r>
      <w:r>
        <w:rPr>
          <w:rStyle w:val="Strong"/>
        </w:rPr>
        <w:t>not</w:t>
      </w:r>
      <w:r>
        <w:rPr/>
        <w:t xml:space="preserve"> raised contemporaneously in this register, which did not exist. They are transcribed from commit messages in the project's Git history, which do record the defect, the root cause, the fix and — in most cases — the verification performed. Dates are the commit dates. They are entered here because they are genuine, verifiable records of nonconformity and corrective action, and because a register that begins empty would misrepresent a project with a real corrective-action track record. Nothing in these rows is inferred: where a commit does not record something, the cell says so.</w:t>
      </w:r>
    </w:p>
    <w:p>
      <w:pPr>
        <w:pStyle w:val="BlockQuotation"/>
        <w:bidi w:val="0"/>
        <w:jc w:val="left"/>
        <w:rPr/>
      </w:pPr>
      <w:r>
        <w:rPr/>
        <w:t xml:space="preserve">Entries are marked </w:t>
      </w:r>
      <w:r>
        <w:rPr>
          <w:rStyle w:val="SourceText"/>
        </w:rPr>
        <w:t>R</w:t>
      </w:r>
      <w:r>
        <w:rPr/>
        <w:t xml:space="preserve"> (retrospective). The first contemporaneously raised entry will be NC-2026-008.</w:t>
      </w:r>
    </w:p>
    <w:p>
      <w:pPr>
        <w:pStyle w:val="Heading3"/>
        <w:bidi w:val="0"/>
        <w:jc w:val="left"/>
        <w:rPr/>
      </w:pPr>
      <w:r>
        <w:rPr/>
        <w:t>NC-2026-001 (R) — Tenant isolation breach on the sparse transcript retrieval path</w:t>
      </w:r>
    </w:p>
    <w:tbl>
      <w:tblPr>
        <w:tblW w:w="5000" w:type="pct"/>
        <w:jc w:val="left"/>
        <w:tblInd w:w="-7" w:type="dxa"/>
        <w:tblLayout w:type="fixed"/>
        <w:tblCellMar>
          <w:top w:w="60" w:type="dxa"/>
          <w:left w:w="60" w:type="dxa"/>
          <w:bottom w:w="60" w:type="dxa"/>
          <w:right w:w="60" w:type="dxa"/>
        </w:tblCellMar>
      </w:tblPr>
      <w:tblGrid>
        <w:gridCol w:w="1460"/>
        <w:gridCol w:w="6462"/>
      </w:tblGrid>
      <w:tr>
        <w:trPr>
          <w:tblHeader w:val="true"/>
        </w:trPr>
        <w:tc>
          <w:tcPr>
            <w:tcW w:w="146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4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Golden-question evaluation regression (50/52 → 42/52) during the paper experiment campaign</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separately; fixed 2026-08-07</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S1</w:t>
            </w:r>
            <w:r>
              <w:rPr/>
              <w:t xml:space="preserve"> — cross-tenant data exposure in retrieval results</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advanced.py</w:t>
            </w:r>
            <w:r>
              <w:rPr/>
              <w:t xml:space="preserve"> called </w:t>
            </w:r>
            <w:r>
              <w:rPr>
                <w:rStyle w:val="SourceText"/>
              </w:rPr>
              <w:t>Bm25Index.search</w:t>
            </w:r>
            <w:r>
              <w:rPr/>
              <w:t xml:space="preserve"> directly for the sparse transcript path, bypassing the </w:t>
            </w:r>
            <w:r>
              <w:rPr>
                <w:rStyle w:val="SourceText"/>
              </w:rPr>
              <w:t>_ns_ok</w:t>
            </w:r>
            <w:r>
              <w:rPr/>
              <w:t xml:space="preserve"> namespace predicate applied by every other retrieval path. Under a tenant-scoped query it returned 10/10 out-of-namespace chunks, which also outranked in-namespace documents and silently zeroed citations on vertical queries.</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One retrieval path was added without routing through the shared namespace-enforcing wrapper; the control was implemented per-path rather than centrally. The defect was </w:t>
            </w:r>
            <w:r>
              <w:rPr>
                <w:rStyle w:val="Strong"/>
              </w:rPr>
              <w:t>pre-existing and latent</w:t>
            </w:r>
            <w:r>
              <w:rPr/>
              <w:t xml:space="preserve"> — it became observable only when the corpus grew from 10.3k to 17.6k chunks and the leaked hits began to outrank real ones.</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search_transcript_only_sparse()</w:t>
            </w:r>
            <w:r>
              <w:rPr/>
              <w:t xml:space="preserve"> wrapper enforcing the predicate; namespace candidate pool scaled with corpus size instead of a fixed 512.</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All five retrieval paths audited for the same class of defect.</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 — 0 out-of-namespace hits across 359 checked, all five paths; golden evaluation restored 42 → 49/52.</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impact / notification</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customer deployment was affected at the time (pre-commercial); no notification made.</w:t>
            </w:r>
          </w:p>
        </w:tc>
      </w:tr>
      <w:tr>
        <w:trPr/>
        <w:tc>
          <w:tcPr>
            <w:tcW w:w="146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4e27109</w:t>
            </w:r>
            <w:r>
              <w:rPr/>
              <w:t xml:space="preserve"> (2026-08-07); </w:t>
            </w:r>
            <w:r>
              <w:rPr>
                <w:rStyle w:val="SourceText"/>
              </w:rPr>
              <w:t>eval/paper/results/REGRESSION_AND_FIXES.json</w:t>
            </w:r>
          </w:p>
        </w:tc>
      </w:tr>
      <w:tr>
        <w:trPr/>
        <w:tc>
          <w:tcPr>
            <w:tcW w:w="146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4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effectiveness verified</w:t>
            </w:r>
          </w:p>
        </w:tc>
      </w:tr>
    </w:tbl>
    <w:p>
      <w:pPr>
        <w:pStyle w:val="Heading3"/>
        <w:bidi w:val="0"/>
        <w:jc w:val="left"/>
        <w:rPr/>
      </w:pPr>
      <w:r>
        <w:rPr/>
        <w:t>NC-2026-002 (R) — Five retrieval defects found by the golden-question evaluation</w:t>
      </w:r>
    </w:p>
    <w:tbl>
      <w:tblPr>
        <w:tblW w:w="5000" w:type="pct"/>
        <w:jc w:val="left"/>
        <w:tblInd w:w="-7" w:type="dxa"/>
        <w:tblLayout w:type="fixed"/>
        <w:tblCellMar>
          <w:top w:w="60" w:type="dxa"/>
          <w:left w:w="60" w:type="dxa"/>
          <w:bottom w:w="60" w:type="dxa"/>
          <w:right w:w="60" w:type="dxa"/>
        </w:tblCellMar>
      </w:tblPr>
      <w:tblGrid>
        <w:gridCol w:w="1671"/>
        <w:gridCol w:w="6251"/>
      </w:tblGrid>
      <w:tr>
        <w:trPr>
          <w:tblHeader w:val="true"/>
        </w:trPr>
        <w:tc>
          <w:tcPr>
            <w:tcW w:w="167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25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Golden-question evaluation</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fixed 2026-07-29</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S1</w:t>
            </w:r>
            <w:r>
              <w:rPr/>
              <w:t xml:space="preserve"> — includes a keyword-grep namespace leak (a second tenant-isolation hole)</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Five distinct retrieval defects identified by the evaluation suite, including a fallback grep path that did not filter by namespace.</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Recorded per-defect in the commit body. The common theme is the same as NC-2026-001: a control applied per-path rather than centrally.</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Five fixes in one commit.</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Partially recorded — the evaluation suite was the detector and was re-run; a per-defect verification statement is not recorded for all five.</w:t>
            </w:r>
          </w:p>
        </w:tc>
      </w:tr>
      <w:tr>
        <w:trPr/>
        <w:tc>
          <w:tcPr>
            <w:tcW w:w="167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25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ebd232f</w:t>
            </w:r>
            <w:r>
              <w:rPr/>
              <w:t xml:space="preserve"> (2026-07-29)</w:t>
            </w:r>
          </w:p>
        </w:tc>
      </w:tr>
      <w:tr>
        <w:trPr/>
        <w:tc>
          <w:tcPr>
            <w:tcW w:w="167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25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(effectiveness evidence incomplete — see §C observation O-1)</w:t>
            </w:r>
          </w:p>
        </w:tc>
      </w:tr>
    </w:tbl>
    <w:p>
      <w:pPr>
        <w:pStyle w:val="Heading3"/>
        <w:bidi w:val="0"/>
        <w:jc w:val="left"/>
        <w:rPr/>
      </w:pPr>
      <w:r>
        <w:rPr/>
        <w:t>NC-2026-003 (R) — Voice WebSocket authentication gate silently non-functional</w:t>
      </w:r>
    </w:p>
    <w:tbl>
      <w:tblPr>
        <w:tblW w:w="5000" w:type="pct"/>
        <w:jc w:val="left"/>
        <w:tblInd w:w="-7" w:type="dxa"/>
        <w:tblLayout w:type="fixed"/>
        <w:tblCellMar>
          <w:top w:w="60" w:type="dxa"/>
          <w:left w:w="60" w:type="dxa"/>
          <w:bottom w:w="60" w:type="dxa"/>
          <w:right w:w="60" w:type="dxa"/>
        </w:tblCellMar>
      </w:tblPr>
      <w:tblGrid>
        <w:gridCol w:w="1482"/>
        <w:gridCol w:w="6440"/>
      </w:tblGrid>
      <w:tr>
        <w:trPr>
          <w:tblHeader w:val="true"/>
        </w:trPr>
        <w:tc>
          <w:tcPr>
            <w:tcW w:w="148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4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 observation</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fixed 2026-07-29</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r>
              <w:rPr/>
              <w:t xml:space="preserve"> — a security control believed to be active was not active</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voice service's WebSocket auth gate was passed </w:t>
            </w:r>
            <w:r>
              <w:rPr>
                <w:rStyle w:val="SourceText"/>
              </w:rPr>
              <w:t>AUTH_SECRET</w:t>
            </w:r>
            <w:r>
              <w:rPr/>
              <w:t xml:space="preserve"> where it expected </w:t>
            </w:r>
            <w:r>
              <w:rPr>
                <w:rStyle w:val="SourceText"/>
              </w:rPr>
              <w:t>VOICE_AUTH_SECRET</w:t>
            </w:r>
            <w:r>
              <w:rPr/>
              <w:t>, so every handshake validation failed open/closed incorrectly and the gate did not work as intended.</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Cross-service configuration coupling with no test covering it; the two services must share a secret under different variable names.</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Correct variable passed; the coupling is now documented inline at </w:t>
            </w:r>
            <w:r>
              <w:rPr>
                <w:rStyle w:val="SourceText"/>
              </w:rPr>
              <w:t>docker-compose.yml:157-159</w:t>
            </w:r>
            <w:r>
              <w:rPr/>
              <w:t>.</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as an explicit verification step.</w:t>
            </w:r>
          </w:p>
        </w:tc>
      </w:tr>
      <w:tr>
        <w:trPr/>
        <w:tc>
          <w:tcPr>
            <w:tcW w:w="148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4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73f0b4f</w:t>
            </w:r>
            <w:r>
              <w:rPr/>
              <w:t xml:space="preserve"> (2026-07-29)</w:t>
            </w:r>
          </w:p>
        </w:tc>
      </w:tr>
      <w:tr>
        <w:trPr/>
        <w:tc>
          <w:tcPr>
            <w:tcW w:w="148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4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(effectiveness evidence incomplete — see §C observation O-1)</w:t>
            </w:r>
          </w:p>
        </w:tc>
      </w:tr>
    </w:tbl>
    <w:p>
      <w:pPr>
        <w:pStyle w:val="Heading3"/>
        <w:bidi w:val="0"/>
        <w:jc w:val="left"/>
        <w:rPr/>
      </w:pPr>
      <w:r>
        <w:rPr/>
        <w:t>NC-2026-004 (R) — Silent null-audio failure from an incorrect service port</w:t>
      </w:r>
    </w:p>
    <w:tbl>
      <w:tblPr>
        <w:tblW w:w="5000" w:type="pct"/>
        <w:jc w:val="left"/>
        <w:tblInd w:w="-7" w:type="dxa"/>
        <w:tblLayout w:type="fixed"/>
        <w:tblCellMar>
          <w:top w:w="60" w:type="dxa"/>
          <w:left w:w="60" w:type="dxa"/>
          <w:bottom w:w="60" w:type="dxa"/>
          <w:right w:w="60" w:type="dxa"/>
        </w:tblCellMar>
      </w:tblPr>
      <w:tblGrid>
        <w:gridCol w:w="1398"/>
        <w:gridCol w:w="6524"/>
      </w:tblGrid>
      <w:tr>
        <w:trPr>
          <w:tblHeader w:val="true"/>
        </w:trPr>
        <w:tc>
          <w:tcPr>
            <w:tcW w:w="139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2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 observation (feature did not work; nothing in the logs)</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fixed 2026-07-29</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feature silently unavailable, no diagnostic signal</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/api/transcribe/speak</w:t>
            </w:r>
            <w:r>
              <w:rPr/>
              <w:t xml:space="preserve"> defaulted to </w:t>
            </w:r>
            <w:r>
              <w:rPr>
                <w:rStyle w:val="SourceText"/>
              </w:rPr>
              <w:t>http://voice:8002/speak</w:t>
            </w:r>
            <w:r>
              <w:rPr/>
              <w:t xml:space="preserve">, but 8002 is only the host port mapping; on the Docker network the voice container listens on 8000. Every call hit "Connection refused", the error was swallowed by a debug-level </w:t>
            </w:r>
            <w:r>
              <w:rPr>
                <w:rStyle w:val="SourceText"/>
              </w:rPr>
              <w:t>except</w:t>
            </w:r>
            <w:r>
              <w:rPr/>
              <w:t xml:space="preserve">, and the endpoint silently returned </w:t>
            </w:r>
            <w:r>
              <w:rPr>
                <w:rStyle w:val="SourceText"/>
              </w:rPr>
              <w:t>{"audio_b64": null}</w:t>
            </w:r>
            <w:r>
              <w:rPr/>
              <w:t xml:space="preserve"> with nothing in the logs.</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Two causes: (a) host-port/container-port confusion in a default value; (b) </w:t>
            </w:r>
            <w:r>
              <w:rPr>
                <w:rStyle w:val="Strong"/>
              </w:rPr>
              <w:t>an exception handler that logged at DEBUG, converting a hard failure into a silent one.</w:t>
            </w:r>
            <w:r>
              <w:rPr/>
              <w:t xml:space="preserve"> The second is the more important cause and the more generalisable.</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Correct default plus a configurable </w:t>
            </w:r>
            <w:r>
              <w:rPr>
                <w:rStyle w:val="SourceText"/>
              </w:rPr>
              <w:t>VOICE_TTS_URL</w:t>
            </w:r>
            <w:r>
              <w:rPr/>
              <w:t>; an empty 2xx body now treated as failure; the fallback logged at WARNING instead of DEBUG "so a future misconfiguration is visible"; timeout raised 15 s → 30 s.</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 — three real outputs confirmed: card mode 122 KB WAV, summary mode 541 KB WAV, and via the public site 83 KB WAV with the RIFF header confirmed.</w:t>
            </w:r>
          </w:p>
        </w:tc>
      </w:tr>
      <w:tr>
        <w:trPr/>
        <w:tc>
          <w:tcPr>
            <w:tcW w:w="139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52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558eaae</w:t>
            </w:r>
            <w:r>
              <w:rPr/>
              <w:t xml:space="preserve"> (2026-07-29)</w:t>
            </w:r>
          </w:p>
        </w:tc>
      </w:tr>
      <w:tr>
        <w:trPr/>
        <w:tc>
          <w:tcPr>
            <w:tcW w:w="139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52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effectiveness verified</w:t>
            </w:r>
          </w:p>
        </w:tc>
      </w:tr>
    </w:tbl>
    <w:p>
      <w:pPr>
        <w:pStyle w:val="Heading3"/>
        <w:bidi w:val="0"/>
        <w:jc w:val="left"/>
        <w:rPr/>
      </w:pPr>
      <w:r>
        <w:rPr/>
        <w:t>NC-2026-005 (R) — Retrieval feature shipped enabled despite measuring worse</w:t>
      </w:r>
    </w:p>
    <w:tbl>
      <w:tblPr>
        <w:tblW w:w="5000" w:type="pct"/>
        <w:jc w:val="left"/>
        <w:tblInd w:w="-7" w:type="dxa"/>
        <w:tblLayout w:type="fixed"/>
        <w:tblCellMar>
          <w:top w:w="60" w:type="dxa"/>
          <w:left w:w="60" w:type="dxa"/>
          <w:bottom w:w="60" w:type="dxa"/>
          <w:right w:w="60" w:type="dxa"/>
        </w:tblCellMar>
      </w:tblPr>
      <w:tblGrid>
        <w:gridCol w:w="1819"/>
        <w:gridCol w:w="6103"/>
      </w:tblGrid>
      <w:tr>
        <w:trPr>
          <w:tblHeader w:val="true"/>
        </w:trPr>
        <w:tc>
          <w:tcPr>
            <w:tcW w:w="181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10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Evaluation measurement</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addressed 2026-07-30</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BookRAG hierarchical retrieval path was active by default but measured worse than the standard path.</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feature was enabled on expectation rather than on measurement.</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Gated behind </w:t>
            </w:r>
            <w:r>
              <w:rPr>
                <w:rStyle w:val="SourceText"/>
              </w:rPr>
              <w:t>RAG_ENABLE_BOOKRAG</w:t>
            </w:r>
            <w:r>
              <w:rPr/>
              <w:t>, default off.</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measurement that prompted the change is the evidence.</w:t>
            </w:r>
          </w:p>
        </w:tc>
      </w:tr>
      <w:tr>
        <w:trPr/>
        <w:tc>
          <w:tcPr>
            <w:tcW w:w="181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10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2decb99</w:t>
            </w:r>
            <w:r>
              <w:rPr/>
              <w:t xml:space="preserve"> (2026-07-30)</w:t>
            </w:r>
          </w:p>
        </w:tc>
      </w:tr>
      <w:tr>
        <w:trPr/>
        <w:tc>
          <w:tcPr>
            <w:tcW w:w="181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10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Noted as a positive example: a measured negative result was acted on rather than rationalised.</w:t>
            </w:r>
          </w:p>
        </w:tc>
      </w:tr>
    </w:tbl>
    <w:p>
      <w:pPr>
        <w:pStyle w:val="Heading3"/>
        <w:bidi w:val="0"/>
        <w:jc w:val="left"/>
        <w:rPr/>
      </w:pPr>
      <w:r>
        <w:rPr/>
        <w:t>NC-2026-006 (R) — Three build and runtime breakages surfaced by a clean rebuild</w:t>
      </w:r>
    </w:p>
    <w:tbl>
      <w:tblPr>
        <w:tblW w:w="5000" w:type="pct"/>
        <w:jc w:val="left"/>
        <w:tblInd w:w="-7" w:type="dxa"/>
        <w:tblLayout w:type="fixed"/>
        <w:tblCellMar>
          <w:top w:w="60" w:type="dxa"/>
          <w:left w:w="60" w:type="dxa"/>
          <w:bottom w:w="60" w:type="dxa"/>
          <w:right w:w="60" w:type="dxa"/>
        </w:tblCellMar>
      </w:tblPr>
      <w:tblGrid>
        <w:gridCol w:w="1351"/>
        <w:gridCol w:w="6571"/>
      </w:tblGrid>
      <w:tr>
        <w:trPr>
          <w:tblHeader w:val="true"/>
        </w:trPr>
        <w:tc>
          <w:tcPr>
            <w:tcW w:w="13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 observation during a from-scratch rebuild</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recorded; fixed 2026-09-04</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r>
              <w:rPr/>
              <w:t xml:space="preserve"> — two of the three prevented the service from building or starting</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A Python heredoc placed inside a </w:t>
            </w:r>
            <w:r>
              <w:rPr>
                <w:rStyle w:val="SourceText"/>
              </w:rPr>
              <w:t>RUN … \</w:t>
            </w:r>
            <w:r>
              <w:rPr/>
              <w:t xml:space="preserve"> continuation in </w:t>
            </w:r>
            <w:r>
              <w:rPr>
                <w:rStyle w:val="SourceText"/>
              </w:rPr>
              <w:t>voice/Dockerfile</w:t>
            </w:r>
            <w:r>
              <w:rPr/>
              <w:t xml:space="preserve"> caused every </w:t>
            </w:r>
            <w:r>
              <w:rPr>
                <w:rStyle w:val="SourceText"/>
              </w:rPr>
              <w:t>docker compose build voice</w:t>
            </w:r>
            <w:r>
              <w:rPr/>
              <w:t xml:space="preserve"> to fail with "unknown instruction: fi". (b) </w:t>
            </w:r>
            <w:r>
              <w:rPr>
                <w:rStyle w:val="SourceText"/>
              </w:rPr>
              <w:t>nemo_toolkit[asr]</w:t>
            </w:r>
            <w:r>
              <w:rPr/>
              <w:t xml:space="preserve"> installed from </w:t>
            </w:r>
            <w:r>
              <w:rPr>
                <w:rStyle w:val="SourceText"/>
              </w:rPr>
              <w:t>git@main</w:t>
            </w:r>
            <w:r>
              <w:rPr/>
              <w:t xml:space="preserve"> pulled </w:t>
            </w:r>
            <w:r>
              <w:rPr>
                <w:rStyle w:val="SourceText"/>
              </w:rPr>
              <w:t>setuptools&gt;=82</w:t>
            </w:r>
            <w:r>
              <w:rPr/>
              <w:t xml:space="preserve">, which removed </w:t>
            </w:r>
            <w:r>
              <w:rPr>
                <w:rStyle w:val="SourceText"/>
              </w:rPr>
              <w:t>pkg_resources</w:t>
            </w:r>
            <w:r>
              <w:rPr/>
              <w:t>; librosa failed at build (backend) and webrtcvad at runtime (voice crash-loop on boot). (c) Boardroom stored raw JSON text as the executive summary when the LLM's report JSON was truncated.</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and (c) are local defects. (b) is a </w:t>
            </w:r>
            <w:r>
              <w:rPr>
                <w:rStyle w:val="Strong"/>
              </w:rPr>
              <w:t>supplier-risk realisation</w:t>
            </w:r>
            <w:r>
              <w:rPr/>
              <w:t>: a production dependency installed from a moving Git branch rather than a release.</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Heredoc restructured; </w:t>
            </w:r>
            <w:r>
              <w:rPr>
                <w:rStyle w:val="SourceText"/>
              </w:rPr>
              <w:t>setuptools&gt;=70,&lt;82</w:t>
            </w:r>
            <w:r>
              <w:rPr/>
              <w:t xml:space="preserve"> re-pinned as the last install step in both Dockerfiles; a salvage parser added for truncated report JSON.</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underlying supplier risk — NeMo installed from </w:t>
            </w:r>
            <w:r>
              <w:rPr>
                <w:rStyle w:val="SourceText"/>
              </w:rPr>
              <w:t>@main</w:t>
            </w:r>
            <w:r>
              <w:rPr/>
              <w:t xml:space="preserve"> — was mitigated at the time and </w:t>
            </w:r>
            <w:r>
              <w:rPr>
                <w:rStyle w:val="Strong"/>
              </w:rPr>
              <w:t>removed on 2026-09-22</w:t>
            </w:r>
            <w:r>
              <w:rPr/>
              <w:t xml:space="preserve">: both Dockerfiles now pin NeMo to commit </w:t>
            </w:r>
            <w:r>
              <w:rPr>
                <w:rStyle w:val="SourceText"/>
              </w:rPr>
              <w:t>60ce9407</w:t>
            </w:r>
            <w:r>
              <w:rPr/>
              <w:t xml:space="preserve"> (commit </w:t>
            </w:r>
            <w:r>
              <w:rPr>
                <w:rStyle w:val="SourceText"/>
              </w:rPr>
              <w:t>51fd3bc</w:t>
            </w:r>
            <w:r>
              <w:rPr/>
              <w:t xml:space="preserve">; risk R-01 in </w:t>
            </w:r>
            <w:r>
              <w:rPr>
                <w:rStyle w:val="SourceText"/>
              </w:rPr>
              <w:t>REG-03</w:t>
            </w:r>
            <w:r>
              <w:rPr/>
              <w:t xml:space="preserve"> closed).</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Yes — verified on a from-scratch rebuild: all six containers healthy; chat, Silent Assistant live checks, voice turn, and boardroom analyse/export all pass; data and model volumes preserved.</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Latent condition exposed</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Running containers had previously been updated by </w:t>
            </w:r>
            <w:r>
              <w:rPr>
                <w:rStyle w:val="SourceText"/>
              </w:rPr>
              <w:t>docker cp</w:t>
            </w:r>
            <w:r>
              <w:rPr/>
              <w:t xml:space="preserve"> rather than by rebuild, so the images had drifted from source and the breakages were invisible until a clean rebuild. This is addressed as a control in SOP-06 §6.</w:t>
            </w:r>
          </w:p>
        </w:tc>
      </w:tr>
      <w:tr>
        <w:trPr/>
        <w:tc>
          <w:tcPr>
            <w:tcW w:w="13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5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w:t>
            </w:r>
            <w:r>
              <w:rPr>
                <w:rStyle w:val="SourceText"/>
              </w:rPr>
              <w:t>724fb98</w:t>
            </w:r>
            <w:r>
              <w:rPr/>
              <w:t xml:space="preserve"> (2026-09-04)</w:t>
            </w:r>
          </w:p>
        </w:tc>
      </w:tr>
      <w:tr>
        <w:trPr/>
        <w:tc>
          <w:tcPr>
            <w:tcW w:w="13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5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 the three defects on 2026-09-04; the root supplier risk on 2026-09-22 (REG-03 R-01)</w:t>
            </w:r>
          </w:p>
        </w:tc>
      </w:tr>
    </w:tbl>
    <w:p>
      <w:pPr>
        <w:pStyle w:val="Heading3"/>
        <w:bidi w:val="0"/>
        <w:jc w:val="left"/>
        <w:rPr/>
      </w:pPr>
      <w:r>
        <w:rPr/>
        <w:t>NC-2026-007 (R) — Published claims contradicted by the organisation's own measurements</w:t>
      </w:r>
    </w:p>
    <w:tbl>
      <w:tblPr>
        <w:tblW w:w="5000" w:type="pct"/>
        <w:jc w:val="left"/>
        <w:tblInd w:w="-7" w:type="dxa"/>
        <w:tblLayout w:type="fixed"/>
        <w:tblCellMar>
          <w:top w:w="60" w:type="dxa"/>
          <w:left w:w="60" w:type="dxa"/>
          <w:bottom w:w="60" w:type="dxa"/>
          <w:right w:w="60" w:type="dxa"/>
        </w:tblCellMar>
      </w:tblPr>
      <w:tblGrid>
        <w:gridCol w:w="1340"/>
        <w:gridCol w:w="6582"/>
      </w:tblGrid>
      <w:tr>
        <w:trPr>
          <w:tblHeader w:val="true"/>
        </w:trPr>
        <w:tc>
          <w:tcPr>
            <w:tcW w:w="134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8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experiment campaign (</w:t>
            </w:r>
            <w:r>
              <w:rPr>
                <w:rStyle w:val="SourceText"/>
              </w:rPr>
              <w:t>eval/paper/</w:t>
            </w:r>
            <w:r>
              <w:rPr/>
              <w:t>, experiments E1–E10)</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Recorded in </w:t>
            </w:r>
            <w:r>
              <w:rPr>
                <w:rStyle w:val="SourceText"/>
              </w:rPr>
              <w:t>eval/paper/results/SUMMARY.json</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affects the accuracy of published claims, not the product</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Measurements contradicted statements in the organisation's own conference paper: E1 — the paper's §7.2 argues the retrieval terms dominate the grounded-response time; measured, they are 2.8% of it. E4 — the paper claims the lattice degrades an injection attempt to a </w:t>
            </w:r>
            <w:r>
              <w:rPr>
                <w:rStyle w:val="Emphasis"/>
              </w:rPr>
              <w:t>reportable</w:t>
            </w:r>
            <w:r>
              <w:rPr/>
              <w:t xml:space="preserve"> event; the measured report rate is 0.000 in every arm, so containment is real but silent. E3 — the timing channel is not closed. E2 — recorded as </w:t>
            </w:r>
            <w:r>
              <w:rPr>
                <w:rStyle w:val="SourceText"/>
              </w:rPr>
              <w:t>"not_run"</w:t>
            </w:r>
            <w:r>
              <w:rPr/>
              <w:t xml:space="preserve"> with a stated reason rather than estimated.</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Claims were reasoned rather than measured at the time of writing.</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findings are recorded verbatim in the results file, including the contradictions.</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Pending — the claims should be corrected in any future version of the paper, and the "measure before claiming" rule is now QP-01 §2.3.</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 until a future publication.</w:t>
            </w:r>
          </w:p>
        </w:tc>
      </w:tr>
      <w:tr>
        <w:trPr/>
        <w:tc>
          <w:tcPr>
            <w:tcW w:w="134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5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p>
        </w:tc>
      </w:tr>
      <w:tr>
        <w:trPr/>
        <w:tc>
          <w:tcPr>
            <w:tcW w:w="134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58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 — action pending</w:t>
            </w:r>
          </w:p>
        </w:tc>
      </w:tr>
    </w:tbl>
    <w:p>
      <w:pPr>
        <w:pStyle w:val="HorizontalLine"/>
        <w:bidi w:val="0"/>
        <w:jc w:val="left"/>
        <w:rPr/>
      </w:pPr>
      <w:r>
        <w:rPr/>
      </w:r>
    </w:p>
    <w:p>
      <w:pPr>
        <w:pStyle w:val="Heading2"/>
        <w:bidi w:val="0"/>
        <w:jc w:val="left"/>
        <w:rPr/>
      </w:pPr>
      <w:r>
        <w:rPr/>
        <w:t>Section B — Contemporaneous entries</w:t>
      </w:r>
    </w:p>
    <w:p>
      <w:pPr>
        <w:pStyle w:val="Heading3"/>
        <w:bidi w:val="0"/>
        <w:jc w:val="left"/>
        <w:rPr/>
      </w:pPr>
      <w:r>
        <w:rPr/>
        <w:t>NC-2026-008 — Golden evaluation corpus absent; the quality instrument cannot measure</w:t>
      </w:r>
    </w:p>
    <w:tbl>
      <w:tblPr>
        <w:tblW w:w="5000" w:type="pct"/>
        <w:jc w:val="left"/>
        <w:tblInd w:w="-7" w:type="dxa"/>
        <w:tblLayout w:type="fixed"/>
        <w:tblCellMar>
          <w:top w:w="60" w:type="dxa"/>
          <w:left w:w="60" w:type="dxa"/>
          <w:bottom w:w="60" w:type="dxa"/>
          <w:right w:w="60" w:type="dxa"/>
        </w:tblCellMar>
      </w:tblPr>
      <w:tblGrid>
        <w:gridCol w:w="1367"/>
        <w:gridCol w:w="6555"/>
      </w:tblGrid>
      <w:tr>
        <w:trPr>
          <w:tblHeader w:val="true"/>
        </w:trPr>
        <w:tc>
          <w:tcPr>
            <w:tcW w:w="136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5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re-running the evaluation for audit evidence)</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Scheduled measurement ahead of the October surveillance audit</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r>
              <w:rPr/>
              <w:t xml:space="preserve"> — the organisation's primary quality instrument is inoperable, so product conformity cannot currently be evidenced (ISO 9001:2015 9.1.1)</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python3 eval/run_eval.py</w:t>
            </w:r>
            <w:r>
              <w:rPr/>
              <w:t xml:space="preserve"> against HEAD returned </w:t>
            </w:r>
            <w:r>
              <w:rPr>
                <w:rStyle w:val="Strong"/>
              </w:rPr>
              <w:t>9/52</w:t>
            </w:r>
            <w:r>
              <w:rPr/>
              <w:t xml:space="preserve">, down from 49/52 (2026-08-06). All </w:t>
            </w:r>
            <w:r>
              <w:rPr>
                <w:rStyle w:val="Strong"/>
              </w:rPr>
              <w:t>43 retrieval questions failed with zero citations</w:t>
            </w:r>
            <w:r>
              <w:rPr/>
              <w:t xml:space="preserve"> and document precision 0.00. Non-corpus categories were unaffected: smalltalk 6/6, refusal 2/2, off-corpus 1/1.</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Investigation</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Not a code regression.</w:t>
            </w:r>
            <w:r>
              <w:rPr/>
              <w:t xml:space="preserve"> Retrieval works when exercised directly (</w:t>
            </w:r>
            <w:r>
              <w:rPr>
                <w:rStyle w:val="SourceText"/>
              </w:rPr>
              <w:t>retrieve_reranked</w:t>
            </w:r>
            <w:r>
              <w:rPr/>
              <w:t xml:space="preserve"> returns 6 ranked hits). The cause is the corpus: the knowledge base holds only </w:t>
            </w:r>
            <w:r>
              <w:rPr>
                <w:rStyle w:val="Strong"/>
              </w:rPr>
              <w:t>5 Meridian Bank demo PDFs</w:t>
            </w:r>
            <w:r>
              <w:rPr/>
              <w:t xml:space="preserve">, while the golden set expects </w:t>
            </w:r>
            <w:r>
              <w:rPr>
                <w:rStyle w:val="Strong"/>
              </w:rPr>
              <w:t>15 documents</w:t>
            </w:r>
            <w:r>
              <w:rPr/>
              <w:t xml:space="preserve"> — the DoD FMR volumes (</w:t>
            </w:r>
            <w:r>
              <w:rPr>
                <w:rStyle w:val="SourceText"/>
              </w:rPr>
              <w:t>01_01</w:t>
            </w:r>
            <w:r>
              <w:rPr/>
              <w:t xml:space="preserve">, </w:t>
            </w:r>
            <w:r>
              <w:rPr>
                <w:rStyle w:val="SourceText"/>
              </w:rPr>
              <w:t>06a_02</w:t>
            </w:r>
            <w:r>
              <w:rPr/>
              <w:t xml:space="preserve">, </w:t>
            </w:r>
            <w:r>
              <w:rPr>
                <w:rStyle w:val="SourceText"/>
              </w:rPr>
              <w:t>14_02</w:t>
            </w:r>
            <w:r>
              <w:rPr/>
              <w:t xml:space="preserve">, </w:t>
            </w:r>
            <w:r>
              <w:rPr>
                <w:rStyle w:val="SourceText"/>
              </w:rPr>
              <w:t>14_03</w:t>
            </w:r>
            <w:r>
              <w:rPr/>
              <w:t xml:space="preserve">) and the vertical demo documents (Product Catalog, Dealership Inventory, Formulary, KYC-AML, Playbook, Visit Note, Company Policy Handbook, Q3 Product Strategy, Banking Products). Their source files are absent from </w:t>
            </w:r>
            <w:r>
              <w:rPr>
                <w:rStyle w:val="SourceText"/>
              </w:rPr>
              <w:t>/data/uploads</w:t>
            </w:r>
            <w:r>
              <w:rPr/>
              <w:t xml:space="preserve"> (5 files present), so they were removed rather than merely de-indexed. Every retrieval question therefore fails by construction.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evaluation corpus is </w:t>
            </w:r>
            <w:r>
              <w:rPr>
                <w:rStyle w:val="Strong"/>
              </w:rPr>
              <w:t>not version-controlled and not reproducible</w:t>
            </w:r>
            <w:r>
              <w:rPr/>
              <w:t>. The golden question set is tracked in git (</w:t>
            </w:r>
            <w:r>
              <w:rPr>
                <w:rStyle w:val="SourceText"/>
              </w:rPr>
              <w:t>eval/golden/*.jsonl</w:t>
            </w:r>
            <w:r>
              <w:rPr/>
              <w:t xml:space="preserve">), but the documents those questions are asked </w:t>
            </w:r>
            <w:r>
              <w:rPr>
                <w:rStyle w:val="Emphasis"/>
              </w:rPr>
              <w:t>about</w:t>
            </w:r>
            <w:r>
              <w:rPr/>
              <w:t xml:space="preserve"> live only in a mutable runtime volume. Any re-ingest, clear-down or environment rebuild silently invalidates the entire instrument, with no signal until someone runs it. Contributing factor: auto-store has grown the corpus to 9,602 documents of which only 5 are content, so a content document's absence is invisible in aggregate counts.</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Further investigation (2026-10-07)</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activity log shows 46 document deletions on 2026-09-15 03:31–05:47 UTC, minutes after commit </w:t>
            </w:r>
            <w:r>
              <w:rPr>
                <w:rStyle w:val="SourceText"/>
              </w:rPr>
              <w:t>15f3c96</w:t>
            </w:r>
            <w:r>
              <w:rPr/>
              <w:t>, while the Meridian Bank demo set was loaded — the probable point at which the evaluation corpus left the knowledge base (</w:t>
            </w:r>
            <w:r>
              <w:rPr>
                <w:rStyle w:val="SourceText"/>
              </w:rPr>
              <w:t>records/capa/2026-10-07_NC-2026-009_access_log_review.md</w:t>
            </w:r>
            <w:r>
              <w:rPr/>
              <w:t xml:space="preserve"> §3).</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None yet — the source documents must be recovered or re-obtained. Corrective action (b) implemented 2026-10-07: </w:t>
            </w:r>
            <w:r>
              <w:rPr>
                <w:rStyle w:val="SourceText"/>
              </w:rPr>
              <w:t>run_eval.py</w:t>
            </w:r>
            <w:r>
              <w:rPr/>
              <w:t xml:space="preserve"> now aborts, listing the missing documents (verified: 15 listed, exit code 2).</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(proposed)</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Treat the evaluation corpus as a controlled configuration item: store the source documents, or a manifest with checksums, under version control alongside the questions. (b) Add a corpus pre-flight check to </w:t>
            </w:r>
            <w:r>
              <w:rPr>
                <w:rStyle w:val="SourceText"/>
              </w:rPr>
              <w:t>run_eval.py</w:t>
            </w:r>
            <w:r>
              <w:rPr/>
              <w:t xml:space="preserve"> that asserts every </w:t>
            </w:r>
            <w:r>
              <w:rPr>
                <w:rStyle w:val="SourceText"/>
              </w:rPr>
              <w:t>expect_docs</w:t>
            </w:r>
            <w:r>
              <w:rPr/>
              <w:t xml:space="preserve"> entry is present and </w:t>
            </w:r>
            <w:r>
              <w:rPr>
                <w:rStyle w:val="Strong"/>
              </w:rPr>
              <w:t>aborts with a clear message</w:t>
            </w:r>
            <w:r>
              <w:rPr/>
              <w:t xml:space="preserve"> rather than reporting a misleading score. (c) Re-ingest and re-measure.</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Pending — the suite must return a score comparable to the 2026-08-06 baseline on a restored corpus.</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impact</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This is an internal measurement capability; no customer deployment is affected.</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eval/reports/eval_20260922-135322.json</w:t>
            </w:r>
            <w:r>
              <w:rPr/>
              <w:t xml:space="preserve"> (retained); this investigation</w:t>
            </w:r>
          </w:p>
        </w:tc>
      </w:tr>
      <w:tr>
        <w:trPr/>
        <w:tc>
          <w:tcPr>
            <w:tcW w:w="136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655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136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Audit relevance</w:t>
            </w:r>
          </w:p>
        </w:tc>
        <w:tc>
          <w:tcPr>
            <w:tcW w:w="655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Must be disclosed at the 7 October dry run. It is a genuine gap, but it is also evidence of the management system working: a scheduled measurement detected an instrument failure that aggregate statistics concealed.</w:t>
            </w:r>
          </w:p>
        </w:tc>
      </w:tr>
    </w:tbl>
    <w:p>
      <w:pPr>
        <w:pStyle w:val="Heading3"/>
        <w:bidi w:val="0"/>
        <w:jc w:val="left"/>
        <w:rPr/>
      </w:pPr>
      <w:r>
        <w:rPr/>
        <w:t>NC-2026-009 — Public reference instance has no access control</w:t>
      </w:r>
    </w:p>
    <w:tbl>
      <w:tblPr>
        <w:tblW w:w="5000" w:type="pct"/>
        <w:jc w:val="left"/>
        <w:tblInd w:w="-7" w:type="dxa"/>
        <w:tblLayout w:type="fixed"/>
        <w:tblCellMar>
          <w:top w:w="60" w:type="dxa"/>
          <w:left w:w="60" w:type="dxa"/>
          <w:bottom w:w="60" w:type="dxa"/>
          <w:right w:w="60" w:type="dxa"/>
        </w:tblCellMar>
      </w:tblPr>
      <w:tblGrid>
        <w:gridCol w:w="1337"/>
        <w:gridCol w:w="6585"/>
      </w:tblGrid>
      <w:tr>
        <w:trPr>
          <w:tblHeader w:val="true"/>
        </w:trPr>
        <w:tc>
          <w:tcPr>
            <w:tcW w:w="13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8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(first observed 2026-09-28)</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during a system health check)</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check of the running system; re-verified while preparing the audit pack</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r>
              <w:rPr/>
              <w:t xml:space="preserve"> — a security control documented as mandatory and believed to be active was not active, placing any data in the instance at risk (the same class as NC-2026-003)</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https://echomind-ajace.com</w:t>
            </w:r>
            <w:r>
              <w:rPr/>
              <w:t xml:space="preserve"> returns </w:t>
            </w:r>
            <w:r>
              <w:rPr>
                <w:rStyle w:val="Strong"/>
              </w:rPr>
              <w:t>HTTP 200</w:t>
            </w:r>
            <w:r>
              <w:rPr/>
              <w:t xml:space="preserve"> with the application, not a 302 to a Cloudflare Access login — checked from the host and from an external network on 2026-09-28, and from the host on 2026-10-06. </w:t>
            </w:r>
            <w:r>
              <w:rPr>
                <w:rStyle w:val="SourceText"/>
              </w:rPr>
              <w:t>/api/auth/config</w:t>
            </w:r>
            <w:r>
              <w:rPr/>
              <w:t xml:space="preserve"> returns </w:t>
            </w:r>
            <w:r>
              <w:rPr>
                <w:rStyle w:val="SourceText"/>
              </w:rPr>
              <w:t>{"auth_enabled":false}</w:t>
            </w:r>
            <w:r>
              <w:rPr/>
              <w:t xml:space="preserve"> and </w:t>
            </w:r>
            <w:r>
              <w:rPr>
                <w:rStyle w:val="SourceText"/>
              </w:rPr>
              <w:t>/api/docs/list</w:t>
            </w:r>
            <w:r>
              <w:rPr/>
              <w:t xml:space="preserve"> returns the knowledge-base document list with no credentials. </w:t>
            </w:r>
            <w:r>
              <w:rPr>
                <w:rStyle w:val="SourceText"/>
              </w:rPr>
              <w:t>.env</w:t>
            </w:r>
            <w:r>
              <w:rPr/>
              <w:t xml:space="preserve"> sets </w:t>
            </w:r>
            <w:r>
              <w:rPr>
                <w:rStyle w:val="SourceText"/>
              </w:rPr>
              <w:t>AUTH_ENABLED=0</w:t>
            </w:r>
            <w:r>
              <w:rPr/>
              <w:t xml:space="preserve"> and </w:t>
            </w:r>
            <w:r>
              <w:rPr>
                <w:rStyle w:val="SourceText"/>
              </w:rPr>
              <w:t>VOICE_AUTH_ENABLED=0</w:t>
            </w:r>
            <w:r>
              <w:rPr/>
              <w:t xml:space="preserve">. Anyone who finds the URL can read, upload and delete knowledge-base content and use the GPU. This contradicts </w:t>
            </w:r>
            <w:r>
              <w:rPr>
                <w:rStyle w:val="SourceText"/>
              </w:rPr>
              <w:t>docs/PUBLIC_DEPLOYMENT.md</w:t>
            </w:r>
            <w:r>
              <w:rPr/>
              <w:t xml:space="preserve"> step 4 (Access "MANDATORY"), </w:t>
            </w:r>
            <w:r>
              <w:rPr>
                <w:rStyle w:val="SourceText"/>
              </w:rPr>
              <w:t>SOP-11</w:t>
            </w:r>
            <w:r>
              <w:rPr/>
              <w:t xml:space="preserve"> §5, and the existing-controls entry of </w:t>
            </w:r>
            <w:r>
              <w:rPr>
                <w:rStyle w:val="SourceText"/>
              </w:rPr>
              <w:t>REG-03</w:t>
            </w:r>
            <w:r>
              <w:rPr/>
              <w:t xml:space="preserve"> R-04.</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Investigation</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Application auth was enforced on 2026-07-30 (</w:t>
            </w:r>
            <w:r>
              <w:rPr>
                <w:rStyle w:val="SourceText"/>
              </w:rPr>
              <w:t>9810e98</w:t>
            </w:r>
            <w:r>
              <w:rPr/>
              <w:t xml:space="preserve">, </w:t>
            </w:r>
            <w:r>
              <w:rPr>
                <w:rStyle w:val="SourceText"/>
              </w:rPr>
              <w:t>73f0b4f</w:t>
            </w:r>
            <w:r>
              <w:rPr/>
              <w:t xml:space="preserve">) and was the only gate on the public URL. </w:t>
            </w:r>
            <w:r>
              <w:rPr>
                <w:rStyle w:val="Strong"/>
              </w:rPr>
              <w:t>The access-log review (2026-10-07) shows it was enforced for about 1¼ hours: unauthenticated calls succeeded again from 2026-07-30 02:56 UTC until 2026-10-06 ~20:00 UTC — about 68 days.</w:t>
            </w:r>
            <w:r>
              <w:rPr/>
              <w:t xml:space="preserve"> Who switched it off and why is not recorded (</w:t>
            </w:r>
            <w:r>
              <w:rPr>
                <w:rStyle w:val="SourceText"/>
              </w:rPr>
              <w:t>.env</w:t>
            </w:r>
            <w:r>
              <w:rPr/>
              <w:t xml:space="preserve"> is untracked). The review found 64 automated internet-scanner probes in that period (all 404) and no data change outside recorded engineering work — </w:t>
            </w:r>
            <w:r>
              <w:rPr>
                <w:rStyle w:val="SourceText"/>
              </w:rPr>
              <w:t>records/capa/2026-10-07_NC-2026-009_access_log_review.md</w:t>
            </w:r>
            <w:r>
              <w:rPr/>
              <w:t>.</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Security-relevant runtime configuration — </w:t>
            </w:r>
            <w:r>
              <w:rPr>
                <w:rStyle w:val="SourceText"/>
              </w:rPr>
              <w:t>.env</w:t>
            </w:r>
            <w:r>
              <w:rPr/>
              <w:t xml:space="preserve"> and the Cloudflare dashboard — sits </w:t>
            </w:r>
            <w:r>
              <w:rPr>
                <w:rStyle w:val="Strong"/>
              </w:rPr>
              <w:t>outside version control and change control</w:t>
            </w:r>
            <w:r>
              <w:rPr/>
              <w:t>, so a change to it leaves no record and triggers no review. The check that the public URL is gated (</w:t>
            </w:r>
            <w:r>
              <w:rPr>
                <w:rStyle w:val="SourceText"/>
              </w:rPr>
              <w:t>docs/PUBLIC_DEPLOYMENT.md</w:t>
            </w:r>
            <w:r>
              <w:rPr/>
              <w:t xml:space="preserve">, a manual </w:t>
            </w:r>
            <w:r>
              <w:rPr>
                <w:rStyle w:val="SourceText"/>
              </w:rPr>
              <w:t>curl</w:t>
            </w:r>
            <w:r>
              <w:rPr/>
              <w:t>) is not scheduled, so the regression was invisible until an unrelated health check.</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2026-10-06, about 20:00 UTC: </w:t>
            </w:r>
            <w:r>
              <w:rPr>
                <w:rStyle w:val="SourceText"/>
              </w:rPr>
              <w:t>AUTH_ENABLED=1</w:t>
            </w:r>
            <w:r>
              <w:rPr/>
              <w:t xml:space="preserve"> and </w:t>
            </w:r>
            <w:r>
              <w:rPr>
                <w:rStyle w:val="SourceText"/>
              </w:rPr>
              <w:t>VOICE_AUTH_ENABLED=1</w:t>
            </w:r>
            <w:r>
              <w:rPr/>
              <w:t xml:space="preserve"> set in </w:t>
            </w:r>
            <w:r>
              <w:rPr>
                <w:rStyle w:val="SourceText"/>
              </w:rPr>
              <w:t>.env</w:t>
            </w:r>
            <w:r>
              <w:rPr/>
              <w:t xml:space="preserve"> and the backend and voice services recreated. Cloudflare Access was not restored; application auth is the gate.</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 verified</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2026-10-06: from an external network, </w:t>
            </w:r>
            <w:r>
              <w:rPr>
                <w:rStyle w:val="SourceText"/>
              </w:rPr>
              <w:t>/api/docs/list</w:t>
            </w:r>
            <w:r>
              <w:rPr/>
              <w:t xml:space="preserve"> → </w:t>
            </w:r>
            <w:r>
              <w:rPr>
                <w:rStyle w:val="Strong"/>
              </w:rPr>
              <w:t>401</w:t>
            </w:r>
            <w:r>
              <w:rPr/>
              <w:t xml:space="preserve">; via the public URL, a wrong password → 401, the admin login → 200 and authenticated calls succeed; voice </w:t>
            </w:r>
            <w:r>
              <w:rPr>
                <w:rStyle w:val="SourceText"/>
              </w:rPr>
              <w:t>/ws</w:t>
            </w:r>
            <w:r>
              <w:rPr/>
              <w:t xml:space="preserve"> → </w:t>
            </w:r>
            <w:r>
              <w:rPr>
                <w:rStyle w:val="Strong"/>
              </w:rPr>
              <w:t>403</w:t>
            </w:r>
            <w:r>
              <w:rPr/>
              <w:t xml:space="preserve"> without a session and 101 with one; </w:t>
            </w:r>
            <w:r>
              <w:rPr>
                <w:rStyle w:val="SourceText"/>
              </w:rPr>
              <w:t>/api/auth/config</w:t>
            </w:r>
            <w:r>
              <w:rPr/>
              <w:t xml:space="preserve"> → </w:t>
            </w:r>
            <w:r>
              <w:rPr>
                <w:rStyle w:val="SourceText"/>
              </w:rPr>
              <w:t>auth_enabled: true</w:t>
            </w:r>
            <w:r>
              <w:rPr/>
              <w:t>.</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(proposed)</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Restore a gate and verify both the positive and negative case (</w:t>
            </w:r>
            <w:r>
              <w:rPr>
                <w:rStyle w:val="SourceText"/>
              </w:rPr>
              <w:t>SOP-08</w:t>
            </w:r>
            <w:r>
              <w:rPr/>
              <w:t xml:space="preserve"> P-8). (b) Schedule an external check that the public URL returns a login challenge, alerting on HTTP 200. (c) Record changes to security-relevant runtime settings in </w:t>
            </w:r>
            <w:r>
              <w:rPr>
                <w:rStyle w:val="SourceText"/>
              </w:rPr>
              <w:t>REG-07</w:t>
            </w:r>
            <w:r>
              <w:rPr/>
              <w:t>. (d) Review access logs for the exposure window and record the outcome here.</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actions implemented</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2026-10-07: (b) </w:t>
            </w:r>
            <w:r>
              <w:rPr>
                <w:rStyle w:val="SourceText"/>
              </w:rPr>
              <w:t>.github/workflows/public-gate-check.yml</w:t>
            </w:r>
            <w:r>
              <w:rPr/>
              <w:t xml:space="preserve"> checks the public URL from outside every 6 hours; (c) SOP-06 §10.1 + </w:t>
            </w:r>
            <w:r>
              <w:rPr>
                <w:rStyle w:val="SourceText"/>
              </w:rPr>
              <w:t>scripts/check_runtime_config.sh</w:t>
            </w:r>
            <w:r>
              <w:rPr/>
              <w:t xml:space="preserve"> + recorded baseline make runtime-setting changes visible and require a REG-07 entry; (d) access-log review done (record above).</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First external check 2026-10-07 from GitHub's network: </w:t>
            </w:r>
            <w:r>
              <w:rPr>
                <w:rStyle w:val="SourceText"/>
              </w:rPr>
              <w:t>/api/docs/list</w:t>
            </w:r>
            <w:r>
              <w:rPr/>
              <w:t xml:space="preserve"> → 401, </w:t>
            </w:r>
            <w:r>
              <w:rPr>
                <w:rStyle w:val="SourceText"/>
              </w:rPr>
              <w:t>auth_enabled: true</w:t>
            </w:r>
            <w:r>
              <w:rPr/>
              <w:t xml:space="preserve"> (run 37561803121). Pending — the check must keep passing over the coming weeks, and any </w:t>
            </w:r>
            <w:r>
              <w:rPr>
                <w:rStyle w:val="SourceText"/>
              </w:rPr>
              <w:t>.env</w:t>
            </w:r>
            <w:r>
              <w:rPr/>
              <w:t xml:space="preserve"> drift must surface in the check before it reaches production.</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impact</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customer deployment is affected. The reference instance holds demonstration documents (five Meridian Bank demo PDFs) and auto-stored transcripts from demo sessions.</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This entry; </w:t>
            </w:r>
            <w:r>
              <w:rPr>
                <w:rStyle w:val="SourceText"/>
              </w:rPr>
              <w:t>AUDIT_PACK_2026_EchoMind.md</w:t>
            </w:r>
            <w:r>
              <w:rPr/>
              <w:t xml:space="preserve"> W-8</w:t>
            </w:r>
          </w:p>
        </w:tc>
      </w:tr>
      <w:tr>
        <w:trPr/>
        <w:tc>
          <w:tcPr>
            <w:tcW w:w="1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65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 corrective actions implemented 2026-10-07; effectiveness under observation</w:t>
            </w:r>
          </w:p>
        </w:tc>
      </w:tr>
      <w:tr>
        <w:trPr/>
        <w:tc>
          <w:tcPr>
            <w:tcW w:w="13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Audit relevance</w:t>
            </w:r>
          </w:p>
        </w:tc>
        <w:tc>
          <w:tcPr>
            <w:tcW w:w="658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Disclose at the dry run, with the gate already restored.</w:t>
            </w:r>
          </w:p>
        </w:tc>
      </w:tr>
    </w:tbl>
    <w:p>
      <w:pPr>
        <w:pStyle w:val="Heading3"/>
        <w:bidi w:val="0"/>
        <w:jc w:val="left"/>
        <w:rPr/>
      </w:pPr>
      <w:r>
        <w:rPr/>
        <w:t>NC-2026-010 — Unit tests and frontend type-check failing undetected; v1.4.0 tagged with them failing</w:t>
      </w:r>
    </w:p>
    <w:tbl>
      <w:tblPr>
        <w:tblW w:w="5000" w:type="pct"/>
        <w:jc w:val="left"/>
        <w:tblInd w:w="-7" w:type="dxa"/>
        <w:tblLayout w:type="fixed"/>
        <w:tblCellMar>
          <w:top w:w="60" w:type="dxa"/>
          <w:left w:w="60" w:type="dxa"/>
          <w:bottom w:w="60" w:type="dxa"/>
          <w:right w:w="60" w:type="dxa"/>
        </w:tblCellMar>
      </w:tblPr>
      <w:tblGrid>
        <w:gridCol w:w="1437"/>
        <w:gridCol w:w="6485"/>
      </w:tblGrid>
      <w:tr>
        <w:trPr>
          <w:tblHeader w:val="true"/>
        </w:trPr>
        <w:tc>
          <w:tcPr>
            <w:tcW w:w="14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48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(detected and corrected 2026-09-28)</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during a system health check)</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Health check — running both unit suites and </w:t>
            </w:r>
            <w:r>
              <w:rPr>
                <w:rStyle w:val="SourceText"/>
              </w:rPr>
              <w:t>tsc --noEmit</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a verification control silently not working</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Running the suites against </w:t>
            </w:r>
            <w:r>
              <w:rPr>
                <w:rStyle w:val="SourceText"/>
              </w:rPr>
              <w:t>b3f3a35</w:t>
            </w:r>
            <w:r>
              <w:rPr/>
              <w:t xml:space="preserve"> (code-identical to </w:t>
            </w:r>
            <w:r>
              <w:rPr>
                <w:rStyle w:val="SourceText"/>
              </w:rPr>
              <w:t>v1.4.0</w:t>
            </w:r>
            <w:r>
              <w:rPr/>
              <w:t xml:space="preserve"> / </w:t>
            </w:r>
            <w:r>
              <w:rPr>
                <w:rStyle w:val="SourceText"/>
              </w:rPr>
              <w:t>eaa7b1a</w:t>
            </w:r>
            <w:r>
              <w:rPr/>
              <w:t xml:space="preserve"> — the only non-document difference is one evaluation report) found </w:t>
            </w:r>
            <w:r>
              <w:rPr>
                <w:rStyle w:val="Strong"/>
              </w:rPr>
              <w:t>4 of 40 backend tests and 1 of 127 voice test cases failing</w:t>
            </w:r>
            <w:r>
              <w:rPr/>
              <w:t xml:space="preserve">, and </w:t>
            </w:r>
            <w:r>
              <w:rPr>
                <w:rStyle w:val="Strong"/>
              </w:rPr>
              <w:t>20 TypeScript errors</w:t>
            </w:r>
            <w:r>
              <w:rPr/>
              <w:t xml:space="preserve"> in </w:t>
            </w:r>
            <w:r>
              <w:rPr>
                <w:rStyle w:val="SourceText"/>
              </w:rPr>
              <w:t>frontend/verticals/</w:t>
            </w:r>
            <w:r>
              <w:rPr/>
              <w:t xml:space="preserve">. </w:t>
            </w:r>
            <w:r>
              <w:rPr>
                <w:rStyle w:val="SourceText"/>
              </w:rPr>
              <w:t>v1.4.0</w:t>
            </w:r>
            <w:r>
              <w:rPr/>
              <w:t xml:space="preserve"> was therefore tagged with a failing unit suite.</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Investigation</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 product defect.</w:t>
            </w:r>
            <w:r>
              <w:rPr/>
              <w:t xml:space="preserve"> Every failure was a test or type annotation left behind by an intentional change: the embedder's </w:t>
            </w:r>
            <w:r>
              <w:rPr>
                <w:rStyle w:val="SourceText"/>
              </w:rPr>
              <w:t>kind=</w:t>
            </w:r>
            <w:r>
              <w:rPr/>
              <w:t xml:space="preserve"> argument (</w:t>
            </w:r>
            <w:r>
              <w:rPr>
                <w:rStyle w:val="SourceText"/>
              </w:rPr>
              <w:t>7e582e1</w:t>
            </w:r>
            <w:r>
              <w:rPr/>
              <w:t>), the curated-taxonomy tagger (</w:t>
            </w:r>
            <w:r>
              <w:rPr>
                <w:rStyle w:val="SourceText"/>
              </w:rPr>
              <w:t>15f3c96</w:t>
            </w:r>
            <w:r>
              <w:rPr/>
              <w:t>), the reworded Lawyer disclaimer (</w:t>
            </w:r>
            <w:r>
              <w:rPr>
                <w:rStyle w:val="SourceText"/>
              </w:rPr>
              <w:t>343117f</w:t>
            </w:r>
            <w:r>
              <w:rPr/>
              <w:t>), the confirmed wake-word rename (</w:t>
            </w:r>
            <w:r>
              <w:rPr>
                <w:rStyle w:val="SourceText"/>
              </w:rPr>
              <w:t>e0ca515</w:t>
            </w:r>
            <w:r>
              <w:rPr/>
              <w:t>), and a framer-motion easing type. The production build does not type-check, so the TypeScript errors had no runtime effect.</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Nothing runs the suites automatically</w:t>
            </w:r>
            <w:r>
              <w:rPr/>
              <w:t xml:space="preserve"> (gap G-02, risk R-08 — no CI), and no release check required them to pass before tagging (</w:t>
            </w:r>
            <w:r>
              <w:rPr>
                <w:rStyle w:val="SourceText"/>
              </w:rPr>
              <w:t>FRM-03</w:t>
            </w:r>
            <w:r>
              <w:rPr/>
              <w:t xml:space="preserve"> §3 was not completed for </w:t>
            </w:r>
            <w:r>
              <w:rPr>
                <w:rStyle w:val="SourceText"/>
              </w:rPr>
              <w:t>v1.4.0</w:t>
            </w:r>
            <w:r>
              <w:rPr/>
              <w:t>).</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5ddf8a6</w:t>
            </w:r>
            <w:r>
              <w:rPr/>
              <w:t xml:space="preserve"> (tests) and </w:t>
            </w:r>
            <w:r>
              <w:rPr>
                <w:rStyle w:val="SourceText"/>
              </w:rPr>
              <w:t>736ea61</w:t>
            </w:r>
            <w:r>
              <w:rPr/>
              <w:t xml:space="preserve"> (types), 2026-09-28.</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 verified</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2026-09-28: backend </w:t>
            </w:r>
            <w:r>
              <w:rPr>
                <w:rStyle w:val="Strong"/>
              </w:rPr>
              <w:t>40/40</w:t>
            </w:r>
            <w:r>
              <w:rPr/>
              <w:t xml:space="preserve">, voice </w:t>
            </w:r>
            <w:r>
              <w:rPr>
                <w:rStyle w:val="Strong"/>
              </w:rPr>
              <w:t>127/127</w:t>
            </w:r>
            <w:r>
              <w:rPr/>
              <w:t xml:space="preserve">, </w:t>
            </w:r>
            <w:r>
              <w:rPr>
                <w:rStyle w:val="SourceText"/>
              </w:rPr>
              <w:t>tsc --noEmit</w:t>
            </w:r>
            <w:r>
              <w:rPr/>
              <w:t xml:space="preserve"> </w:t>
            </w:r>
            <w:r>
              <w:rPr>
                <w:rStyle w:val="Strong"/>
              </w:rPr>
              <w:t>0 errors</w:t>
            </w:r>
            <w:r>
              <w:rPr/>
              <w:t>.</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(proposed)</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CI running both unit suites and the type-check on every push (</w:t>
            </w:r>
            <w:r>
              <w:rPr>
                <w:rStyle w:val="SourceText"/>
              </w:rPr>
              <w:t>COMPLETION_CHECKLIST</w:t>
            </w:r>
            <w:r>
              <w:rPr/>
              <w:t xml:space="preserve"> D7), and </w:t>
            </w:r>
            <w:r>
              <w:rPr>
                <w:rStyle w:val="SourceText"/>
              </w:rPr>
              <w:t>FRM-03</w:t>
            </w:r>
            <w:r>
              <w:rPr/>
              <w:t xml:space="preserve"> §3 completed from a real run before any tag.</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implemented</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2026-10-07: </w:t>
            </w:r>
            <w:r>
              <w:rPr>
                <w:rStyle w:val="SourceText"/>
              </w:rPr>
              <w:t>.github/workflows/ci.yml</w:t>
            </w:r>
            <w:r>
              <w:rPr/>
              <w:t xml:space="preserve"> runs the backend and voice unit suites and the front-end type-check on every push and pull request (recipe proven in clean environments: 50/50, 131/131).</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Verified 2026-10-07.</w:t>
            </w:r>
            <w:r>
              <w:rPr/>
              <w:t xml:space="preserve"> First CI run on </w:t>
            </w:r>
            <w:r>
              <w:rPr>
                <w:rStyle w:val="SourceText"/>
              </w:rPr>
              <w:t>main</w:t>
            </w:r>
            <w:r>
              <w:rPr/>
              <w:t xml:space="preserve"> passed all three jobs (run 37561379960). A deliberately failing test pushed to a throwaway branch turned CI red — backend job failed, "1 failed, 50 passed" (run 37561804619); the branch was then deleted.</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Customer impact</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w:t>
            </w:r>
          </w:p>
        </w:tc>
      </w:tr>
      <w:tr>
        <w:trPr/>
        <w:tc>
          <w:tcPr>
            <w:tcW w:w="14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Evidence</w:t>
            </w:r>
          </w:p>
        </w:tc>
        <w:tc>
          <w:tcPr>
            <w:tcW w:w="648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Commits </w:t>
            </w:r>
            <w:r>
              <w:rPr>
                <w:rStyle w:val="SourceText"/>
              </w:rPr>
              <w:t>5ddf8a6</w:t>
            </w:r>
            <w:r>
              <w:rPr/>
              <w:t xml:space="preserve">, </w:t>
            </w:r>
            <w:r>
              <w:rPr>
                <w:rStyle w:val="SourceText"/>
              </w:rPr>
              <w:t>736ea61</w:t>
            </w:r>
            <w:r>
              <w:rPr/>
              <w:t xml:space="preserve"> and their messages</w:t>
            </w:r>
          </w:p>
        </w:tc>
      </w:tr>
      <w:tr>
        <w:trPr/>
        <w:tc>
          <w:tcPr>
            <w:tcW w:w="14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48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2026-10-07 — correction and corrective action verified</w:t>
            </w:r>
          </w:p>
        </w:tc>
      </w:tr>
    </w:tbl>
    <w:p>
      <w:pPr>
        <w:pStyle w:val="Heading3"/>
        <w:bidi w:val="0"/>
        <w:jc w:val="left"/>
        <w:rPr/>
      </w:pPr>
      <w:r>
        <w:rPr/>
        <w:t>NC-2026-011 — Deployed code existed only in container writable layers (deployment drift)</w:t>
      </w:r>
    </w:p>
    <w:tbl>
      <w:tblPr>
        <w:tblW w:w="5000" w:type="pct"/>
        <w:jc w:val="left"/>
        <w:tblInd w:w="-7" w:type="dxa"/>
        <w:tblLayout w:type="fixed"/>
        <w:tblCellMar>
          <w:top w:w="60" w:type="dxa"/>
          <w:left w:w="60" w:type="dxa"/>
          <w:bottom w:w="60" w:type="dxa"/>
          <w:right w:w="60" w:type="dxa"/>
        </w:tblCellMar>
      </w:tblPr>
      <w:tblGrid>
        <w:gridCol w:w="1451"/>
        <w:gridCol w:w="6471"/>
      </w:tblGrid>
      <w:tr>
        <w:trPr>
          <w:tblHeader w:val="true"/>
        </w:trPr>
        <w:tc>
          <w:tcPr>
            <w:tcW w:w="14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4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Richard Watson Stephen Amudha (Lead Engineer) (detected by a pre-restart </w:t>
            </w:r>
            <w:r>
              <w:rPr>
                <w:rStyle w:val="SourceText"/>
              </w:rPr>
              <w:t>docker diff</w:t>
            </w:r>
            <w:r>
              <w:rPr/>
              <w:t xml:space="preserve"> check)</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 control before restarting services</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configuration control silently not working; no customer impact because it was caught before the restart</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running backend (99 files under </w:t>
            </w:r>
            <w:r>
              <w:rPr>
                <w:rStyle w:val="SourceText"/>
              </w:rPr>
              <w:t>/app/app</w:t>
            </w:r>
            <w:r>
              <w:rPr/>
              <w:t xml:space="preserve">), voice (20 files) and frontend (web assets) carried code copied in with </w:t>
            </w:r>
            <w:r>
              <w:rPr>
                <w:rStyle w:val="SourceText"/>
              </w:rPr>
              <w:t>docker cp</w:t>
            </w:r>
            <w:r>
              <w:rPr/>
              <w:t xml:space="preserve"> that had never been saved to any image. Their image tags pointed at 2026-09-04 builds, so a plain </w:t>
            </w:r>
            <w:r>
              <w:rPr>
                <w:rStyle w:val="SourceText"/>
              </w:rPr>
              <w:t>docker compose up -d</w:t>
            </w:r>
            <w:r>
              <w:rPr/>
              <w:t xml:space="preserve"> would have silently reverted all three services by about a month.</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Deployments were made by </w:t>
            </w:r>
            <w:r>
              <w:rPr>
                <w:rStyle w:val="SourceText"/>
              </w:rPr>
              <w:t>docker cp</w:t>
            </w:r>
            <w:r>
              <w:rPr/>
              <w:t xml:space="preserve"> into running containers rather than by building and tagging images, so the deployed state was not reproducible from any controlled artefact.</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2026-10-06: each container saved with </w:t>
            </w:r>
            <w:r>
              <w:rPr>
                <w:rStyle w:val="SourceText"/>
              </w:rPr>
              <w:t>docker commit</w:t>
            </w:r>
            <w:r>
              <w:rPr/>
              <w:t xml:space="preserve"> (</w:t>
            </w:r>
            <w:r>
              <w:rPr>
                <w:rStyle w:val="SourceText"/>
              </w:rPr>
              <w:t>:running-20261006</w:t>
            </w:r>
            <w:r>
              <w:rPr/>
              <w:t>), previous tags kept (</w:t>
            </w:r>
            <w:r>
              <w:rPr>
                <w:rStyle w:val="SourceText"/>
              </w:rPr>
              <w:t>:pre-20261006-tag</w:t>
            </w:r>
            <w:r>
              <w:rPr/>
              <w:t>), then restarted from the saved images. Live code verified identical to repo HEAD except the release-identification change.</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(proposed)</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Deploy only from images built with </w:t>
            </w:r>
            <w:r>
              <w:rPr>
                <w:rStyle w:val="SourceText"/>
              </w:rPr>
              <w:t>scripts/release.sh</w:t>
            </w:r>
            <w:r>
              <w:rPr/>
              <w:t xml:space="preserve"> and recorded in </w:t>
            </w:r>
            <w:r>
              <w:rPr>
                <w:rStyle w:val="SourceText"/>
              </w:rPr>
              <w:t>REG-08</w:t>
            </w:r>
            <w:r>
              <w:rPr/>
              <w:t xml:space="preserve">; check </w:t>
            </w:r>
            <w:r>
              <w:rPr>
                <w:rStyle w:val="SourceText"/>
              </w:rPr>
              <w:t>docker diff</w:t>
            </w:r>
            <w:r>
              <w:rPr/>
              <w:t xml:space="preserve"> before any restart.</w:t>
            </w:r>
          </w:p>
        </w:tc>
      </w:tr>
      <w:tr>
        <w:trPr/>
        <w:tc>
          <w:tcPr>
            <w:tcW w:w="14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4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Pending — the next deployment must come from a built, tagged image.</w:t>
            </w:r>
          </w:p>
        </w:tc>
      </w:tr>
      <w:tr>
        <w:trPr/>
        <w:tc>
          <w:tcPr>
            <w:tcW w:w="14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4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 corrective action pending</w:t>
            </w:r>
          </w:p>
        </w:tc>
      </w:tr>
    </w:tbl>
    <w:p>
      <w:pPr>
        <w:pStyle w:val="Heading3"/>
        <w:bidi w:val="0"/>
        <w:jc w:val="left"/>
        <w:rPr/>
      </w:pPr>
      <w:r>
        <w:rPr/>
        <w:t>NC-2026-012 — Logging out does not revoke the session token</w:t>
      </w:r>
    </w:p>
    <w:tbl>
      <w:tblPr>
        <w:tblW w:w="5000" w:type="pct"/>
        <w:jc w:val="left"/>
        <w:tblInd w:w="-7" w:type="dxa"/>
        <w:tblLayout w:type="fixed"/>
        <w:tblCellMar>
          <w:top w:w="60" w:type="dxa"/>
          <w:left w:w="60" w:type="dxa"/>
          <w:bottom w:w="60" w:type="dxa"/>
          <w:right w:w="60" w:type="dxa"/>
        </w:tblCellMar>
      </w:tblPr>
      <w:tblGrid>
        <w:gridCol w:w="1418"/>
        <w:gridCol w:w="6504"/>
      </w:tblGrid>
      <w:tr>
        <w:trPr>
          <w:tblHeader w:val="true"/>
        </w:trPr>
        <w:tc>
          <w:tcPr>
            <w:tcW w:w="141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0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test execution on 2026-10-06)</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TC-EM-AUTH-101</w:t>
            </w:r>
            <w:r>
              <w:rPr/>
              <w:t xml:space="preserve"> step AC-101.7</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a session control weaker than users would expect</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After </w:t>
            </w:r>
            <w:r>
              <w:rPr>
                <w:rStyle w:val="SourceText"/>
              </w:rPr>
              <w:t>POST /api/auth/logout</w:t>
            </w:r>
            <w:r>
              <w:rPr/>
              <w:t xml:space="preserve">, replaying the same token returned </w:t>
            </w:r>
            <w:r>
              <w:rPr>
                <w:rStyle w:val="Strong"/>
              </w:rPr>
              <w:t>HTTP 200</w:t>
            </w:r>
            <w:r>
              <w:rPr/>
              <w:t xml:space="preserve"> on </w:t>
            </w:r>
            <w:r>
              <w:rPr>
                <w:rStyle w:val="SourceText"/>
              </w:rPr>
              <w:t>/api/docs/list</w:t>
            </w:r>
            <w:r>
              <w:rPr/>
              <w:t>. A token remains valid until it expires (</w:t>
            </w:r>
            <w:r>
              <w:rPr>
                <w:rStyle w:val="SourceText"/>
              </w:rPr>
              <w:t>AUTH_TOKEN_TTL_MIN</w:t>
            </w:r>
            <w:r>
              <w:rPr/>
              <w:t xml:space="preserve"> = 720 minutes).</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Stateless JWT with no server-side revocation; logout only clears the browser cookie.</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Logout now revokes the token server-side (hash stored until expiry, rejected by </w:t>
            </w:r>
            <w:r>
              <w:rPr>
                <w:rStyle w:val="SourceText"/>
              </w:rPr>
              <w:t>decode_token</w:t>
            </w:r>
            <w:r>
              <w:rPr/>
              <w:t xml:space="preserve">); the voice WebSocket confirms the session with the backend and fails closed — </w:t>
            </w:r>
            <w:r>
              <w:rPr>
                <w:rStyle w:val="SourceText"/>
              </w:rPr>
              <w:t>e0ed4d0</w:t>
            </w:r>
            <w:r>
              <w:rPr/>
              <w:t xml:space="preserve">. Re-testing found the logout itself logged as anonymous (the activity log resolved the user after revocation); fixed in </w:t>
            </w:r>
            <w:r>
              <w:rPr>
                <w:rStyle w:val="SourceText"/>
              </w:rPr>
              <w:t>3feb5db</w:t>
            </w:r>
            <w:r>
              <w:rPr/>
              <w:t>.</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Regression tests </w:t>
            </w:r>
            <w:r>
              <w:rPr>
                <w:rStyle w:val="SourceText"/>
              </w:rPr>
              <w:t>test_nc012_*</w:t>
            </w:r>
            <w:r>
              <w:rPr/>
              <w:t xml:space="preserve"> (backend) and </w:t>
            </w:r>
            <w:r>
              <w:rPr>
                <w:rStyle w:val="SourceText"/>
              </w:rPr>
              <w:t>test_auth_session.py</w:t>
            </w:r>
            <w:r>
              <w:rPr/>
              <w:t xml:space="preserve"> (voice) added to the suites.</w:t>
            </w:r>
          </w:p>
        </w:tc>
      </w:tr>
      <w:tr>
        <w:trPr/>
        <w:tc>
          <w:tcPr>
            <w:tcW w:w="141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0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Acceptance run 4 (2026-10-06 22:28 UTC, v1.4.1): AC-101.7 replayed token → </w:t>
            </w:r>
            <w:r>
              <w:rPr>
                <w:rStyle w:val="Strong"/>
              </w:rPr>
              <w:t>401</w:t>
            </w:r>
            <w:r>
              <w:rPr/>
              <w:t>; AC-101.8 activity recorded for the user; AC-101.9 voice 403/101.</w:t>
            </w:r>
          </w:p>
        </w:tc>
      </w:tr>
      <w:tr>
        <w:trPr/>
        <w:tc>
          <w:tcPr>
            <w:tcW w:w="141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50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2026-10-06, effectiveness verified (release v1.4.1)</w:t>
            </w:r>
          </w:p>
        </w:tc>
      </w:tr>
    </w:tbl>
    <w:p>
      <w:pPr>
        <w:pStyle w:val="Heading3"/>
        <w:bidi w:val="0"/>
        <w:jc w:val="left"/>
        <w:rPr/>
      </w:pPr>
      <w:r>
        <w:rPr/>
        <w:t>NC-2026-013 — Document upload accepts binary executables</w:t>
      </w:r>
    </w:p>
    <w:tbl>
      <w:tblPr>
        <w:tblW w:w="5000" w:type="pct"/>
        <w:jc w:val="left"/>
        <w:tblInd w:w="-7" w:type="dxa"/>
        <w:tblLayout w:type="fixed"/>
        <w:tblCellMar>
          <w:top w:w="60" w:type="dxa"/>
          <w:left w:w="60" w:type="dxa"/>
          <w:bottom w:w="60" w:type="dxa"/>
          <w:right w:w="60" w:type="dxa"/>
        </w:tblCellMar>
      </w:tblPr>
      <w:tblGrid>
        <w:gridCol w:w="1525"/>
        <w:gridCol w:w="6397"/>
      </w:tblGrid>
      <w:tr>
        <w:trPr>
          <w:tblHeader w:val="true"/>
        </w:trPr>
        <w:tc>
          <w:tcPr>
            <w:tcW w:w="152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39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test execution on 2026-10-06)</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TC-EM-DOC-102</w:t>
            </w:r>
            <w:r>
              <w:rPr/>
              <w:t xml:space="preserve"> step DOC-102.5</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input validation missing; garbage content can enter the knowledge base</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4 KB binary file named </w:t>
            </w:r>
            <w:r>
              <w:rPr>
                <w:rStyle w:val="SourceText"/>
              </w:rPr>
              <w:t>tool.exe</w:t>
            </w:r>
            <w:r>
              <w:rPr/>
              <w:t xml:space="preserve"> was </w:t>
            </w:r>
            <w:r>
              <w:rPr>
                <w:rStyle w:val="Strong"/>
              </w:rPr>
              <w:t>accepted (HTTP 200) and indexed</w:t>
            </w:r>
            <w:r>
              <w:rPr/>
              <w:t xml:space="preserve"> into namespace </w:t>
            </w:r>
            <w:r>
              <w:rPr>
                <w:rStyle w:val="SourceText"/>
              </w:rPr>
              <w:t>qa-test</w:t>
            </w:r>
            <w:r>
              <w:rPr/>
              <w:t>. The test document was deleted immediately afterwards. Empty files are correctly rejected (HTTP 422).</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allow-list of file types; unknown types fall through to text extraction.</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Upload limited to .pdf/.docx/.pptx/.txt/.md, checked by content signature; binary text rejected with HTTP 415 — </w:t>
            </w:r>
            <w:r>
              <w:rPr>
                <w:rStyle w:val="SourceText"/>
              </w:rPr>
              <w:t>e0ed4d0</w:t>
            </w:r>
            <w:r>
              <w:rPr/>
              <w:t>.</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Regression tests </w:t>
            </w:r>
            <w:r>
              <w:rPr>
                <w:rStyle w:val="SourceText"/>
              </w:rPr>
              <w:t>test_nc013_*</w:t>
            </w:r>
            <w:r>
              <w:rPr/>
              <w:t xml:space="preserve"> added.</w:t>
            </w:r>
          </w:p>
        </w:tc>
      </w:tr>
      <w:tr>
        <w:trPr/>
        <w:tc>
          <w:tcPr>
            <w:tcW w:w="152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39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Acceptance run 4: DOC-102.5 </w:t>
            </w:r>
            <w:r>
              <w:rPr>
                <w:rStyle w:val="SourceText"/>
              </w:rPr>
              <w:t>tool.exe</w:t>
            </w:r>
            <w:r>
              <w:rPr/>
              <w:t xml:space="preserve"> → </w:t>
            </w:r>
            <w:r>
              <w:rPr>
                <w:rStyle w:val="Strong"/>
              </w:rPr>
              <w:t>HTTP 415</w:t>
            </w:r>
            <w:r>
              <w:rPr/>
              <w:t>, nothing stored; valid text upload still accepted (DOC-102.1).</w:t>
            </w:r>
          </w:p>
        </w:tc>
      </w:tr>
      <w:tr>
        <w:trPr/>
        <w:tc>
          <w:tcPr>
            <w:tcW w:w="152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39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2026-10-06, effectiveness verified (release v1.4.1)</w:t>
            </w:r>
          </w:p>
        </w:tc>
      </w:tr>
    </w:tbl>
    <w:p>
      <w:pPr>
        <w:pStyle w:val="Heading3"/>
        <w:bidi w:val="0"/>
        <w:jc w:val="left"/>
        <w:rPr/>
      </w:pPr>
      <w:r>
        <w:rPr/>
        <w:t>NC-2026-014 — Small-talk and not-found answers carry document citations</w:t>
      </w:r>
    </w:p>
    <w:tbl>
      <w:tblPr>
        <w:tblW w:w="5000" w:type="pct"/>
        <w:jc w:val="left"/>
        <w:tblInd w:w="-7" w:type="dxa"/>
        <w:tblLayout w:type="fixed"/>
        <w:tblCellMar>
          <w:top w:w="60" w:type="dxa"/>
          <w:left w:w="60" w:type="dxa"/>
          <w:bottom w:w="60" w:type="dxa"/>
          <w:right w:w="60" w:type="dxa"/>
        </w:tblCellMar>
      </w:tblPr>
      <w:tblGrid>
        <w:gridCol w:w="1383"/>
        <w:gridCol w:w="6539"/>
      </w:tblGrid>
      <w:tr>
        <w:trPr>
          <w:tblHeader w:val="true"/>
        </w:trPr>
        <w:tc>
          <w:tcPr>
            <w:tcW w:w="138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53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test execution on 2026-10-06)</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TC-EM-RAG-103</w:t>
            </w:r>
            <w:r>
              <w:rPr/>
              <w:t xml:space="preserve"> steps RAG-103.2 and RAG-103.3; UI screenshot SCR-04</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contradicts the documented behaviour that greetings never trigger retrieval and that only relevant passages are cited</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POST /api/chat/ask</w:t>
            </w:r>
            <w:r>
              <w:rPr/>
              <w:t xml:space="preserve"> with </w:t>
            </w:r>
            <w:r>
              <w:rPr>
                <w:rStyle w:val="Emphasis"/>
              </w:rPr>
              <w:t>"Hello! How are you today?"</w:t>
            </w:r>
            <w:r>
              <w:rPr/>
              <w:t xml:space="preserve"> returned a correct greeting </w:t>
            </w:r>
            <w:r>
              <w:rPr>
                <w:rStyle w:val="Strong"/>
              </w:rPr>
              <w:t>with two Meridian document citations</w:t>
            </w:r>
            <w:r>
              <w:rPr/>
              <w:t xml:space="preserve">. A question about something absent from the corpus was correctly answered as not found but still listed three citations. In the UI (Financial Advisor persona) an answer also pointed the user to </w:t>
            </w:r>
            <w:r>
              <w:rPr>
                <w:rStyle w:val="Emphasis"/>
              </w:rPr>
              <w:t>"FMR Volume 12, Chapter 14"</w:t>
            </w:r>
            <w:r>
              <w:rPr/>
              <w:t>, which is not in the knowledge base.</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To be investigated — the rules/semantic routing and the citation relevance filter are not applied on this path or this persona.</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Greeting + small talk recognised by rule; semantic intent classifier warmed at start-up; Financial Advisor prompt no longer asks the model to guess an FMR chapter — </w:t>
            </w:r>
            <w:r>
              <w:rPr>
                <w:rStyle w:val="SourceText"/>
              </w:rPr>
              <w:t>e0ed4d0</w:t>
            </w:r>
            <w:r>
              <w:rPr/>
              <w:t>.</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Regression tests </w:t>
            </w:r>
            <w:r>
              <w:rPr>
                <w:rStyle w:val="SourceText"/>
              </w:rPr>
              <w:t>test_nc014_*</w:t>
            </w:r>
            <w:r>
              <w:rPr/>
              <w:t xml:space="preserve"> added.</w:t>
            </w:r>
          </w:p>
        </w:tc>
      </w:tr>
      <w:tr>
        <w:trPr/>
        <w:tc>
          <w:tcPr>
            <w:tcW w:w="138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53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Acceptance run 4: RAG-103.3 small talk → </w:t>
            </w:r>
            <w:r>
              <w:rPr>
                <w:rStyle w:val="Strong"/>
              </w:rPr>
              <w:t>no citations</w:t>
            </w:r>
            <w:r>
              <w:rPr/>
              <w:t>, answered in ~1 s. Residual observation: a not-found answer may still list the passages that were searched (RAG-103.2) — tracked, not a failed criterion.</w:t>
            </w:r>
          </w:p>
        </w:tc>
      </w:tr>
      <w:tr>
        <w:trPr/>
        <w:tc>
          <w:tcPr>
            <w:tcW w:w="138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53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2026-10-06, effectiveness verified (release v1.4.1)</w:t>
            </w:r>
          </w:p>
        </w:tc>
      </w:tr>
    </w:tbl>
    <w:p>
      <w:pPr>
        <w:pStyle w:val="Heading3"/>
        <w:bidi w:val="0"/>
        <w:jc w:val="left"/>
        <w:rPr/>
      </w:pPr>
      <w:r>
        <w:rPr/>
        <w:t>NC-2026-015 — Export gateway does not detect an API-key format</w:t>
      </w:r>
    </w:p>
    <w:tbl>
      <w:tblPr>
        <w:tblW w:w="5000" w:type="pct"/>
        <w:jc w:val="left"/>
        <w:tblInd w:w="-7" w:type="dxa"/>
        <w:tblLayout w:type="fixed"/>
        <w:tblCellMar>
          <w:top w:w="60" w:type="dxa"/>
          <w:left w:w="60" w:type="dxa"/>
          <w:bottom w:w="60" w:type="dxa"/>
          <w:right w:w="60" w:type="dxa"/>
        </w:tblCellMar>
      </w:tblPr>
      <w:tblGrid>
        <w:gridCol w:w="1550"/>
        <w:gridCol w:w="6372"/>
      </w:tblGrid>
      <w:tr>
        <w:trPr>
          <w:tblHeader w:val="true"/>
        </w:trPr>
        <w:tc>
          <w:tcPr>
            <w:tcW w:w="155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37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test execution on 2026-10-06)</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TC-EM-EXP-108</w:t>
            </w:r>
            <w:r>
              <w:rPr/>
              <w:t xml:space="preserve"> step EXP-108.2</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S3</w:t>
            </w:r>
            <w:r>
              <w:rPr/>
              <w:t xml:space="preserve"> — a data-protection control partially not working</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With synthetic test values, the gateway detected and redacted the email address, phone number and SSN, but </w:t>
            </w:r>
            <w:r>
              <w:rPr>
                <w:rStyle w:val="Strong"/>
              </w:rPr>
              <w:t xml:space="preserve">did not detect the </w:t>
            </w:r>
            <w:r>
              <w:rPr>
                <w:rStyle w:val="SourceText"/>
              </w:rPr>
              <w:t>sk-test-…</w:t>
            </w:r>
            <w:r>
              <w:rPr>
                <w:rStyle w:val="Strong"/>
              </w:rPr>
              <w:t xml:space="preserve"> API key</w:t>
            </w:r>
            <w:r>
              <w:rPr/>
              <w:t>, which remained in the redacted copy.</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 (proposed)</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secret patterns do not cover this key format.</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Key patterns extended (multi-segment </w:t>
            </w:r>
            <w:r>
              <w:rPr>
                <w:rStyle w:val="SourceText"/>
              </w:rPr>
              <w:t>sk-</w:t>
            </w:r>
            <w:r>
              <w:rPr/>
              <w:t>/</w:t>
            </w:r>
            <w:r>
              <w:rPr>
                <w:rStyle w:val="SourceText"/>
              </w:rPr>
              <w:t>sk_</w:t>
            </w:r>
            <w:r>
              <w:rPr/>
              <w:t xml:space="preserve">, </w:t>
            </w:r>
            <w:r>
              <w:rPr>
                <w:rStyle w:val="SourceText"/>
              </w:rPr>
              <w:t>pk/rk_live/test</w:t>
            </w:r>
            <w:r>
              <w:rPr/>
              <w:t xml:space="preserve">, </w:t>
            </w:r>
            <w:r>
              <w:rPr>
                <w:rStyle w:val="SourceText"/>
              </w:rPr>
              <w:t>api_key=</w:t>
            </w:r>
            <w:r>
              <w:rPr/>
              <w:t xml:space="preserve"> assignments); overlapping matches merged before redaction — </w:t>
            </w:r>
            <w:r>
              <w:rPr>
                <w:rStyle w:val="SourceText"/>
              </w:rPr>
              <w:t>e0ed4d0</w:t>
            </w:r>
            <w:r>
              <w:rPr/>
              <w:t>.</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Regression tests </w:t>
            </w:r>
            <w:r>
              <w:rPr>
                <w:rStyle w:val="SourceText"/>
              </w:rPr>
              <w:t>test_nc015_*</w:t>
            </w:r>
            <w:r>
              <w:rPr/>
              <w:t xml:space="preserve"> added (key formats, overlap, no false positives).</w:t>
            </w:r>
          </w:p>
        </w:tc>
      </w:tr>
      <w:tr>
        <w:trPr/>
        <w:tc>
          <w:tcPr>
            <w:tcW w:w="155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37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Acceptance run 4: EXP-108 → api_key, email, phone, SSN all detected; </w:t>
            </w:r>
            <w:r>
              <w:rPr>
                <w:rStyle w:val="Strong"/>
              </w:rPr>
              <w:t>no sensitive value</w:t>
            </w:r>
            <w:r>
              <w:rPr/>
              <w:t xml:space="preserve"> in the redacted copy.</w:t>
            </w:r>
          </w:p>
        </w:tc>
      </w:tr>
      <w:tr>
        <w:trPr/>
        <w:tc>
          <w:tcPr>
            <w:tcW w:w="155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37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Closed</w:t>
            </w:r>
            <w:r>
              <w:rPr/>
              <w:t xml:space="preserve"> 2026-10-06, effectiveness verified (release v1.4.1)</w:t>
            </w:r>
          </w:p>
        </w:tc>
      </w:tr>
    </w:tbl>
    <w:p>
      <w:pPr>
        <w:pStyle w:val="Heading3"/>
        <w:bidi w:val="0"/>
        <w:jc w:val="left"/>
        <w:rPr/>
      </w:pPr>
      <w:r>
        <w:rPr/>
        <w:t>NC-2026-016 — Embedding service failed while its healthcheck reported healthy</w:t>
      </w:r>
    </w:p>
    <w:tbl>
      <w:tblPr>
        <w:tblW w:w="5000" w:type="pct"/>
        <w:jc w:val="left"/>
        <w:tblInd w:w="-7" w:type="dxa"/>
        <w:tblLayout w:type="fixed"/>
        <w:tblCellMar>
          <w:top w:w="60" w:type="dxa"/>
          <w:left w:w="60" w:type="dxa"/>
          <w:bottom w:w="60" w:type="dxa"/>
          <w:right w:w="60" w:type="dxa"/>
        </w:tblCellMar>
      </w:tblPr>
      <w:tblGrid>
        <w:gridCol w:w="1492"/>
        <w:gridCol w:w="6430"/>
      </w:tblGrid>
      <w:tr>
        <w:trPr>
          <w:tblHeader w:val="true"/>
        </w:trPr>
        <w:tc>
          <w:tcPr>
            <w:tcW w:w="149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64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Entry</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Date raised</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Raised by</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(detected by acceptance run 3)</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Source</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TC-EM-DOC-102</w:t>
            </w:r>
            <w:r>
              <w:rPr/>
              <w:t xml:space="preserve"> and </w:t>
            </w:r>
            <w:r>
              <w:rPr>
                <w:rStyle w:val="SourceText"/>
              </w:rPr>
              <w:t>TC-EM-RAG-103</w:t>
            </w:r>
            <w:r>
              <w:rPr/>
              <w:t xml:space="preserve"> returned HTTP 500 after the v1.4.1 deployment</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Severity</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S2</w:t>
            </w:r>
            <w:r>
              <w:rPr/>
              <w:t xml:space="preserve"> — loss of chat and document upload while every container reported healthy (silent failure, as NC-2026-003/004)</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Description</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Ollama could not create a CUDA context to reload its embedding model (</w:t>
            </w:r>
            <w:r>
              <w:rPr>
                <w:rStyle w:val="SourceText"/>
              </w:rPr>
              <w:t>ggml_cuda_init: out of memory</w:t>
            </w:r>
            <w:r>
              <w:rPr/>
              <w:t xml:space="preserve">) because the shared GPU was full (another stack's two vLLM engines held ≈ 64.6 GB). Every embedding call returned 500, so upload and chat failed. The Ollama healthcheck only runs </w:t>
            </w:r>
            <w:r>
              <w:rPr>
                <w:rStyle w:val="SourceText"/>
              </w:rPr>
              <w:t>ollama list</w:t>
            </w:r>
            <w:r>
              <w:rPr/>
              <w:t>, so the service stayed "healthy".</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Root cause</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Two causes: the GPU is shared with a stack outside EchoMind's control, and the healthcheck does not exercise the function it guards.</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Immediate correction</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22:27 UTC: embeddings moved to the CPU (</w:t>
            </w:r>
            <w:r>
              <w:rPr>
                <w:rStyle w:val="SourceText"/>
              </w:rPr>
              <w:t>OLLAMA_CUDA_VISIBLE_DEVICES=</w:t>
            </w:r>
            <w:r>
              <w:rPr/>
              <w:t xml:space="preserve"> — REG-07 DC-2026-005). Embedding call verified (768 dims).</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Correction verified</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Acceptance run 4 (22:28 UTC): DOC-102 and RAG-103 pass.</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(proposed)</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Healthcheck performs a real embedding call. (b) Decide a GPU-sharing policy for the host (REG-03).</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Corrective action (a) implemented</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 the Ollama healthcheck makes a real embedding call (</w:t>
            </w:r>
            <w:r>
              <w:rPr>
                <w:rStyle w:val="SourceText"/>
              </w:rPr>
              <w:t>docker-compose.yml</w:t>
            </w:r>
            <w:r>
              <w:rPr/>
              <w:t>); verified healthy, and the same probe returns exit 1 when embedding fails.</w:t>
            </w:r>
          </w:p>
        </w:tc>
      </w:tr>
      <w:tr>
        <w:trPr/>
        <w:tc>
          <w:tcPr>
            <w:tcW w:w="149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Effectiveness verification</w:t>
            </w:r>
          </w:p>
        </w:tc>
        <w:tc>
          <w:tcPr>
            <w:tcW w:w="64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Pending (b) — GPU-sharing policy.</w:t>
            </w:r>
          </w:p>
        </w:tc>
      </w:tr>
      <w:tr>
        <w:trPr/>
        <w:tc>
          <w:tcPr>
            <w:tcW w:w="149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Status</w:t>
            </w:r>
          </w:p>
        </w:tc>
        <w:tc>
          <w:tcPr>
            <w:tcW w:w="64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 corrective actions pending</w:t>
            </w:r>
          </w:p>
        </w:tc>
      </w:tr>
    </w:tbl>
    <w:p>
      <w:pPr>
        <w:pStyle w:val="HorizontalLine"/>
        <w:bidi w:val="0"/>
        <w:jc w:val="left"/>
        <w:rPr/>
      </w:pPr>
      <w:r>
        <w:rPr/>
      </w:r>
    </w:p>
    <w:p>
      <w:pPr>
        <w:pStyle w:val="Heading2"/>
        <w:bidi w:val="0"/>
        <w:jc w:val="left"/>
        <w:rPr/>
      </w:pPr>
      <w:r>
        <w:rPr/>
        <w:t>Section B (continued) — summary table</w:t>
      </w:r>
    </w:p>
    <w:tbl>
      <w:tblPr>
        <w:tblW w:w="7922" w:type="dxa"/>
        <w:jc w:val="left"/>
        <w:tblInd w:w="-7" w:type="dxa"/>
        <w:tblLayout w:type="fixed"/>
        <w:tblCellMar>
          <w:top w:w="60" w:type="dxa"/>
          <w:left w:w="60" w:type="dxa"/>
          <w:bottom w:w="60" w:type="dxa"/>
          <w:right w:w="60" w:type="dxa"/>
        </w:tblCellMar>
      </w:tblPr>
      <w:tblGrid>
        <w:gridCol w:w="590"/>
        <w:gridCol w:w="666"/>
        <w:gridCol w:w="1296"/>
        <w:gridCol w:w="831"/>
        <w:gridCol w:w="1206"/>
        <w:gridCol w:w="816"/>
        <w:gridCol w:w="1161"/>
        <w:gridCol w:w="1356"/>
      </w:tblGrid>
      <w:tr>
        <w:trPr>
          <w:tblHeader w:val="true"/>
        </w:trPr>
        <w:tc>
          <w:tcPr>
            <w:tcW w:w="59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NC ID</w:t>
            </w:r>
          </w:p>
        </w:tc>
        <w:tc>
          <w:tcPr>
            <w:tcW w:w="66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 raised</w:t>
            </w:r>
          </w:p>
        </w:tc>
        <w:tc>
          <w:tcPr>
            <w:tcW w:w="12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Source</w:t>
            </w:r>
          </w:p>
        </w:tc>
        <w:tc>
          <w:tcPr>
            <w:tcW w:w="8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Severity</w:t>
            </w:r>
          </w:p>
        </w:tc>
        <w:tc>
          <w:tcPr>
            <w:tcW w:w="120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Description</w:t>
            </w:r>
          </w:p>
        </w:tc>
        <w:tc>
          <w:tcPr>
            <w:tcW w:w="81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Owner</w:t>
            </w:r>
          </w:p>
        </w:tc>
        <w:tc>
          <w:tcPr>
            <w:tcW w:w="116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Status</w:t>
            </w:r>
          </w:p>
        </w:tc>
        <w:tc>
          <w:tcPr>
            <w:tcW w:w="135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Closed (effectiveness verified)</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NC-2026-008</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S2</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 evaluation corpus absent — instrument inoperable</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NC-2026-009</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check</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S2</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Public reference instance has no access control (no Access, </w:t>
            </w:r>
            <w:r>
              <w:rPr>
                <w:rStyle w:val="SourceText"/>
              </w:rPr>
              <w:t>AUTH_ENABLED=0</w:t>
            </w:r>
            <w:r>
              <w:rPr/>
              <w:t>)</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Kishan Haravu Pradeep</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 actions pending</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NC-2026-010</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check</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Unit tests and type-check failing undetected; </w:t>
            </w:r>
            <w:r>
              <w:rPr>
                <w:rStyle w:val="SourceText"/>
              </w:rPr>
              <w:t>v1.4.0</w:t>
            </w:r>
            <w:r>
              <w:rPr/>
              <w:t xml:space="preserve"> tagged with them failing</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 (CI proven to fail on a broken test)</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NC-2026-011</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 control</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Deployed code only in container writable layers</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NC-2026-012</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Test TC-EM-AUTH-101</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Logout does not revoke the session token</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(run 4, v1.4.1)</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NC-2026-013</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Test TC-EM-DOC-102</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Upload accepts binary executables</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(run 4, v1.4.1)</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NC-2026-014</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Test TC-EM-RAG-103</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Small-talk / not-found answers carry citations</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(run 4, v1.4.1)</w:t>
            </w:r>
          </w:p>
        </w:tc>
      </w:tr>
      <w:tr>
        <w:trPr/>
        <w:tc>
          <w:tcPr>
            <w:tcW w:w="5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NC-2026-015</w:t>
            </w:r>
          </w:p>
        </w:tc>
        <w:tc>
          <w:tcPr>
            <w:tcW w:w="66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Test TC-EM-EXP-108</w:t>
            </w:r>
          </w:p>
        </w:tc>
        <w:tc>
          <w:tcPr>
            <w:tcW w:w="8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120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Export gateway misses an API-key format</w:t>
            </w:r>
          </w:p>
        </w:tc>
        <w:tc>
          <w:tcPr>
            <w:tcW w:w="81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p>
        </w:tc>
        <w:tc>
          <w:tcPr>
            <w:tcW w:w="135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2026-10-06 (run 4, v1.4.1)</w:t>
            </w:r>
          </w:p>
        </w:tc>
      </w:tr>
      <w:tr>
        <w:trPr/>
        <w:tc>
          <w:tcPr>
            <w:tcW w:w="59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NC-2026-016</w:t>
            </w:r>
          </w:p>
        </w:tc>
        <w:tc>
          <w:tcPr>
            <w:tcW w:w="66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2026-10-06</w:t>
            </w:r>
          </w:p>
        </w:tc>
        <w:tc>
          <w:tcPr>
            <w:tcW w:w="12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Test run 3</w:t>
            </w:r>
          </w:p>
        </w:tc>
        <w:tc>
          <w:tcPr>
            <w:tcW w:w="8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S2</w:t>
            </w:r>
          </w:p>
        </w:tc>
        <w:tc>
          <w:tcPr>
            <w:tcW w:w="120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Embedding service down while healthcheck green</w:t>
            </w:r>
          </w:p>
        </w:tc>
        <w:tc>
          <w:tcPr>
            <w:tcW w:w="81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Richard Watson Stephen Amudha</w:t>
            </w:r>
          </w:p>
        </w:tc>
        <w:tc>
          <w:tcPr>
            <w:tcW w:w="116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Open</w:t>
            </w:r>
            <w:r>
              <w:rPr/>
              <w:t xml:space="preserve"> — correction verified</w:t>
            </w:r>
          </w:p>
        </w:tc>
        <w:tc>
          <w:tcPr>
            <w:tcW w:w="135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r>
    </w:tbl>
    <w:p>
      <w:pPr>
        <w:pStyle w:val="BodyText"/>
        <w:bidi w:val="0"/>
        <w:jc w:val="left"/>
        <w:rPr/>
      </w:pPr>
      <w:r>
        <w:rPr>
          <w:rStyle w:val="Emphasis"/>
        </w:rPr>
        <w:t xml:space="preserve">(Add rows using </w:t>
      </w:r>
      <w:r>
        <w:rPr>
          <w:rStyle w:val="SourceText"/>
        </w:rPr>
        <w:t>forms/FRM-05_Nonconformity_and_CAPA_Record.md</w:t>
      </w:r>
      <w:r>
        <w:rPr>
          <w:rStyle w:val="Emphasis"/>
        </w:rPr>
        <w:t>; keep the full record in the form and summarise it here.)</w:t>
      </w:r>
    </w:p>
    <w:p>
      <w:pPr>
        <w:pStyle w:val="HorizontalLine"/>
        <w:bidi w:val="0"/>
        <w:jc w:val="left"/>
        <w:rPr/>
      </w:pPr>
      <w:r>
        <w:rPr/>
      </w:r>
    </w:p>
    <w:p>
      <w:pPr>
        <w:pStyle w:val="Heading2"/>
        <w:bidi w:val="0"/>
        <w:jc w:val="left"/>
        <w:rPr/>
      </w:pPr>
      <w:r>
        <w:rPr/>
        <w:t>Section C — Observations arising from the retrospective review</w:t>
      </w:r>
    </w:p>
    <w:tbl>
      <w:tblPr>
        <w:tblW w:w="5000" w:type="pct"/>
        <w:jc w:val="left"/>
        <w:tblInd w:w="-7" w:type="dxa"/>
        <w:tblLayout w:type="fixed"/>
        <w:tblCellMar>
          <w:top w:w="60" w:type="dxa"/>
          <w:left w:w="60" w:type="dxa"/>
          <w:bottom w:w="60" w:type="dxa"/>
          <w:right w:w="60" w:type="dxa"/>
        </w:tblCellMar>
      </w:tblPr>
      <w:tblGrid>
        <w:gridCol w:w="439"/>
        <w:gridCol w:w="4438"/>
        <w:gridCol w:w="3045"/>
      </w:tblGrid>
      <w:tr>
        <w:trPr>
          <w:tblHeader w:val="true"/>
        </w:trPr>
        <w:tc>
          <w:tcPr>
            <w:tcW w:w="43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443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Observation</w:t>
            </w:r>
          </w:p>
        </w:tc>
        <w:tc>
          <w:tcPr>
            <w:tcW w:w="30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Action</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O-1</w:t>
            </w:r>
          </w:p>
        </w:tc>
        <w:tc>
          <w:tcPr>
            <w:tcW w:w="44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Of the six retrospective defect entries, </w:t>
            </w:r>
            <w:r>
              <w:rPr>
                <w:rStyle w:val="Strong"/>
              </w:rPr>
              <w:t>three record explicit effectiveness verification and three do not.</w:t>
            </w:r>
            <w:r>
              <w:rPr/>
              <w:t xml:space="preserve"> Verification of effectiveness is the control most often skipped.</w:t>
            </w:r>
          </w:p>
        </w:tc>
        <w:tc>
          <w:tcPr>
            <w:tcW w:w="30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SOP-14 §7 makes effectiveness verification a mandatory closure condition. Tracked by objective QO-5.</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O-2</w:t>
            </w:r>
          </w:p>
        </w:tc>
        <w:tc>
          <w:tcPr>
            <w:tcW w:w="44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Two of the six (NC-2026-001, NC-2026-002) are the </w:t>
            </w:r>
            <w:r>
              <w:rPr>
                <w:rStyle w:val="Strong"/>
              </w:rPr>
              <w:t>same class of defect</w:t>
            </w:r>
            <w:r>
              <w:rPr/>
              <w:t>: a namespace/tenant-isolation control applied per retrieval path rather than centrally. A recurrence of a defect class is exactly what corrective action is meant to prevent.</w:t>
            </w:r>
          </w:p>
        </w:tc>
        <w:tc>
          <w:tcPr>
            <w:tcW w:w="30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Raise a corrective action to enforce namespace filtering structurally, so a new retrieval path cannot bypass it. To be added to Section B on adoption.</w:t>
            </w:r>
          </w:p>
        </w:tc>
      </w:tr>
      <w:tr>
        <w:trPr/>
        <w:tc>
          <w:tcPr>
            <w:tcW w:w="43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O-3</w:t>
            </w:r>
          </w:p>
        </w:tc>
        <w:tc>
          <w:tcPr>
            <w:tcW w:w="44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Two defects (NC-2026-003, NC-2026-004) were </w:t>
            </w:r>
            <w:r>
              <w:rPr>
                <w:rStyle w:val="Strong"/>
              </w:rPr>
              <w:t>silent failures</w:t>
            </w:r>
            <w:r>
              <w:rPr/>
              <w:t xml:space="preserve"> — a control or feature that appeared to work but did not. Silent failure is a distinct and dangerous class for this product.</w:t>
            </w:r>
          </w:p>
        </w:tc>
        <w:tc>
          <w:tcPr>
            <w:tcW w:w="30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SOP-10 §3 names silent failure explicitly; SOP-12 requires that a failure path produce an observable signal.</w:t>
            </w:r>
          </w:p>
        </w:tc>
      </w:tr>
      <w:tr>
        <w:trPr/>
        <w:tc>
          <w:tcPr>
            <w:tcW w:w="43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O-4</w:t>
            </w:r>
          </w:p>
        </w:tc>
        <w:tc>
          <w:tcPr>
            <w:tcW w:w="443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nonconformity in the retrospective set was ever assigned an owner or a due date, because no register existed.</w:t>
            </w:r>
          </w:p>
        </w:tc>
        <w:tc>
          <w:tcPr>
            <w:tcW w:w="30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This register, from Section B onward.</w:t>
            </w:r>
          </w:p>
        </w:tc>
      </w:tr>
    </w:tbl>
    <w:p>
      <w:pPr>
        <w:pStyle w:val="HorizontalLine"/>
        <w:bidi w:val="0"/>
        <w:jc w:val="left"/>
        <w:rPr/>
      </w:pPr>
      <w:r>
        <w:rPr/>
      </w:r>
    </w:p>
    <w:p>
      <w:pPr>
        <w:pStyle w:val="Heading2"/>
        <w:bidi w:val="0"/>
        <w:jc w:val="left"/>
        <w:rPr/>
      </w:pPr>
      <w:r>
        <w:rPr/>
        <w:t>Statistics</w:t>
      </w:r>
    </w:p>
    <w:tbl>
      <w:tblPr>
        <w:tblW w:w="5000" w:type="pct"/>
        <w:jc w:val="left"/>
        <w:tblInd w:w="-7" w:type="dxa"/>
        <w:tblLayout w:type="fixed"/>
        <w:tblCellMar>
          <w:top w:w="60" w:type="dxa"/>
          <w:left w:w="60" w:type="dxa"/>
          <w:bottom w:w="60" w:type="dxa"/>
          <w:right w:w="60" w:type="dxa"/>
        </w:tblCellMar>
      </w:tblPr>
      <w:tblGrid>
        <w:gridCol w:w="1993"/>
        <w:gridCol w:w="4537"/>
        <w:gridCol w:w="1392"/>
      </w:tblGrid>
      <w:tr>
        <w:trPr>
          <w:tblHeader w:val="true"/>
        </w:trPr>
        <w:tc>
          <w:tcPr>
            <w:tcW w:w="199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Metric</w:t>
            </w:r>
          </w:p>
        </w:tc>
        <w:tc>
          <w:tcPr>
            <w:tcW w:w="453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c>
          <w:tcPr>
            <w:tcW w:w="139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As at</w:t>
            </w:r>
          </w:p>
        </w:tc>
      </w:tr>
      <w:tr>
        <w:trPr/>
        <w:tc>
          <w:tcPr>
            <w:tcW w:w="19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Commits on </w:t>
            </w:r>
            <w:r>
              <w:rPr>
                <w:rStyle w:val="SourceText"/>
              </w:rPr>
              <w:t>main</w:t>
            </w:r>
          </w:p>
        </w:tc>
        <w:tc>
          <w:tcPr>
            <w:tcW w:w="4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w:t>
            </w:r>
          </w:p>
        </w:tc>
        <w:tc>
          <w:tcPr>
            <w:tcW w:w="13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2026-09-21 (</w:t>
            </w:r>
            <w:r>
              <w:rPr>
                <w:rStyle w:val="SourceText"/>
              </w:rPr>
              <w:t>ff29843</w:t>
            </w:r>
            <w:r>
              <w:rPr/>
              <w:t>)</w:t>
            </w:r>
          </w:p>
        </w:tc>
      </w:tr>
      <w:tr>
        <w:trPr/>
        <w:tc>
          <w:tcPr>
            <w:tcW w:w="19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Commits prefixed </w:t>
            </w:r>
            <w:r>
              <w:rPr>
                <w:rStyle w:val="SourceText"/>
              </w:rPr>
              <w:t>fix:</w:t>
            </w:r>
          </w:p>
        </w:tc>
        <w:tc>
          <w:tcPr>
            <w:tcW w:w="4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22</w:t>
            </w:r>
          </w:p>
        </w:tc>
        <w:tc>
          <w:tcPr>
            <w:tcW w:w="13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2026-09-21</w:t>
            </w:r>
          </w:p>
        </w:tc>
      </w:tr>
      <w:tr>
        <w:trPr/>
        <w:tc>
          <w:tcPr>
            <w:tcW w:w="19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Retrospective NCs recorded here</w:t>
            </w:r>
          </w:p>
        </w:tc>
        <w:tc>
          <w:tcPr>
            <w:tcW w:w="4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w:t>
            </w:r>
          </w:p>
        </w:tc>
        <w:tc>
          <w:tcPr>
            <w:tcW w:w="13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2026-09-21</w:t>
            </w:r>
          </w:p>
        </w:tc>
      </w:tr>
      <w:tr>
        <w:trPr/>
        <w:tc>
          <w:tcPr>
            <w:tcW w:w="19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Of which S1</w:t>
            </w:r>
          </w:p>
        </w:tc>
        <w:tc>
          <w:tcPr>
            <w:tcW w:w="4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13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sz w:val="4"/>
                <w:szCs w:val="4"/>
              </w:rPr>
            </w:pPr>
            <w:r>
              <w:rPr>
                <w:sz w:val="4"/>
                <w:szCs w:val="4"/>
              </w:rPr>
            </w:r>
          </w:p>
        </w:tc>
      </w:tr>
      <w:tr>
        <w:trPr/>
        <w:tc>
          <w:tcPr>
            <w:tcW w:w="199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Closed with effectiveness verified</w:t>
            </w:r>
          </w:p>
        </w:tc>
        <w:tc>
          <w:tcPr>
            <w:tcW w:w="453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139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sz w:val="4"/>
                <w:szCs w:val="4"/>
              </w:rPr>
            </w:pPr>
            <w:r>
              <w:rPr>
                <w:sz w:val="4"/>
                <w:szCs w:val="4"/>
              </w:rPr>
            </w:r>
          </w:p>
        </w:tc>
      </w:tr>
      <w:tr>
        <w:trPr/>
        <w:tc>
          <w:tcPr>
            <w:tcW w:w="199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Open</w:t>
            </w:r>
          </w:p>
        </w:tc>
        <w:tc>
          <w:tcPr>
            <w:tcW w:w="453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5 (NC-2026-007, 008, 009, 011, 016); NC-2026-010 closed 2026-10-07, NC-2026-012 to 015 closed 2026-10-06</w:t>
            </w:r>
          </w:p>
        </w:tc>
        <w:tc>
          <w:tcPr>
            <w:tcW w:w="139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2026-10-07</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